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0B1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540" w:lineRule="exact"/>
        <w:ind w:firstLine="560" w:firstLineChars="200"/>
        <w:jc w:val="center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auto"/>
        </w:rPr>
      </w:pPr>
      <w:permStart w:id="0" w:edGrp="everyone"/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auto"/>
        </w:rPr>
        <w:t>附件一：</w:t>
      </w:r>
      <w:bookmarkStart w:id="0" w:name="_GoBack"/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auto"/>
        </w:rPr>
        <w:t>维保项目清单</w:t>
      </w:r>
      <w:bookmarkEnd w:id="0"/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auto"/>
        </w:rPr>
        <w:t>（按甲方起重设备实际项目及参数为准）</w:t>
      </w:r>
    </w:p>
    <w:p w14:paraId="0122AD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540" w:lineRule="exact"/>
        <w:ind w:firstLine="560" w:firstLineChars="200"/>
        <w:jc w:val="center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auto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auto"/>
        </w:rPr>
        <w:t>表1 桥式起重机月检项目、内容及验收标准（机械部分）</w:t>
      </w:r>
    </w:p>
    <w:tbl>
      <w:tblPr>
        <w:tblStyle w:val="5"/>
        <w:tblW w:w="894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1177"/>
        <w:gridCol w:w="3316"/>
        <w:gridCol w:w="3916"/>
      </w:tblGrid>
      <w:tr w14:paraId="16CF12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1717" w:type="dxa"/>
            <w:gridSpan w:val="2"/>
          </w:tcPr>
          <w:p w14:paraId="63B1FA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检查项目</w:t>
            </w:r>
          </w:p>
        </w:tc>
        <w:tc>
          <w:tcPr>
            <w:tcW w:w="3316" w:type="dxa"/>
          </w:tcPr>
          <w:p w14:paraId="33B90C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检查内容</w:t>
            </w:r>
          </w:p>
        </w:tc>
        <w:tc>
          <w:tcPr>
            <w:tcW w:w="3916" w:type="dxa"/>
          </w:tcPr>
          <w:p w14:paraId="40D9DA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验收标准及说明</w:t>
            </w:r>
          </w:p>
        </w:tc>
      </w:tr>
      <w:tr w14:paraId="65FA46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  <w:jc w:val="center"/>
        </w:trPr>
        <w:tc>
          <w:tcPr>
            <w:tcW w:w="540" w:type="dxa"/>
          </w:tcPr>
          <w:p w14:paraId="6CB23B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制</w:t>
            </w:r>
          </w:p>
          <w:p w14:paraId="68E4A1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动</w:t>
            </w:r>
          </w:p>
          <w:p w14:paraId="2A3FC9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器</w:t>
            </w:r>
          </w:p>
        </w:tc>
        <w:tc>
          <w:tcPr>
            <w:tcW w:w="1177" w:type="dxa"/>
            <w:vAlign w:val="center"/>
          </w:tcPr>
          <w:p w14:paraId="2FADEE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制动片</w:t>
            </w:r>
          </w:p>
        </w:tc>
        <w:tc>
          <w:tcPr>
            <w:tcW w:w="3316" w:type="dxa"/>
            <w:vAlign w:val="center"/>
          </w:tcPr>
          <w:p w14:paraId="7DB9C2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锥形制动环的磨损情况</w:t>
            </w:r>
          </w:p>
        </w:tc>
        <w:tc>
          <w:tcPr>
            <w:tcW w:w="3916" w:type="dxa"/>
            <w:vAlign w:val="center"/>
          </w:tcPr>
          <w:p w14:paraId="24D844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pacing w:val="-4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锥形制动环磨损量不得使轴向移动量超过3-5mm（正常时为1.5mm）</w:t>
            </w:r>
          </w:p>
        </w:tc>
      </w:tr>
      <w:tr w14:paraId="5B714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40" w:type="dxa"/>
            <w:vMerge w:val="restart"/>
            <w:vAlign w:val="center"/>
          </w:tcPr>
          <w:p w14:paraId="79F110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减</w:t>
            </w:r>
          </w:p>
          <w:p w14:paraId="3C4A9F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速</w:t>
            </w:r>
          </w:p>
          <w:p w14:paraId="15B93F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器</w:t>
            </w:r>
          </w:p>
        </w:tc>
        <w:tc>
          <w:tcPr>
            <w:tcW w:w="1177" w:type="dxa"/>
            <w:vAlign w:val="center"/>
          </w:tcPr>
          <w:p w14:paraId="5B10A2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齿轮箱体</w:t>
            </w:r>
          </w:p>
        </w:tc>
        <w:tc>
          <w:tcPr>
            <w:tcW w:w="3316" w:type="dxa"/>
            <w:vAlign w:val="center"/>
          </w:tcPr>
          <w:p w14:paraId="60345B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a、检查有无裂纹、变形及损伤</w:t>
            </w:r>
          </w:p>
          <w:p w14:paraId="646D81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b、安装连接有无松动与脱落；油量、油品、油质及漏油情况</w:t>
            </w:r>
          </w:p>
        </w:tc>
        <w:tc>
          <w:tcPr>
            <w:tcW w:w="3916" w:type="dxa"/>
            <w:vAlign w:val="center"/>
          </w:tcPr>
          <w:p w14:paraId="50E1E0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a、无裂纹、明显变形与损伤、无松动与脱落</w:t>
            </w:r>
          </w:p>
          <w:p w14:paraId="4AC8F1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pacing w:val="-4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b、油量适当，无污染，无漏油</w:t>
            </w:r>
          </w:p>
        </w:tc>
      </w:tr>
      <w:tr w14:paraId="0740B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8" w:hRule="atLeast"/>
          <w:jc w:val="center"/>
        </w:trPr>
        <w:tc>
          <w:tcPr>
            <w:tcW w:w="540" w:type="dxa"/>
            <w:vMerge w:val="continue"/>
          </w:tcPr>
          <w:p w14:paraId="52934C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</w:p>
        </w:tc>
        <w:tc>
          <w:tcPr>
            <w:tcW w:w="1177" w:type="dxa"/>
            <w:vAlign w:val="center"/>
          </w:tcPr>
          <w:p w14:paraId="2A023A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齿轮</w:t>
            </w:r>
          </w:p>
        </w:tc>
        <w:tc>
          <w:tcPr>
            <w:tcW w:w="3316" w:type="dxa"/>
            <w:vAlign w:val="center"/>
          </w:tcPr>
          <w:p w14:paraId="472A8A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a、检查有无异常声响、发热和振动</w:t>
            </w:r>
          </w:p>
          <w:p w14:paraId="49C047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b、齿面有无磨损及损伤</w:t>
            </w:r>
          </w:p>
          <w:p w14:paraId="68A789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c、轮毂、轮盘、轮齿有无裂纹，变形及损伤</w:t>
            </w:r>
          </w:p>
          <w:p w14:paraId="18F641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d、键有无松动、出槽及变形</w:t>
            </w:r>
          </w:p>
          <w:p w14:paraId="6EE441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e、键槽有无裂纹与变形</w:t>
            </w:r>
          </w:p>
          <w:p w14:paraId="1E7B68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f、轮齿接触和啮合状态有无异常以及润滑情况</w:t>
            </w:r>
          </w:p>
        </w:tc>
        <w:tc>
          <w:tcPr>
            <w:tcW w:w="3916" w:type="dxa"/>
            <w:vAlign w:val="center"/>
          </w:tcPr>
          <w:p w14:paraId="61E292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a、无异常声响、发热、振动；</w:t>
            </w:r>
          </w:p>
          <w:p w14:paraId="3B99E7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b、无明显磨损与损伤；</w:t>
            </w:r>
          </w:p>
          <w:p w14:paraId="1BC02E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c、无裂纹和变形及损伤、</w:t>
            </w:r>
          </w:p>
          <w:p w14:paraId="69F13A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d、无松动出槽和明显变化；</w:t>
            </w:r>
          </w:p>
          <w:p w14:paraId="577344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e、无裂纹变形；</w:t>
            </w:r>
          </w:p>
          <w:p w14:paraId="703890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f、齿面接触良好，啮合深度适度，润滑良好</w:t>
            </w:r>
          </w:p>
        </w:tc>
      </w:tr>
      <w:tr w14:paraId="351B3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9" w:hRule="atLeast"/>
          <w:jc w:val="center"/>
        </w:trPr>
        <w:tc>
          <w:tcPr>
            <w:tcW w:w="540" w:type="dxa"/>
            <w:vMerge w:val="restart"/>
            <w:vAlign w:val="center"/>
          </w:tcPr>
          <w:p w14:paraId="5089A9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卷筒装配</w:t>
            </w:r>
          </w:p>
        </w:tc>
        <w:tc>
          <w:tcPr>
            <w:tcW w:w="1177" w:type="dxa"/>
            <w:vAlign w:val="center"/>
          </w:tcPr>
          <w:p w14:paraId="08469D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卷筒</w:t>
            </w:r>
          </w:p>
        </w:tc>
        <w:tc>
          <w:tcPr>
            <w:tcW w:w="3316" w:type="dxa"/>
            <w:vAlign w:val="center"/>
          </w:tcPr>
          <w:p w14:paraId="2ED80C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52" w:firstLineChars="200"/>
              <w:textAlignment w:val="auto"/>
              <w:rPr>
                <w:rFonts w:hint="eastAsia" w:ascii="宋体" w:hAnsi="宋体" w:eastAsia="宋体" w:cs="宋体"/>
                <w:color w:val="auto"/>
                <w:spacing w:val="-2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8"/>
                <w:szCs w:val="28"/>
                <w:shd w:val="clear" w:color="auto" w:fill="auto"/>
              </w:rPr>
              <w:t>a、检查有无裂纹、变形与磨损</w:t>
            </w:r>
          </w:p>
          <w:p w14:paraId="465290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52" w:firstLineChars="200"/>
              <w:textAlignment w:val="auto"/>
              <w:rPr>
                <w:rFonts w:hint="eastAsia" w:ascii="宋体" w:hAnsi="宋体" w:eastAsia="宋体" w:cs="宋体"/>
                <w:color w:val="auto"/>
                <w:spacing w:val="-2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8"/>
                <w:szCs w:val="28"/>
                <w:shd w:val="clear" w:color="auto" w:fill="auto"/>
              </w:rPr>
              <w:t>b、钢丝绳固定部分有无异常</w:t>
            </w:r>
          </w:p>
          <w:p w14:paraId="484A8A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52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8"/>
                <w:szCs w:val="28"/>
                <w:shd w:val="clear" w:color="auto" w:fill="auto"/>
              </w:rPr>
              <w:t>c、钢丝绳脱槽痕迹，卷筒安装连接紧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固</w:t>
            </w:r>
          </w:p>
        </w:tc>
        <w:tc>
          <w:tcPr>
            <w:tcW w:w="3916" w:type="dxa"/>
            <w:vAlign w:val="center"/>
          </w:tcPr>
          <w:p w14:paraId="6618D2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a、无裂纹、无明显变形与磨损</w:t>
            </w:r>
          </w:p>
          <w:p w14:paraId="5A989D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b、无脱槽痕迹</w:t>
            </w:r>
          </w:p>
          <w:p w14:paraId="101ABA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c、无松动、脱落</w:t>
            </w:r>
          </w:p>
        </w:tc>
      </w:tr>
      <w:tr w14:paraId="62AA23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2" w:hRule="atLeast"/>
          <w:jc w:val="center"/>
        </w:trPr>
        <w:tc>
          <w:tcPr>
            <w:tcW w:w="540" w:type="dxa"/>
            <w:vMerge w:val="continue"/>
            <w:vAlign w:val="center"/>
          </w:tcPr>
          <w:p w14:paraId="50DE69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</w:p>
        </w:tc>
        <w:tc>
          <w:tcPr>
            <w:tcW w:w="1177" w:type="dxa"/>
            <w:vAlign w:val="center"/>
          </w:tcPr>
          <w:p w14:paraId="05F09B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轴和轴承</w:t>
            </w:r>
          </w:p>
        </w:tc>
        <w:tc>
          <w:tcPr>
            <w:tcW w:w="3316" w:type="dxa"/>
            <w:vAlign w:val="center"/>
          </w:tcPr>
          <w:p w14:paraId="1CB02A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a、检查有无裂纹、变形、磨损</w:t>
            </w:r>
          </w:p>
          <w:p w14:paraId="5D3DC8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b、轴端挡板有无变形与松动，轴承异响、发热、振动以及润滑情况</w:t>
            </w:r>
          </w:p>
        </w:tc>
        <w:tc>
          <w:tcPr>
            <w:tcW w:w="3916" w:type="dxa"/>
            <w:vAlign w:val="center"/>
          </w:tcPr>
          <w:p w14:paraId="4FEB6D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a、无裂纹、明显变形与磨损</w:t>
            </w:r>
          </w:p>
          <w:p w14:paraId="3269F0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b、无变形松动、无异常振动、异响、发热以及润滑良好</w:t>
            </w:r>
          </w:p>
        </w:tc>
      </w:tr>
      <w:tr w14:paraId="0E459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540" w:type="dxa"/>
            <w:vMerge w:val="restart"/>
            <w:vAlign w:val="center"/>
          </w:tcPr>
          <w:p w14:paraId="3006A9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车</w:t>
            </w:r>
          </w:p>
          <w:p w14:paraId="018375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轮</w:t>
            </w:r>
          </w:p>
          <w:p w14:paraId="5EB42F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组</w:t>
            </w:r>
          </w:p>
        </w:tc>
        <w:tc>
          <w:tcPr>
            <w:tcW w:w="1177" w:type="dxa"/>
            <w:vAlign w:val="center"/>
          </w:tcPr>
          <w:p w14:paraId="232F68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轮缘</w:t>
            </w:r>
          </w:p>
        </w:tc>
        <w:tc>
          <w:tcPr>
            <w:tcW w:w="3316" w:type="dxa"/>
            <w:vAlign w:val="center"/>
          </w:tcPr>
          <w:p w14:paraId="31E0AE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检查有无裂纹、缺蚀、变形、磨损</w:t>
            </w:r>
          </w:p>
        </w:tc>
        <w:tc>
          <w:tcPr>
            <w:tcW w:w="3916" w:type="dxa"/>
            <w:vAlign w:val="center"/>
          </w:tcPr>
          <w:p w14:paraId="72AEBE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无裂纹、缺蚀、明显变形、磨损</w:t>
            </w:r>
          </w:p>
        </w:tc>
      </w:tr>
      <w:tr w14:paraId="6D4ADE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540" w:type="dxa"/>
            <w:vMerge w:val="continue"/>
            <w:vAlign w:val="center"/>
          </w:tcPr>
          <w:p w14:paraId="2853B9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</w:p>
        </w:tc>
        <w:tc>
          <w:tcPr>
            <w:tcW w:w="1177" w:type="dxa"/>
            <w:vAlign w:val="center"/>
          </w:tcPr>
          <w:p w14:paraId="3B94E7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轮毂及轮盘</w:t>
            </w:r>
          </w:p>
        </w:tc>
        <w:tc>
          <w:tcPr>
            <w:tcW w:w="3316" w:type="dxa"/>
            <w:vAlign w:val="center"/>
          </w:tcPr>
          <w:p w14:paraId="21CE99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检查有无裂纹、变形、磨损及损伤</w:t>
            </w:r>
          </w:p>
        </w:tc>
        <w:tc>
          <w:tcPr>
            <w:tcW w:w="3916" w:type="dxa"/>
            <w:vAlign w:val="center"/>
          </w:tcPr>
          <w:p w14:paraId="1CE4FC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无裂纹、明显价变形、磨损、损伤</w:t>
            </w:r>
          </w:p>
        </w:tc>
      </w:tr>
      <w:tr w14:paraId="78135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3" w:hRule="atLeast"/>
          <w:jc w:val="center"/>
        </w:trPr>
        <w:tc>
          <w:tcPr>
            <w:tcW w:w="540" w:type="dxa"/>
            <w:vMerge w:val="continue"/>
            <w:vAlign w:val="center"/>
          </w:tcPr>
          <w:p w14:paraId="0E10A5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</w:p>
        </w:tc>
        <w:tc>
          <w:tcPr>
            <w:tcW w:w="1177" w:type="dxa"/>
            <w:vAlign w:val="center"/>
          </w:tcPr>
          <w:p w14:paraId="7F9456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车轮踏面</w:t>
            </w:r>
          </w:p>
        </w:tc>
        <w:tc>
          <w:tcPr>
            <w:tcW w:w="3316" w:type="dxa"/>
            <w:vAlign w:val="center"/>
          </w:tcPr>
          <w:p w14:paraId="2908ED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a、检查踏面有无磨损，主动车轮以及从动车轮直径误差</w:t>
            </w:r>
          </w:p>
          <w:p w14:paraId="76333E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b、变形、踏面表面剥落</w:t>
            </w:r>
          </w:p>
        </w:tc>
        <w:tc>
          <w:tcPr>
            <w:tcW w:w="3916" w:type="dxa"/>
            <w:vAlign w:val="center"/>
          </w:tcPr>
          <w:p w14:paraId="400D6E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a、无明显磨损；</w:t>
            </w:r>
          </w:p>
          <w:p w14:paraId="614C15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b、无裂纹、变形、剥落</w:t>
            </w:r>
          </w:p>
        </w:tc>
      </w:tr>
      <w:tr w14:paraId="2FA3A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  <w:jc w:val="center"/>
        </w:trPr>
        <w:tc>
          <w:tcPr>
            <w:tcW w:w="540" w:type="dxa"/>
            <w:vAlign w:val="center"/>
          </w:tcPr>
          <w:p w14:paraId="027C59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钢</w:t>
            </w:r>
          </w:p>
          <w:p w14:paraId="209735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丝</w:t>
            </w:r>
          </w:p>
          <w:p w14:paraId="7EA301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绳</w:t>
            </w:r>
          </w:p>
        </w:tc>
        <w:tc>
          <w:tcPr>
            <w:tcW w:w="1177" w:type="dxa"/>
            <w:vAlign w:val="center"/>
          </w:tcPr>
          <w:p w14:paraId="6CE762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钢丝绳</w:t>
            </w:r>
          </w:p>
          <w:p w14:paraId="7F7494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状  态</w:t>
            </w:r>
          </w:p>
        </w:tc>
        <w:tc>
          <w:tcPr>
            <w:tcW w:w="3316" w:type="dxa"/>
            <w:vAlign w:val="center"/>
          </w:tcPr>
          <w:p w14:paraId="0A5AF2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a、检查钢丝绳有无断丝、断股、露芯、扭结、腐蚀、湾折、松散、磨损</w:t>
            </w:r>
          </w:p>
          <w:p w14:paraId="1668C7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b、尾端加工及固定是否正确</w:t>
            </w:r>
          </w:p>
        </w:tc>
        <w:tc>
          <w:tcPr>
            <w:tcW w:w="3916" w:type="dxa"/>
            <w:vAlign w:val="center"/>
          </w:tcPr>
          <w:p w14:paraId="7BD502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a、1个捻距不得有10%以上的断丝，绳径不得小于公称尺寸93%</w:t>
            </w:r>
          </w:p>
          <w:p w14:paraId="098EBF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b、不得有缺陷，且固定牢靠</w:t>
            </w:r>
          </w:p>
        </w:tc>
      </w:tr>
      <w:tr w14:paraId="1F8CEF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40" w:type="dxa"/>
            <w:vAlign w:val="center"/>
          </w:tcPr>
          <w:p w14:paraId="22A5E5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吊</w:t>
            </w:r>
          </w:p>
          <w:p w14:paraId="15F18F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具</w:t>
            </w:r>
          </w:p>
        </w:tc>
        <w:tc>
          <w:tcPr>
            <w:tcW w:w="1177" w:type="dxa"/>
            <w:vAlign w:val="center"/>
          </w:tcPr>
          <w:p w14:paraId="504EC0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吊钩</w:t>
            </w:r>
          </w:p>
        </w:tc>
        <w:tc>
          <w:tcPr>
            <w:tcW w:w="3316" w:type="dxa"/>
            <w:vAlign w:val="center"/>
          </w:tcPr>
          <w:p w14:paraId="0EEA22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检查吊钩有无裂纹、变形与磨损</w:t>
            </w:r>
          </w:p>
        </w:tc>
        <w:tc>
          <w:tcPr>
            <w:tcW w:w="3916" w:type="dxa"/>
            <w:vAlign w:val="center"/>
          </w:tcPr>
          <w:p w14:paraId="3CBA9E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无裂纹、明显变形与磨损、无异常变形；</w:t>
            </w:r>
          </w:p>
        </w:tc>
      </w:tr>
      <w:tr w14:paraId="38630B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540" w:type="dxa"/>
            <w:vAlign w:val="center"/>
          </w:tcPr>
          <w:p w14:paraId="1060AC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缓</w:t>
            </w:r>
          </w:p>
          <w:p w14:paraId="166175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冲</w:t>
            </w:r>
          </w:p>
          <w:p w14:paraId="2EBCAE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器</w:t>
            </w:r>
          </w:p>
        </w:tc>
        <w:tc>
          <w:tcPr>
            <w:tcW w:w="1177" w:type="dxa"/>
            <w:vAlign w:val="center"/>
          </w:tcPr>
          <w:p w14:paraId="54589B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轨道端部缓冲器</w:t>
            </w:r>
          </w:p>
        </w:tc>
        <w:tc>
          <w:tcPr>
            <w:tcW w:w="3316" w:type="dxa"/>
            <w:vAlign w:val="center"/>
          </w:tcPr>
          <w:p w14:paraId="7497D2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检查缓冲器与端部止挡装置是否良好，端部止挡装置是否固定牢固，是否能够两边同时接触缓冲器。</w:t>
            </w:r>
          </w:p>
        </w:tc>
        <w:tc>
          <w:tcPr>
            <w:tcW w:w="3916" w:type="dxa"/>
            <w:vAlign w:val="center"/>
          </w:tcPr>
          <w:p w14:paraId="306C4E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缓冲器与端部止挡装置良好，端部止挡装置固定牢固、能够两边同时接触缓冲器。</w:t>
            </w:r>
          </w:p>
        </w:tc>
      </w:tr>
    </w:tbl>
    <w:p w14:paraId="0C0361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540" w:lineRule="exact"/>
        <w:ind w:firstLine="420" w:firstLineChars="200"/>
        <w:jc w:val="center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auto"/>
        </w:rPr>
      </w:pPr>
      <w:r>
        <w:br w:type="page"/>
      </w:r>
    </w:p>
    <w:p w14:paraId="0F7008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540" w:lineRule="exact"/>
        <w:ind w:firstLine="560" w:firstLineChars="200"/>
        <w:jc w:val="center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auto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auto"/>
        </w:rPr>
        <w:t>表2 桥式起重机月检项目、内容及验收标准（电气部分）</w:t>
      </w:r>
    </w:p>
    <w:tbl>
      <w:tblPr>
        <w:tblStyle w:val="5"/>
        <w:tblW w:w="90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9"/>
        <w:gridCol w:w="2923"/>
        <w:gridCol w:w="5417"/>
      </w:tblGrid>
      <w:tr w14:paraId="6E8B4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3602" w:type="dxa"/>
            <w:gridSpan w:val="2"/>
            <w:shd w:val="clear" w:color="auto" w:fill="auto"/>
            <w:vAlign w:val="center"/>
          </w:tcPr>
          <w:p w14:paraId="0B2101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检  查  项  目</w:t>
            </w:r>
          </w:p>
        </w:tc>
        <w:tc>
          <w:tcPr>
            <w:tcW w:w="5417" w:type="dxa"/>
            <w:shd w:val="clear" w:color="auto" w:fill="auto"/>
            <w:vAlign w:val="center"/>
          </w:tcPr>
          <w:p w14:paraId="5CD6A3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验收标 准 及 说 明</w:t>
            </w:r>
          </w:p>
        </w:tc>
      </w:tr>
      <w:tr w14:paraId="129FD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3" w:hRule="atLeast"/>
          <w:jc w:val="center"/>
        </w:trPr>
        <w:tc>
          <w:tcPr>
            <w:tcW w:w="679" w:type="dxa"/>
            <w:shd w:val="clear" w:color="auto" w:fill="auto"/>
            <w:vAlign w:val="center"/>
          </w:tcPr>
          <w:p w14:paraId="56851E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按钮开关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3D6474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a、按钮开关外观</w:t>
            </w:r>
          </w:p>
          <w:p w14:paraId="4D6F9D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b、按钮开关悬挂电缆</w:t>
            </w:r>
          </w:p>
          <w:p w14:paraId="1BA384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c、操作按钮联锁装置</w:t>
            </w:r>
          </w:p>
          <w:p w14:paraId="221A6F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d、开关触点</w:t>
            </w:r>
          </w:p>
          <w:p w14:paraId="67AA66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f、接地螺钉</w:t>
            </w:r>
          </w:p>
        </w:tc>
        <w:tc>
          <w:tcPr>
            <w:tcW w:w="5417" w:type="dxa"/>
            <w:shd w:val="clear" w:color="auto" w:fill="auto"/>
            <w:vAlign w:val="center"/>
          </w:tcPr>
          <w:p w14:paraId="00B394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a、外壳及绝缘物不得有损伤；</w:t>
            </w:r>
          </w:p>
          <w:p w14:paraId="6F67DF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b、悬挂电缆上下端固定要牢固可靠，不得有破损处，不得有断线，要保证绝缘；</w:t>
            </w:r>
          </w:p>
          <w:p w14:paraId="2FE2E0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 xml:space="preserve">c、上下、左右、前后、各组按钮联锁要可靠，同时按一组按钮，应保证电动葫芦不动作； </w:t>
            </w:r>
          </w:p>
          <w:p w14:paraId="2983DF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d、不得有磨耗及损伤；</w:t>
            </w:r>
          </w:p>
          <w:p w14:paraId="133723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f、不得有松动，地线要接牢；</w:t>
            </w:r>
          </w:p>
        </w:tc>
      </w:tr>
      <w:tr w14:paraId="6C3E0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9" w:hRule="atLeast"/>
          <w:jc w:val="center"/>
        </w:trPr>
        <w:tc>
          <w:tcPr>
            <w:tcW w:w="679" w:type="dxa"/>
            <w:shd w:val="clear" w:color="auto" w:fill="auto"/>
            <w:vAlign w:val="center"/>
          </w:tcPr>
          <w:p w14:paraId="3F5A5E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交流接触器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4ED6A4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a、触点状态</w:t>
            </w:r>
          </w:p>
          <w:p w14:paraId="29BC89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 xml:space="preserve">b、触点动作 </w:t>
            </w:r>
          </w:p>
          <w:p w14:paraId="2230B9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c、接线固定连接螺钉</w:t>
            </w:r>
          </w:p>
        </w:tc>
        <w:tc>
          <w:tcPr>
            <w:tcW w:w="5417" w:type="dxa"/>
            <w:shd w:val="clear" w:color="auto" w:fill="auto"/>
            <w:vAlign w:val="center"/>
          </w:tcPr>
          <w:p w14:paraId="766614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a、不得有严重的损伤及磨耗</w:t>
            </w:r>
          </w:p>
          <w:p w14:paraId="2657AE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b、触点接触、打开动作要灵敏，不得有粘连</w:t>
            </w:r>
          </w:p>
          <w:p w14:paraId="074D91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c、不得有松动、脱落</w:t>
            </w:r>
          </w:p>
        </w:tc>
      </w:tr>
      <w:tr w14:paraId="0BD27E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  <w:jc w:val="center"/>
        </w:trPr>
        <w:tc>
          <w:tcPr>
            <w:tcW w:w="679" w:type="dxa"/>
            <w:shd w:val="clear" w:color="auto" w:fill="auto"/>
            <w:vAlign w:val="center"/>
          </w:tcPr>
          <w:p w14:paraId="1905EC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限位器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230004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a、动作状态</w:t>
            </w:r>
          </w:p>
          <w:p w14:paraId="1578A5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b、触点动作</w:t>
            </w:r>
          </w:p>
          <w:p w14:paraId="4BF82B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c、接线固定连接螺钉</w:t>
            </w:r>
          </w:p>
        </w:tc>
        <w:tc>
          <w:tcPr>
            <w:tcW w:w="5417" w:type="dxa"/>
            <w:shd w:val="clear" w:color="auto" w:fill="auto"/>
            <w:vAlign w:val="center"/>
          </w:tcPr>
          <w:p w14:paraId="35E4C7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a、无异常</w:t>
            </w:r>
          </w:p>
          <w:p w14:paraId="15870D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b、动作应灵敏可靠</w:t>
            </w:r>
          </w:p>
          <w:p w14:paraId="4D7BA7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04" w:firstLineChars="200"/>
              <w:textAlignment w:val="auto"/>
              <w:rPr>
                <w:rFonts w:hint="eastAsia" w:ascii="宋体" w:hAnsi="宋体" w:eastAsia="宋体" w:cs="宋体"/>
                <w:color w:val="auto"/>
                <w:spacing w:val="6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pacing w:val="6"/>
                <w:sz w:val="24"/>
                <w:szCs w:val="24"/>
                <w:shd w:val="clear" w:color="auto" w:fill="auto"/>
              </w:rPr>
              <w:t>c、不得有松动</w:t>
            </w:r>
          </w:p>
        </w:tc>
      </w:tr>
      <w:tr w14:paraId="5C856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0" w:hRule="atLeast"/>
          <w:jc w:val="center"/>
        </w:trPr>
        <w:tc>
          <w:tcPr>
            <w:tcW w:w="679" w:type="dxa"/>
            <w:shd w:val="clear" w:color="auto" w:fill="auto"/>
            <w:vAlign w:val="center"/>
          </w:tcPr>
          <w:p w14:paraId="5779D4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电缆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2D8484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a、外表</w:t>
            </w:r>
          </w:p>
          <w:p w14:paraId="6FD784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b、悬挂状态</w:t>
            </w:r>
          </w:p>
          <w:p w14:paraId="17C7B0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c、吊线环</w:t>
            </w:r>
          </w:p>
          <w:p w14:paraId="431BD2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d、电缆的连接</w:t>
            </w:r>
          </w:p>
          <w:p w14:paraId="0D44A0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e、支承钢丝</w:t>
            </w:r>
          </w:p>
        </w:tc>
        <w:tc>
          <w:tcPr>
            <w:tcW w:w="5417" w:type="dxa"/>
            <w:shd w:val="clear" w:color="auto" w:fill="auto"/>
            <w:vAlign w:val="center"/>
          </w:tcPr>
          <w:p w14:paraId="4B61D9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a、不得有破裂、损伤、芯线外露</w:t>
            </w:r>
          </w:p>
          <w:p w14:paraId="39CFF7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b、无异常弯曲、扭转</w:t>
            </w:r>
          </w:p>
          <w:p w14:paraId="0242AE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c、间隔要适当，不得脱离滑道</w:t>
            </w:r>
          </w:p>
          <w:p w14:paraId="189ADA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d、电缆与开关的连接不得有松动或脱落</w:t>
            </w:r>
          </w:p>
          <w:p w14:paraId="37C272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e、两端固定不得有松动</w:t>
            </w:r>
          </w:p>
        </w:tc>
      </w:tr>
      <w:tr w14:paraId="77F95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3" w:hRule="atLeast"/>
          <w:jc w:val="center"/>
        </w:trPr>
        <w:tc>
          <w:tcPr>
            <w:tcW w:w="679" w:type="dxa"/>
            <w:shd w:val="clear" w:color="auto" w:fill="auto"/>
            <w:vAlign w:val="center"/>
          </w:tcPr>
          <w:p w14:paraId="4BA597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滑线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75F36D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a、挠度</w:t>
            </w:r>
          </w:p>
          <w:p w14:paraId="61746C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b、清洁状况</w:t>
            </w:r>
          </w:p>
          <w:p w14:paraId="488ED3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c、支承状态</w:t>
            </w:r>
          </w:p>
        </w:tc>
        <w:tc>
          <w:tcPr>
            <w:tcW w:w="5417" w:type="dxa"/>
            <w:shd w:val="clear" w:color="auto" w:fill="auto"/>
            <w:vAlign w:val="center"/>
          </w:tcPr>
          <w:p w14:paraId="7A42BA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a、滑线要张紧，不得有明显的下挠度</w:t>
            </w:r>
          </w:p>
          <w:p w14:paraId="18676E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b、滑线上下不得有严重的锈蚀及污物</w:t>
            </w:r>
          </w:p>
          <w:p w14:paraId="2114FA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c、支承装置要牢固可靠，不得有破损</w:t>
            </w:r>
          </w:p>
        </w:tc>
      </w:tr>
      <w:tr w14:paraId="334DC2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8" w:hRule="atLeast"/>
          <w:jc w:val="center"/>
        </w:trPr>
        <w:tc>
          <w:tcPr>
            <w:tcW w:w="679" w:type="dxa"/>
            <w:shd w:val="clear" w:color="auto" w:fill="auto"/>
            <w:vAlign w:val="center"/>
          </w:tcPr>
          <w:p w14:paraId="2F484B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集电器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7601F8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a、电缆的连接</w:t>
            </w:r>
          </w:p>
          <w:p w14:paraId="5F508A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b、滑轮的回转</w:t>
            </w:r>
          </w:p>
          <w:p w14:paraId="7A90C0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c、滑轮的磨损</w:t>
            </w:r>
          </w:p>
          <w:p w14:paraId="6159C8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d、集电器的绝缘</w:t>
            </w:r>
          </w:p>
          <w:p w14:paraId="13EF1B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e、弹簧的变形</w:t>
            </w:r>
          </w:p>
        </w:tc>
        <w:tc>
          <w:tcPr>
            <w:tcW w:w="5417" w:type="dxa"/>
            <w:shd w:val="clear" w:color="auto" w:fill="auto"/>
            <w:vAlign w:val="center"/>
          </w:tcPr>
          <w:p w14:paraId="29A854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a、连接螺栓不应有松动或脱落</w:t>
            </w:r>
          </w:p>
          <w:p w14:paraId="3896D6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b、集电滑轮回转要平滑，否则应供油</w:t>
            </w:r>
          </w:p>
          <w:p w14:paraId="0468C1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c、集电滑轮槽和油孔不得有明显的磨损</w:t>
            </w:r>
          </w:p>
          <w:p w14:paraId="6F250C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d、绝缘体的固定不得有松动，要安全可靠</w:t>
            </w:r>
          </w:p>
          <w:p w14:paraId="636E60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e、不得因锈蚀和疲劳而失去弹力</w:t>
            </w:r>
          </w:p>
        </w:tc>
      </w:tr>
      <w:tr w14:paraId="3C960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1" w:hRule="atLeast"/>
          <w:jc w:val="center"/>
        </w:trPr>
        <w:tc>
          <w:tcPr>
            <w:tcW w:w="679" w:type="dxa"/>
            <w:shd w:val="clear" w:color="auto" w:fill="auto"/>
            <w:vAlign w:val="center"/>
          </w:tcPr>
          <w:p w14:paraId="2BB1E3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电机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711FDA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 xml:space="preserve">a、绕组绝缘电阻；有无发热 </w:t>
            </w:r>
          </w:p>
          <w:p w14:paraId="3651CF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b、轴承润滑情况与异常响声</w:t>
            </w:r>
          </w:p>
          <w:p w14:paraId="2F98F0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 xml:space="preserve">c、电刷及导线有无磨损和松动，压力情况，附着碳粉以及转动电动机轴有无火花 </w:t>
            </w:r>
          </w:p>
        </w:tc>
        <w:tc>
          <w:tcPr>
            <w:tcW w:w="5417" w:type="dxa"/>
            <w:shd w:val="clear" w:color="auto" w:fill="auto"/>
            <w:vAlign w:val="center"/>
          </w:tcPr>
          <w:p w14:paraId="630462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a、绝缘电阻值规定范围内</w:t>
            </w:r>
          </w:p>
          <w:p w14:paraId="45D564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b、润滑良好和无异常声响</w:t>
            </w:r>
          </w:p>
          <w:p w14:paraId="75688B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c、无明显磨损、松动、压力适当，无附着碳粉，无火花</w:t>
            </w:r>
          </w:p>
        </w:tc>
      </w:tr>
    </w:tbl>
    <w:p w14:paraId="0D8616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540" w:lineRule="exact"/>
        <w:ind w:firstLine="420" w:firstLineChars="200"/>
        <w:jc w:val="center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auto"/>
        </w:rPr>
      </w:pPr>
      <w:r>
        <w:br w:type="page"/>
      </w:r>
    </w:p>
    <w:p w14:paraId="03A356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540" w:lineRule="exact"/>
        <w:ind w:firstLine="560" w:firstLineChars="200"/>
        <w:jc w:val="center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auto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auto"/>
        </w:rPr>
        <w:t>表3 桥式起重机年检项目、内容及验收标准</w:t>
      </w:r>
    </w:p>
    <w:tbl>
      <w:tblPr>
        <w:tblStyle w:val="5"/>
        <w:tblW w:w="90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1"/>
        <w:gridCol w:w="2814"/>
        <w:gridCol w:w="5464"/>
      </w:tblGrid>
      <w:tr w14:paraId="121530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75" w:type="dxa"/>
            <w:gridSpan w:val="2"/>
            <w:vAlign w:val="center"/>
          </w:tcPr>
          <w:p w14:paraId="776312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检  查  项  目</w:t>
            </w:r>
          </w:p>
        </w:tc>
        <w:tc>
          <w:tcPr>
            <w:tcW w:w="5464" w:type="dxa"/>
            <w:vAlign w:val="center"/>
          </w:tcPr>
          <w:p w14:paraId="481C44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验收 标 准 及 说 明</w:t>
            </w:r>
          </w:p>
        </w:tc>
      </w:tr>
      <w:tr w14:paraId="6EC5F4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4" w:hRule="atLeast"/>
          <w:jc w:val="center"/>
        </w:trPr>
        <w:tc>
          <w:tcPr>
            <w:tcW w:w="761" w:type="dxa"/>
            <w:vAlign w:val="center"/>
          </w:tcPr>
          <w:p w14:paraId="70601A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运行轨道</w:t>
            </w:r>
          </w:p>
        </w:tc>
        <w:tc>
          <w:tcPr>
            <w:tcW w:w="2814" w:type="dxa"/>
            <w:vAlign w:val="center"/>
          </w:tcPr>
          <w:p w14:paraId="38A9F7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a、工字型钢轨的运行踏面</w:t>
            </w:r>
          </w:p>
          <w:p w14:paraId="7EEA7E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b、工字型钢轨连接固定</w:t>
            </w:r>
          </w:p>
          <w:p w14:paraId="6FBB69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c、工字型钢轨安装及误差</w:t>
            </w:r>
          </w:p>
          <w:p w14:paraId="0A4D4A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d、工字型钢轨的磨损</w:t>
            </w:r>
          </w:p>
        </w:tc>
        <w:tc>
          <w:tcPr>
            <w:tcW w:w="5464" w:type="dxa"/>
            <w:vAlign w:val="center"/>
          </w:tcPr>
          <w:p w14:paraId="4FD0A4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a、不得附着油污，以防车轮打滑而加剧车轮和齿轮的磨损</w:t>
            </w:r>
          </w:p>
          <w:p w14:paraId="1B066D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b、连接螺栓不应有松动、脱落、焊接或接头、轨道本体不得出现龟裂</w:t>
            </w:r>
          </w:p>
          <w:p w14:paraId="6C8912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c、工字钢倾斜度≤1‰，接头处钢轨高低偏差、两钢轨中心线偏差均≤0.5-1mm</w:t>
            </w:r>
          </w:p>
          <w:p w14:paraId="586F91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d、翼缘踏面磨损量≤10%原尺寸；宽度磨损量≤5%原尺寸</w:t>
            </w:r>
          </w:p>
        </w:tc>
      </w:tr>
      <w:tr w14:paraId="7BDB28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3" w:hRule="atLeast"/>
          <w:jc w:val="center"/>
        </w:trPr>
        <w:tc>
          <w:tcPr>
            <w:tcW w:w="761" w:type="dxa"/>
            <w:vAlign w:val="center"/>
          </w:tcPr>
          <w:p w14:paraId="469E35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运行大车</w:t>
            </w:r>
          </w:p>
        </w:tc>
        <w:tc>
          <w:tcPr>
            <w:tcW w:w="2814" w:type="dxa"/>
            <w:vAlign w:val="center"/>
          </w:tcPr>
          <w:p w14:paraId="1BDA39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受力构件(如主梁、主支撑腿、主副吊臂、标准节、吊具等)</w:t>
            </w:r>
          </w:p>
        </w:tc>
        <w:tc>
          <w:tcPr>
            <w:tcW w:w="5464" w:type="dxa"/>
            <w:vAlign w:val="center"/>
          </w:tcPr>
          <w:p w14:paraId="2B2A8D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连接无松动，无缺件、损坏等缺陷，无明显变形</w:t>
            </w:r>
          </w:p>
        </w:tc>
      </w:tr>
      <w:tr w14:paraId="686F2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2" w:hRule="atLeast"/>
          <w:jc w:val="center"/>
        </w:trPr>
        <w:tc>
          <w:tcPr>
            <w:tcW w:w="761" w:type="dxa"/>
            <w:vAlign w:val="center"/>
          </w:tcPr>
          <w:p w14:paraId="08C6D9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齿轮</w:t>
            </w:r>
          </w:p>
        </w:tc>
        <w:tc>
          <w:tcPr>
            <w:tcW w:w="2814" w:type="dxa"/>
            <w:vAlign w:val="center"/>
          </w:tcPr>
          <w:p w14:paraId="2A26C6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a、起升减速器齿轮的磨损</w:t>
            </w:r>
          </w:p>
          <w:p w14:paraId="7B6C98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b、运行减速器齿轮的磨损</w:t>
            </w:r>
          </w:p>
          <w:p w14:paraId="66D20A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c、齿轮的啮合面</w:t>
            </w:r>
          </w:p>
        </w:tc>
        <w:tc>
          <w:tcPr>
            <w:tcW w:w="5464" w:type="dxa"/>
            <w:vAlign w:val="center"/>
          </w:tcPr>
          <w:p w14:paraId="781E4E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a、第一级齿轮磨损量＜10%原齿厚，其它齿轮均＜20%原齿厚；淬火齿轮齿面剥落面积＜50%</w:t>
            </w:r>
          </w:p>
          <w:p w14:paraId="4E6579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b、第一级齿轮磨损量＜15%原齿厚，其它齿轮均＜25%原齿厚；开式齿轮则为＜40%原齿厚</w:t>
            </w:r>
          </w:p>
          <w:p w14:paraId="21981B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c、不得有裂纹及异常磨损</w:t>
            </w:r>
          </w:p>
        </w:tc>
      </w:tr>
      <w:tr w14:paraId="04A6D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761" w:type="dxa"/>
            <w:vAlign w:val="center"/>
          </w:tcPr>
          <w:p w14:paraId="412269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轴、轴承及油封</w:t>
            </w:r>
          </w:p>
        </w:tc>
        <w:tc>
          <w:tcPr>
            <w:tcW w:w="2814" w:type="dxa"/>
            <w:vAlign w:val="center"/>
          </w:tcPr>
          <w:p w14:paraId="0B2023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a、齿轮轴的磨损</w:t>
            </w:r>
          </w:p>
          <w:p w14:paraId="3D231A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b、其它轴的磨损</w:t>
            </w:r>
          </w:p>
          <w:p w14:paraId="2CD1C8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c、滚动轴承及油封</w:t>
            </w:r>
          </w:p>
        </w:tc>
        <w:tc>
          <w:tcPr>
            <w:tcW w:w="5464" w:type="dxa"/>
            <w:vAlign w:val="center"/>
          </w:tcPr>
          <w:p w14:paraId="615F6F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a、磨损量不得超过原轴径的1%</w:t>
            </w:r>
          </w:p>
          <w:p w14:paraId="0E6C6B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b、磨损量不得超过原轴径的2%</w:t>
            </w:r>
          </w:p>
          <w:p w14:paraId="7335F9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c、滚动轴承不得有破损或有害的裂纹；油封与轴配合表面不得有裂纹</w:t>
            </w:r>
          </w:p>
        </w:tc>
      </w:tr>
      <w:tr w14:paraId="2641DA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1" w:type="dxa"/>
            <w:vAlign w:val="center"/>
          </w:tcPr>
          <w:p w14:paraId="705EF5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车轮</w:t>
            </w:r>
          </w:p>
        </w:tc>
        <w:tc>
          <w:tcPr>
            <w:tcW w:w="2814" w:type="dxa"/>
            <w:vAlign w:val="center"/>
          </w:tcPr>
          <w:p w14:paraId="5EA0A6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a、踏面直径及圆度</w:t>
            </w:r>
          </w:p>
          <w:p w14:paraId="5ABEDF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b、踏面磨损</w:t>
            </w:r>
          </w:p>
          <w:p w14:paraId="6F6084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c、轮缘厚度磨损</w:t>
            </w:r>
          </w:p>
          <w:p w14:paraId="72F155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d、外表面</w:t>
            </w:r>
          </w:p>
        </w:tc>
        <w:tc>
          <w:tcPr>
            <w:tcW w:w="5464" w:type="dxa"/>
            <w:vAlign w:val="center"/>
          </w:tcPr>
          <w:p w14:paraId="7CA95D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a、测量车轮踏面直径，误差＜1%公称直径，踏面圆度误差≤0.8mm</w:t>
            </w:r>
          </w:p>
          <w:p w14:paraId="725C90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b、按踏面直径测量，磨损量＜5%原尺寸</w:t>
            </w:r>
          </w:p>
          <w:p w14:paraId="0F1E31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c、其磨损量＜40%原厚度，轨道与轮缘侧向总间隙应＜1/2车轮踏面宽度</w:t>
            </w:r>
          </w:p>
          <w:p w14:paraId="56EE52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d、不得有裂纹</w:t>
            </w:r>
          </w:p>
        </w:tc>
      </w:tr>
      <w:tr w14:paraId="13CD2E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1" w:type="dxa"/>
            <w:vAlign w:val="center"/>
          </w:tcPr>
          <w:p w14:paraId="019DD8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制</w:t>
            </w:r>
          </w:p>
          <w:p w14:paraId="0F2FDA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动</w:t>
            </w:r>
          </w:p>
          <w:p w14:paraId="55B805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器</w:t>
            </w:r>
          </w:p>
        </w:tc>
        <w:tc>
          <w:tcPr>
            <w:tcW w:w="2814" w:type="dxa"/>
            <w:vAlign w:val="center"/>
          </w:tcPr>
          <w:p w14:paraId="40130D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a、制动环的磨损</w:t>
            </w:r>
          </w:p>
          <w:p w14:paraId="5CFDE3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b、制动轮</w:t>
            </w:r>
          </w:p>
          <w:p w14:paraId="66CF8A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c、制动机构</w:t>
            </w:r>
          </w:p>
        </w:tc>
        <w:tc>
          <w:tcPr>
            <w:tcW w:w="5464" w:type="dxa"/>
            <w:vAlign w:val="center"/>
          </w:tcPr>
          <w:p w14:paraId="21CF38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a、摩擦片磨损量＜50%原厚度</w:t>
            </w:r>
          </w:p>
          <w:p w14:paraId="6101A1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b、不得有龟裂和异常变形</w:t>
            </w:r>
          </w:p>
          <w:p w14:paraId="383027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c、不得有故障</w:t>
            </w:r>
          </w:p>
        </w:tc>
      </w:tr>
      <w:tr w14:paraId="274AAE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1" w:type="dxa"/>
            <w:vAlign w:val="center"/>
          </w:tcPr>
          <w:p w14:paraId="68E338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吊钩</w:t>
            </w:r>
          </w:p>
        </w:tc>
        <w:tc>
          <w:tcPr>
            <w:tcW w:w="2814" w:type="dxa"/>
            <w:vAlign w:val="center"/>
          </w:tcPr>
          <w:p w14:paraId="231784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a、危险断面的磨损</w:t>
            </w:r>
          </w:p>
          <w:p w14:paraId="0E4D81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b、开口度及扭转变形</w:t>
            </w:r>
          </w:p>
          <w:p w14:paraId="70C0AD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c、外表及螺纹</w:t>
            </w:r>
          </w:p>
        </w:tc>
        <w:tc>
          <w:tcPr>
            <w:tcW w:w="5464" w:type="dxa"/>
            <w:vAlign w:val="center"/>
          </w:tcPr>
          <w:p w14:paraId="52F09F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a、磨损量＜10%原尺寸</w:t>
            </w:r>
          </w:p>
          <w:p w14:paraId="4ACE4D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52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8"/>
                <w:szCs w:val="28"/>
                <w:shd w:val="clear" w:color="auto" w:fill="auto"/>
              </w:rPr>
              <w:t>b、开口度＜15%原尺寸，超过极限尺寸，不得修复使用，扭转变形＜10</w:t>
            </w:r>
          </w:p>
          <w:p w14:paraId="719710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c、吊钩外表面不得出现龟裂；螺纹部分不得有异常的磨损、拔牙</w:t>
            </w:r>
          </w:p>
        </w:tc>
      </w:tr>
      <w:tr w14:paraId="2D105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1" w:type="dxa"/>
            <w:vAlign w:val="center"/>
          </w:tcPr>
          <w:p w14:paraId="1CA15F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滑轮</w:t>
            </w:r>
          </w:p>
        </w:tc>
        <w:tc>
          <w:tcPr>
            <w:tcW w:w="2814" w:type="dxa"/>
            <w:vAlign w:val="center"/>
          </w:tcPr>
          <w:p w14:paraId="1D730E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a、轮槽的磨损</w:t>
            </w:r>
          </w:p>
          <w:p w14:paraId="603E3D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b、轮缘</w:t>
            </w:r>
          </w:p>
        </w:tc>
        <w:tc>
          <w:tcPr>
            <w:tcW w:w="5464" w:type="dxa"/>
            <w:vAlign w:val="center"/>
          </w:tcPr>
          <w:p w14:paraId="02D14F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a、槽底磨损量</w:t>
            </w:r>
            <w:r>
              <w:rPr>
                <w:rFonts w:hint="eastAsia" w:ascii="宋体" w:hAnsi="宋体" w:eastAsia="宋体" w:cs="宋体"/>
                <w:color w:val="auto"/>
                <w:spacing w:val="-2"/>
                <w:sz w:val="28"/>
                <w:szCs w:val="28"/>
                <w:shd w:val="clear" w:color="auto" w:fill="auto"/>
              </w:rPr>
              <w:t>＜30%钢丝绳直径，槽壁厚磨损量＜30%原尺寸，但均不得超过3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mm</w:t>
            </w:r>
          </w:p>
          <w:p w14:paraId="789DA3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b、轮缘不得破损及有裂纹</w:t>
            </w:r>
          </w:p>
        </w:tc>
      </w:tr>
      <w:tr w14:paraId="0F04D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1" w:type="dxa"/>
            <w:vAlign w:val="center"/>
          </w:tcPr>
          <w:p w14:paraId="238957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钢</w:t>
            </w:r>
          </w:p>
          <w:p w14:paraId="1422A4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丝</w:t>
            </w:r>
          </w:p>
          <w:p w14:paraId="49FE58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绳</w:t>
            </w:r>
          </w:p>
        </w:tc>
        <w:tc>
          <w:tcPr>
            <w:tcW w:w="2814" w:type="dxa"/>
            <w:vAlign w:val="center"/>
          </w:tcPr>
          <w:p w14:paraId="519F76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外伤、磨损、断丝、变形腐蚀</w:t>
            </w:r>
          </w:p>
        </w:tc>
        <w:tc>
          <w:tcPr>
            <w:tcW w:w="5464" w:type="dxa"/>
            <w:vAlign w:val="center"/>
          </w:tcPr>
          <w:p w14:paraId="567476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a、按月检标准检查</w:t>
            </w:r>
          </w:p>
          <w:p w14:paraId="6BA605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b、绳端的腐蚀在年检中应作为重点检查项目，不得有较严重腐蚀</w:t>
            </w:r>
          </w:p>
        </w:tc>
      </w:tr>
      <w:tr w14:paraId="284D9B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1" w:type="dxa"/>
            <w:vAlign w:val="center"/>
          </w:tcPr>
          <w:p w14:paraId="5C8E8F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键、</w:t>
            </w:r>
          </w:p>
          <w:p w14:paraId="64483E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花键</w:t>
            </w:r>
          </w:p>
        </w:tc>
        <w:tc>
          <w:tcPr>
            <w:tcW w:w="2814" w:type="dxa"/>
            <w:vAlign w:val="center"/>
          </w:tcPr>
          <w:p w14:paraId="1D9C4A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a、变形</w:t>
            </w:r>
          </w:p>
          <w:p w14:paraId="7561A9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b、磨损</w:t>
            </w:r>
          </w:p>
        </w:tc>
        <w:tc>
          <w:tcPr>
            <w:tcW w:w="5464" w:type="dxa"/>
            <w:vAlign w:val="center"/>
          </w:tcPr>
          <w:p w14:paraId="56D2BF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a、键与键槽连接不得有松动及变形</w:t>
            </w:r>
          </w:p>
          <w:p w14:paraId="27EA48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b、键、键槽、花键不得有异常磨损</w:t>
            </w:r>
          </w:p>
        </w:tc>
      </w:tr>
      <w:tr w14:paraId="6D7BD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761" w:type="dxa"/>
            <w:vAlign w:val="center"/>
          </w:tcPr>
          <w:p w14:paraId="47B07A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卷筒</w:t>
            </w:r>
          </w:p>
        </w:tc>
        <w:tc>
          <w:tcPr>
            <w:tcW w:w="2814" w:type="dxa"/>
            <w:vAlign w:val="center"/>
          </w:tcPr>
          <w:p w14:paraId="5DCD10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磨损</w:t>
            </w:r>
          </w:p>
        </w:tc>
        <w:tc>
          <w:tcPr>
            <w:tcW w:w="5464" w:type="dxa"/>
            <w:vAlign w:val="center"/>
          </w:tcPr>
          <w:p w14:paraId="33F215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卷筒壁厚磨损量</w:t>
            </w:r>
            <w:r>
              <w:rPr>
                <w:rFonts w:hint="eastAsia" w:ascii="宋体" w:hAnsi="宋体" w:eastAsia="宋体" w:cs="宋体"/>
                <w:color w:val="auto"/>
                <w:spacing w:val="-2"/>
                <w:sz w:val="28"/>
                <w:szCs w:val="28"/>
                <w:shd w:val="clear" w:color="auto" w:fill="auto"/>
              </w:rPr>
              <w:t>＜15%原壁厚</w:t>
            </w:r>
          </w:p>
        </w:tc>
      </w:tr>
      <w:tr w14:paraId="6F071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1" w:type="dxa"/>
            <w:vAlign w:val="center"/>
          </w:tcPr>
          <w:p w14:paraId="63CE42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集</w:t>
            </w:r>
          </w:p>
          <w:p w14:paraId="5C04B6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电</w:t>
            </w:r>
          </w:p>
          <w:p w14:paraId="5009B4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器</w:t>
            </w:r>
          </w:p>
        </w:tc>
        <w:tc>
          <w:tcPr>
            <w:tcW w:w="2814" w:type="dxa"/>
            <w:vAlign w:val="center"/>
          </w:tcPr>
          <w:p w14:paraId="7194C6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a、滑轮及导线接触处</w:t>
            </w:r>
          </w:p>
          <w:p w14:paraId="4868D8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b、滑轮孔与轴的间隙</w:t>
            </w:r>
          </w:p>
        </w:tc>
        <w:tc>
          <w:tcPr>
            <w:tcW w:w="5464" w:type="dxa"/>
            <w:vAlign w:val="center"/>
          </w:tcPr>
          <w:p w14:paraId="7C1733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pacing w:val="-2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a、滑轮槽底磨损量</w:t>
            </w:r>
            <w:r>
              <w:rPr>
                <w:rFonts w:hint="eastAsia" w:ascii="宋体" w:hAnsi="宋体" w:eastAsia="宋体" w:cs="宋体"/>
                <w:color w:val="auto"/>
                <w:spacing w:val="-2"/>
                <w:sz w:val="28"/>
                <w:szCs w:val="28"/>
                <w:shd w:val="clear" w:color="auto" w:fill="auto"/>
              </w:rPr>
              <w:t>＜20%槽底轮径原尺寸</w:t>
            </w:r>
          </w:p>
          <w:p w14:paraId="6080E7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52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8"/>
                <w:szCs w:val="28"/>
                <w:shd w:val="clear" w:color="auto" w:fill="auto"/>
              </w:rPr>
              <w:t>b、＜20%原轴径尺寸</w:t>
            </w:r>
          </w:p>
        </w:tc>
      </w:tr>
      <w:tr w14:paraId="01A00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75" w:type="dxa"/>
            <w:gridSpan w:val="2"/>
            <w:vAlign w:val="center"/>
          </w:tcPr>
          <w:p w14:paraId="3106FD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开关触点及机构</w:t>
            </w:r>
          </w:p>
        </w:tc>
        <w:tc>
          <w:tcPr>
            <w:tcW w:w="5464" w:type="dxa"/>
            <w:vAlign w:val="center"/>
          </w:tcPr>
          <w:p w14:paraId="3A0DB9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触点磨损</w:t>
            </w:r>
            <w:r>
              <w:rPr>
                <w:rFonts w:hint="eastAsia" w:ascii="宋体" w:hAnsi="宋体" w:eastAsia="宋体" w:cs="宋体"/>
                <w:color w:val="auto"/>
                <w:spacing w:val="-2"/>
                <w:sz w:val="28"/>
                <w:szCs w:val="28"/>
                <w:shd w:val="clear" w:color="auto" w:fill="auto"/>
              </w:rPr>
              <w:t>＜50%原尺寸，机构动作不得有故障</w:t>
            </w:r>
          </w:p>
        </w:tc>
      </w:tr>
      <w:tr w14:paraId="4B988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75" w:type="dxa"/>
            <w:gridSpan w:val="2"/>
            <w:vAlign w:val="center"/>
          </w:tcPr>
          <w:p w14:paraId="3553B8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电线电缆及吊具</w:t>
            </w:r>
          </w:p>
        </w:tc>
        <w:tc>
          <w:tcPr>
            <w:tcW w:w="5464" w:type="dxa"/>
            <w:vAlign w:val="center"/>
          </w:tcPr>
          <w:p w14:paraId="532CB6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不得有外伤、老化、断线、严重污损及其它异常；电缆吊具的移动要平滑</w:t>
            </w:r>
          </w:p>
        </w:tc>
      </w:tr>
      <w:tr w14:paraId="32FAD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3575" w:type="dxa"/>
            <w:gridSpan w:val="2"/>
            <w:vAlign w:val="center"/>
          </w:tcPr>
          <w:p w14:paraId="76A9F1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绝缘</w:t>
            </w:r>
          </w:p>
        </w:tc>
        <w:tc>
          <w:tcPr>
            <w:tcW w:w="5464" w:type="dxa"/>
            <w:vAlign w:val="center"/>
          </w:tcPr>
          <w:p w14:paraId="00810F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回路绝缘电阻≥0.5MΩ</w:t>
            </w:r>
          </w:p>
        </w:tc>
      </w:tr>
    </w:tbl>
    <w:p w14:paraId="512750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540" w:lineRule="exact"/>
        <w:ind w:firstLine="560" w:firstLineChars="200"/>
        <w:jc w:val="center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auto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auto"/>
        </w:rPr>
        <w:t>表4   桥式起重机负荷试验检查项目、内容、判定标准</w:t>
      </w:r>
    </w:p>
    <w:tbl>
      <w:tblPr>
        <w:tblStyle w:val="5"/>
        <w:tblW w:w="90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6"/>
        <w:gridCol w:w="1939"/>
        <w:gridCol w:w="3316"/>
        <w:gridCol w:w="3191"/>
      </w:tblGrid>
      <w:tr w14:paraId="61B7D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75" w:type="dxa"/>
            <w:gridSpan w:val="2"/>
            <w:shd w:val="clear" w:color="auto" w:fill="auto"/>
            <w:vAlign w:val="center"/>
          </w:tcPr>
          <w:p w14:paraId="185BD8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检查项目</w:t>
            </w:r>
          </w:p>
        </w:tc>
        <w:tc>
          <w:tcPr>
            <w:tcW w:w="3316" w:type="dxa"/>
            <w:shd w:val="clear" w:color="auto" w:fill="auto"/>
            <w:vAlign w:val="center"/>
          </w:tcPr>
          <w:p w14:paraId="422EF7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检查内容</w:t>
            </w:r>
          </w:p>
        </w:tc>
        <w:tc>
          <w:tcPr>
            <w:tcW w:w="3191" w:type="dxa"/>
            <w:shd w:val="clear" w:color="auto" w:fill="auto"/>
            <w:vAlign w:val="center"/>
          </w:tcPr>
          <w:p w14:paraId="62411D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判定标准</w:t>
            </w:r>
          </w:p>
        </w:tc>
      </w:tr>
      <w:tr w14:paraId="418B8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6" w:type="dxa"/>
            <w:vMerge w:val="restart"/>
            <w:shd w:val="clear" w:color="auto" w:fill="auto"/>
            <w:vAlign w:val="center"/>
          </w:tcPr>
          <w:p w14:paraId="08941A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起升机构试验</w:t>
            </w:r>
          </w:p>
        </w:tc>
        <w:tc>
          <w:tcPr>
            <w:tcW w:w="1939" w:type="dxa"/>
            <w:shd w:val="clear" w:color="auto" w:fill="auto"/>
            <w:vAlign w:val="center"/>
          </w:tcPr>
          <w:p w14:paraId="2863B2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left="-1159" w:leftChars="-552" w:firstLine="56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起重能力</w:t>
            </w:r>
          </w:p>
        </w:tc>
        <w:tc>
          <w:tcPr>
            <w:tcW w:w="3316" w:type="dxa"/>
            <w:shd w:val="clear" w:color="auto" w:fill="auto"/>
            <w:vAlign w:val="center"/>
          </w:tcPr>
          <w:p w14:paraId="280D18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a、空负荷运转，检查动作状态</w:t>
            </w:r>
          </w:p>
          <w:p w14:paraId="54AF6E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b、起吊额定负荷，以额定速度上升或下降，检查起升机构有无异常噪声、振动、发热</w:t>
            </w:r>
          </w:p>
        </w:tc>
        <w:tc>
          <w:tcPr>
            <w:tcW w:w="3191" w:type="dxa"/>
            <w:shd w:val="clear" w:color="auto" w:fill="auto"/>
            <w:vAlign w:val="center"/>
          </w:tcPr>
          <w:p w14:paraId="1072DC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a、应平稳起升或下降</w:t>
            </w:r>
          </w:p>
          <w:p w14:paraId="14B6C6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b、无异常噪声、明显振动或发热</w:t>
            </w:r>
          </w:p>
        </w:tc>
      </w:tr>
      <w:tr w14:paraId="242CB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6" w:type="dxa"/>
            <w:vMerge w:val="continue"/>
            <w:shd w:val="clear" w:color="auto" w:fill="auto"/>
          </w:tcPr>
          <w:p w14:paraId="3A49C5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</w:p>
        </w:tc>
        <w:tc>
          <w:tcPr>
            <w:tcW w:w="1939" w:type="dxa"/>
            <w:shd w:val="clear" w:color="auto" w:fill="auto"/>
            <w:vAlign w:val="center"/>
          </w:tcPr>
          <w:p w14:paraId="1E2F3B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制动器功能</w:t>
            </w:r>
          </w:p>
        </w:tc>
        <w:tc>
          <w:tcPr>
            <w:tcW w:w="3316" w:type="dxa"/>
            <w:shd w:val="clear" w:color="auto" w:fill="auto"/>
            <w:vAlign w:val="center"/>
          </w:tcPr>
          <w:p w14:paraId="29BF24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a、空负荷运转，检查各制动器动作状态</w:t>
            </w:r>
          </w:p>
          <w:p w14:paraId="5E2B23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b、起吊额定负荷，以额定速度运转，检查各制动器动作状态</w:t>
            </w:r>
          </w:p>
        </w:tc>
        <w:tc>
          <w:tcPr>
            <w:tcW w:w="3191" w:type="dxa"/>
            <w:shd w:val="clear" w:color="auto" w:fill="auto"/>
            <w:vAlign w:val="center"/>
          </w:tcPr>
          <w:p w14:paraId="228194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a、能可靠制动</w:t>
            </w:r>
          </w:p>
          <w:p w14:paraId="09C808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b、能准确制动，无异常振动、噪声和发热</w:t>
            </w:r>
          </w:p>
        </w:tc>
      </w:tr>
      <w:tr w14:paraId="32106A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6" w:type="dxa"/>
            <w:vMerge w:val="continue"/>
            <w:shd w:val="clear" w:color="auto" w:fill="auto"/>
          </w:tcPr>
          <w:p w14:paraId="6906B6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</w:p>
        </w:tc>
        <w:tc>
          <w:tcPr>
            <w:tcW w:w="1939" w:type="dxa"/>
            <w:shd w:val="clear" w:color="auto" w:fill="auto"/>
            <w:vAlign w:val="center"/>
          </w:tcPr>
          <w:p w14:paraId="556319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机构</w:t>
            </w:r>
          </w:p>
        </w:tc>
        <w:tc>
          <w:tcPr>
            <w:tcW w:w="3316" w:type="dxa"/>
            <w:shd w:val="clear" w:color="auto" w:fill="auto"/>
            <w:vAlign w:val="center"/>
          </w:tcPr>
          <w:p w14:paraId="7F6B62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额定负荷试验后，检查起升钢丝绳及其紧固件、滑轮、卷筒等机件有无异常</w:t>
            </w:r>
          </w:p>
        </w:tc>
        <w:tc>
          <w:tcPr>
            <w:tcW w:w="3191" w:type="dxa"/>
            <w:shd w:val="clear" w:color="auto" w:fill="auto"/>
            <w:vAlign w:val="center"/>
          </w:tcPr>
          <w:p w14:paraId="2A10C9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无裂纹、破损、变形、连接无松动，机件功能正常</w:t>
            </w:r>
          </w:p>
        </w:tc>
      </w:tr>
      <w:tr w14:paraId="54B357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6" w:type="dxa"/>
            <w:vMerge w:val="restart"/>
            <w:shd w:val="clear" w:color="auto" w:fill="auto"/>
          </w:tcPr>
          <w:p w14:paraId="31650C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大小车运行机构试验</w:t>
            </w:r>
          </w:p>
        </w:tc>
        <w:tc>
          <w:tcPr>
            <w:tcW w:w="1939" w:type="dxa"/>
            <w:shd w:val="clear" w:color="auto" w:fill="auto"/>
            <w:vAlign w:val="center"/>
          </w:tcPr>
          <w:p w14:paraId="375870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运行能力</w:t>
            </w:r>
          </w:p>
        </w:tc>
        <w:tc>
          <w:tcPr>
            <w:tcW w:w="3316" w:type="dxa"/>
            <w:shd w:val="clear" w:color="auto" w:fill="auto"/>
            <w:vAlign w:val="center"/>
          </w:tcPr>
          <w:p w14:paraId="35B0E5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a、空负荷运转，检查大车行走、小车行走机构的工作状态</w:t>
            </w:r>
          </w:p>
          <w:p w14:paraId="42DE49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</w:t>
            </w:r>
            <w:r>
              <w:rPr>
                <w:rFonts w:hint="eastAsia" w:ascii="宋体" w:hAnsi="宋体" w:eastAsia="宋体" w:cs="宋体"/>
                <w:color w:val="auto"/>
                <w:spacing w:val="-6"/>
                <w:sz w:val="28"/>
                <w:szCs w:val="28"/>
                <w:shd w:val="clear" w:color="auto" w:fill="auto"/>
              </w:rPr>
              <w:t>起吊额定负荷，以额定速度行走，检查有无异常振动、异响与发热现象</w:t>
            </w:r>
          </w:p>
        </w:tc>
        <w:tc>
          <w:tcPr>
            <w:tcW w:w="3191" w:type="dxa"/>
            <w:shd w:val="clear" w:color="auto" w:fill="auto"/>
            <w:vAlign w:val="center"/>
          </w:tcPr>
          <w:p w14:paraId="278B7F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a、大、小车运行机构能平稳地运行，不打斜跑偏</w:t>
            </w:r>
          </w:p>
          <w:p w14:paraId="4464B6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b、不得异响、振动与发热</w:t>
            </w:r>
          </w:p>
        </w:tc>
      </w:tr>
      <w:tr w14:paraId="68DFA1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6" w:type="dxa"/>
            <w:vMerge w:val="continue"/>
            <w:shd w:val="clear" w:color="auto" w:fill="auto"/>
          </w:tcPr>
          <w:p w14:paraId="76A139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</w:p>
        </w:tc>
        <w:tc>
          <w:tcPr>
            <w:tcW w:w="1939" w:type="dxa"/>
            <w:shd w:val="clear" w:color="auto" w:fill="auto"/>
            <w:vAlign w:val="center"/>
          </w:tcPr>
          <w:p w14:paraId="40C819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制动器</w:t>
            </w:r>
          </w:p>
        </w:tc>
        <w:tc>
          <w:tcPr>
            <w:tcW w:w="3316" w:type="dxa"/>
            <w:shd w:val="clear" w:color="auto" w:fill="auto"/>
            <w:vAlign w:val="center"/>
          </w:tcPr>
          <w:p w14:paraId="79B3A2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a、空负荷运转，检查各制动器动作状态</w:t>
            </w:r>
          </w:p>
          <w:p w14:paraId="5A8F29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b、起吊额定负荷，以额定速度运转，检查各制动器动作状态</w:t>
            </w:r>
          </w:p>
        </w:tc>
        <w:tc>
          <w:tcPr>
            <w:tcW w:w="3191" w:type="dxa"/>
            <w:shd w:val="clear" w:color="auto" w:fill="auto"/>
            <w:vAlign w:val="center"/>
          </w:tcPr>
          <w:p w14:paraId="70350E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a、能可靠同步制动,</w:t>
            </w:r>
          </w:p>
          <w:p w14:paraId="079241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b、能可靠制动，无异常振动、发热和异响</w:t>
            </w:r>
          </w:p>
        </w:tc>
      </w:tr>
      <w:tr w14:paraId="1E8C2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636" w:type="dxa"/>
            <w:vMerge w:val="continue"/>
            <w:shd w:val="clear" w:color="auto" w:fill="auto"/>
          </w:tcPr>
          <w:p w14:paraId="1126CB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</w:p>
        </w:tc>
        <w:tc>
          <w:tcPr>
            <w:tcW w:w="1939" w:type="dxa"/>
            <w:shd w:val="clear" w:color="auto" w:fill="auto"/>
            <w:vAlign w:val="center"/>
          </w:tcPr>
          <w:p w14:paraId="4449B5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机构</w:t>
            </w:r>
          </w:p>
        </w:tc>
        <w:tc>
          <w:tcPr>
            <w:tcW w:w="3316" w:type="dxa"/>
            <w:shd w:val="clear" w:color="auto" w:fill="auto"/>
            <w:vAlign w:val="center"/>
          </w:tcPr>
          <w:p w14:paraId="41DA35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额定负荷试验后，检查车轮轴、联轴器、减速装置等机件有无异常</w:t>
            </w:r>
          </w:p>
        </w:tc>
        <w:tc>
          <w:tcPr>
            <w:tcW w:w="3191" w:type="dxa"/>
            <w:shd w:val="clear" w:color="auto" w:fill="auto"/>
            <w:vAlign w:val="center"/>
          </w:tcPr>
          <w:p w14:paraId="66C5A1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4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  <w:t>无裂纹、变形、破损及其它异常情况</w:t>
            </w:r>
          </w:p>
        </w:tc>
      </w:tr>
    </w:tbl>
    <w:p w14:paraId="531589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540" w:lineRule="exact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auto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auto"/>
        </w:rPr>
        <w:t>注：以上检验项目已经包含电动葫芦在内。</w:t>
      </w:r>
      <w:permEnd w:id="0"/>
    </w:p>
    <w:p w14:paraId="7F8ACEC6"/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4D7377">
    <w:pPr>
      <w:pStyle w:val="4"/>
      <w:rPr>
        <w:rFonts w:eastAsia="宋体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139190" cy="1828800"/>
              <wp:effectExtent l="0" t="0" r="0" b="0"/>
              <wp:wrapNone/>
              <wp:docPr id="82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3919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B1234C">
                          <w:pPr>
                            <w:pStyle w:val="4"/>
                            <w:rPr>
                              <w:rFonts w:ascii="宋体" w:hAnsi="宋体" w:eastAsia="宋体" w:cs="宋体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</w:rPr>
                            <w:t xml:space="preserve">第 </w:t>
                          </w:r>
                          <w:r>
                            <w:rPr>
                              <w:rFonts w:hint="eastAsia" w:ascii="宋体" w:hAnsi="宋体" w:eastAsia="宋体" w:cs="宋体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</w:rPr>
                            <w:t>3</w:t>
                          </w:r>
                          <w:r>
                            <w:rPr>
                              <w:rFonts w:hint="eastAsia" w:ascii="宋体" w:hAnsi="宋体" w:eastAsia="宋体" w:cs="宋体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</w:rP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</w:rPr>
                            <w:t>20</w:t>
                          </w:r>
                          <w:r>
                            <w:rPr>
                              <w:rFonts w:ascii="宋体" w:hAnsi="宋体" w:eastAsia="宋体" w:cs="宋体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rtlCol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89.7pt;mso-position-horizontal:center;mso-position-horizontal-relative:margin;z-index:251659264;mso-width-relative:page;mso-height-relative:page;" filled="f" stroked="f" coordsize="21600,21600" o:gfxdata="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BI/Sfw1QAAAAUBAAAPAAAAAAAAAAEAIAAAACIAAABk&#10;cnMvZG93bnJldi54bWxQSwECFAAUAAAACACHTuJAXqa6pgkCAAANBAAADgAAAAAAAAABACAAAAAk&#10;AQAAZHJzL2Uyb0RvYy54bWxQSwUGAAAAAAYABgBZAQAAn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3B1234C">
                    <w:pPr>
                      <w:pStyle w:val="4"/>
                      <w:rPr>
                        <w:rFonts w:ascii="宋体" w:hAnsi="宋体" w:eastAsia="宋体" w:cs="宋体"/>
                      </w:rPr>
                    </w:pPr>
                    <w:r>
                      <w:rPr>
                        <w:rFonts w:hint="eastAsia" w:ascii="宋体" w:hAnsi="宋体" w:eastAsia="宋体" w:cs="宋体"/>
                      </w:rPr>
                      <w:t xml:space="preserve">第 </w:t>
                    </w:r>
                    <w:r>
                      <w:rPr>
                        <w:rFonts w:hint="eastAsia" w:ascii="宋体" w:hAnsi="宋体" w:eastAsia="宋体" w:cs="宋体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</w:rPr>
                      <w:t>3</w:t>
                    </w:r>
                    <w:r>
                      <w:rPr>
                        <w:rFonts w:hint="eastAsia" w:ascii="宋体" w:hAnsi="宋体" w:eastAsia="宋体" w:cs="宋体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</w:rP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rPr>
                        <w:rFonts w:ascii="宋体" w:hAnsi="宋体" w:eastAsia="宋体" w:cs="宋体"/>
                      </w:rPr>
                      <w:t>20</w:t>
                    </w:r>
                    <w:r>
                      <w:rPr>
                        <w:rFonts w:ascii="宋体" w:hAnsi="宋体" w:eastAsia="宋体" w:cs="宋体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</w:rPr>
                      <w:t xml:space="preserve"> 页</w:t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463140"/>
    <w:rsid w:val="2BF76BFB"/>
    <w:rsid w:val="2F0D0A1D"/>
    <w:rsid w:val="62186B15"/>
    <w:rsid w:val="68463140"/>
    <w:rsid w:val="69AD4219"/>
    <w:rsid w:val="71706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Office_12.8.2.21549_F1E327BC-269C-435d-A152-05C5408002CA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2026-01-14T07:09:00Z</dcterms:created>
  <dc:creator>李志彬</dc:creator>
  <cp:lastModifiedBy>李志彬</cp:lastModifiedBy>
  <dcterms:modified xsi:type="dcterms:W3CDTF">2026-01-14T07:14:45Z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2052-12.8.2.21549</vt:lpwstr>
  </property>
  <property fmtid="{D5CDD505-2E9C-101B-9397-08002B2CF9AE}" pid="3" name="ICV">
    <vt:lpwstr>F084DB5949894EAAA8C579E57F35C4B6_11</vt:lpwstr>
  </property>
</Properties>
</file>