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val="0"/>
        <w:snapToGrid w:val="0"/>
        <w:spacing w:line="500" w:lineRule="atLeast"/>
        <w:ind w:firstLine="321" w:firstLineChars="100"/>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服务采购需求</w:t>
      </w:r>
    </w:p>
    <w:p>
      <w:pPr>
        <w:keepNext w:val="0"/>
        <w:keepLines w:val="0"/>
        <w:pageBreakBefore w:val="0"/>
        <w:widowControl w:val="0"/>
        <w:kinsoku/>
        <w:wordWrap/>
        <w:overflowPunct/>
        <w:topLinePunct w:val="0"/>
        <w:autoSpaceDE/>
        <w:autoSpaceDN/>
        <w:bidi w:val="0"/>
        <w:adjustRightInd w:val="0"/>
        <w:snapToGrid w:val="0"/>
        <w:spacing w:line="580" w:lineRule="exact"/>
        <w:ind w:left="0" w:firstLine="281" w:firstLineChars="100"/>
        <w:textAlignment w:val="auto"/>
        <w:rPr>
          <w:rFonts w:hint="eastAsia" w:asciiTheme="minorEastAsia" w:hAnsiTheme="minorEastAsia" w:eastAsiaTheme="minorEastAsia" w:cstheme="majorBidi"/>
          <w:b/>
          <w:bCs/>
          <w:color w:val="auto"/>
          <w:kern w:val="0"/>
          <w:sz w:val="28"/>
          <w:szCs w:val="28"/>
          <w:highlight w:val="none"/>
          <w:lang w:val="en-US" w:eastAsia="zh-CN" w:bidi="ar-SA"/>
        </w:rPr>
      </w:pPr>
      <w:r>
        <w:rPr>
          <w:rFonts w:hint="eastAsia" w:asciiTheme="minorEastAsia" w:hAnsiTheme="minorEastAsia" w:eastAsiaTheme="minorEastAsia" w:cstheme="majorBidi"/>
          <w:b/>
          <w:bCs/>
          <w:color w:val="auto"/>
          <w:kern w:val="0"/>
          <w:sz w:val="28"/>
          <w:szCs w:val="28"/>
          <w:highlight w:val="none"/>
          <w:lang w:val="en-US" w:eastAsia="zh-CN" w:bidi="ar-SA"/>
        </w:rPr>
        <w:t>1、项目概况</w:t>
      </w:r>
    </w:p>
    <w:p>
      <w:pPr>
        <w:keepNext w:val="0"/>
        <w:keepLines w:val="0"/>
        <w:pageBreakBefore w:val="0"/>
        <w:widowControl w:val="0"/>
        <w:kinsoku/>
        <w:wordWrap/>
        <w:overflowPunct/>
        <w:topLinePunct w:val="0"/>
        <w:autoSpaceDE/>
        <w:autoSpaceDN/>
        <w:bidi w:val="0"/>
        <w:adjustRightInd w:val="0"/>
        <w:snapToGrid w:val="0"/>
        <w:spacing w:line="580" w:lineRule="exact"/>
        <w:ind w:left="0" w:firstLine="560" w:firstLineChars="200"/>
        <w:textAlignment w:val="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采购方因业务开展实际需求，需获取“两种人”证书，需求详见如下。</w:t>
      </w:r>
    </w:p>
    <w:p>
      <w:pPr>
        <w:keepNext w:val="0"/>
        <w:keepLines w:val="0"/>
        <w:pageBreakBefore w:val="0"/>
        <w:widowControl w:val="0"/>
        <w:kinsoku/>
        <w:wordWrap/>
        <w:overflowPunct/>
        <w:topLinePunct w:val="0"/>
        <w:autoSpaceDE/>
        <w:autoSpaceDN/>
        <w:bidi w:val="0"/>
        <w:adjustRightInd w:val="0"/>
        <w:snapToGrid w:val="0"/>
        <w:spacing w:line="580" w:lineRule="exact"/>
        <w:ind w:left="0" w:firstLine="281" w:firstLineChars="100"/>
        <w:textAlignment w:val="auto"/>
        <w:rPr>
          <w:rFonts w:hint="eastAsia" w:asciiTheme="minorEastAsia" w:hAnsiTheme="minorEastAsia" w:eastAsiaTheme="minorEastAsia" w:cstheme="majorBidi"/>
          <w:b/>
          <w:bCs/>
          <w:color w:val="auto"/>
          <w:kern w:val="0"/>
          <w:sz w:val="28"/>
          <w:szCs w:val="28"/>
          <w:highlight w:val="none"/>
          <w:lang w:val="en-US" w:eastAsia="zh-CN" w:bidi="ar-SA"/>
        </w:rPr>
      </w:pPr>
      <w:r>
        <w:rPr>
          <w:rFonts w:hint="eastAsia" w:asciiTheme="minorEastAsia" w:hAnsiTheme="minorEastAsia" w:eastAsiaTheme="minorEastAsia" w:cstheme="majorBidi"/>
          <w:b/>
          <w:bCs/>
          <w:color w:val="auto"/>
          <w:kern w:val="0"/>
          <w:sz w:val="28"/>
          <w:szCs w:val="28"/>
          <w:highlight w:val="none"/>
          <w:lang w:val="en-US" w:eastAsia="zh-CN" w:bidi="ar-SA"/>
        </w:rPr>
        <w:t>2、服务内容</w:t>
      </w:r>
    </w:p>
    <w:p>
      <w:pPr>
        <w:keepNext w:val="0"/>
        <w:keepLines w:val="0"/>
        <w:pageBreakBefore w:val="0"/>
        <w:widowControl w:val="0"/>
        <w:kinsoku/>
        <w:wordWrap/>
        <w:overflowPunct/>
        <w:topLinePunct w:val="0"/>
        <w:autoSpaceDE/>
        <w:autoSpaceDN/>
        <w:bidi w:val="0"/>
        <w:adjustRightInd w:val="0"/>
        <w:snapToGrid w:val="0"/>
        <w:spacing w:line="580" w:lineRule="exact"/>
        <w:ind w:left="0" w:firstLine="560" w:firstLineChars="200"/>
        <w:textAlignment w:va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b w:val="0"/>
          <w:bCs w:val="0"/>
          <w:color w:val="auto"/>
          <w:sz w:val="28"/>
          <w:szCs w:val="28"/>
          <w:highlight w:val="none"/>
          <w:lang w:val="en-US" w:eastAsia="zh-CN"/>
        </w:rPr>
        <w:t>报价人</w:t>
      </w:r>
      <w:r>
        <w:rPr>
          <w:rFonts w:hint="eastAsia" w:ascii="仿宋" w:hAnsi="仿宋" w:eastAsia="仿宋" w:cs="Times New Roman"/>
          <w:color w:val="auto"/>
          <w:sz w:val="28"/>
          <w:szCs w:val="28"/>
          <w:highlight w:val="none"/>
          <w:lang w:val="en-US" w:eastAsia="zh-CN"/>
        </w:rPr>
        <w:t>需按期完成该项目的培训、考试工作，</w:t>
      </w:r>
      <w:r>
        <w:rPr>
          <w:rFonts w:hint="eastAsia" w:ascii="仿宋" w:hAnsi="仿宋" w:eastAsia="仿宋" w:cs="Times New Roman"/>
          <w:b w:val="0"/>
          <w:bCs w:val="0"/>
          <w:color w:val="auto"/>
          <w:sz w:val="28"/>
          <w:szCs w:val="28"/>
          <w:highlight w:val="none"/>
          <w:lang w:val="en-US" w:eastAsia="zh-CN"/>
        </w:rPr>
        <w:t>报价人</w:t>
      </w:r>
      <w:r>
        <w:rPr>
          <w:rFonts w:hint="eastAsia" w:ascii="仿宋" w:hAnsi="仿宋" w:eastAsia="仿宋" w:cs="Times New Roman"/>
          <w:color w:val="auto"/>
          <w:sz w:val="28"/>
          <w:szCs w:val="28"/>
          <w:highlight w:val="none"/>
          <w:lang w:val="en-US" w:eastAsia="zh-CN"/>
        </w:rPr>
        <w:t>在培训服务过程中所需承担的工作内容包括但不限于：</w:t>
      </w:r>
    </w:p>
    <w:p>
      <w:pPr>
        <w:keepNext w:val="0"/>
        <w:keepLines w:val="0"/>
        <w:pageBreakBefore w:val="0"/>
        <w:widowControl w:val="0"/>
        <w:numPr>
          <w:ilvl w:val="0"/>
          <w:numId w:val="2"/>
        </w:numPr>
        <w:kinsoku/>
        <w:wordWrap/>
        <w:overflowPunct/>
        <w:topLinePunct w:val="0"/>
        <w:autoSpaceDE/>
        <w:autoSpaceDN/>
        <w:bidi w:val="0"/>
        <w:adjustRightInd w:val="0"/>
        <w:snapToGrid w:val="0"/>
        <w:spacing w:line="580" w:lineRule="exact"/>
        <w:ind w:left="0" w:leftChars="0" w:firstLine="280" w:firstLineChars="0"/>
        <w:textAlignment w:va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组织完成该项目的培训、报名、考试等相关事宜。    </w:t>
      </w:r>
    </w:p>
    <w:p>
      <w:pPr>
        <w:keepNext w:val="0"/>
        <w:keepLines w:val="0"/>
        <w:pageBreakBefore w:val="0"/>
        <w:widowControl w:val="0"/>
        <w:numPr>
          <w:ilvl w:val="0"/>
          <w:numId w:val="2"/>
        </w:numPr>
        <w:kinsoku/>
        <w:wordWrap/>
        <w:overflowPunct/>
        <w:topLinePunct w:val="0"/>
        <w:autoSpaceDE/>
        <w:autoSpaceDN/>
        <w:bidi w:val="0"/>
        <w:adjustRightInd w:val="0"/>
        <w:snapToGrid w:val="0"/>
        <w:spacing w:line="580" w:lineRule="exact"/>
        <w:ind w:left="0" w:leftChars="0" w:firstLine="280" w:firstLineChars="0"/>
        <w:textAlignment w:va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提供该项目取证相关的学习资料，包括但不限于电子版、纸质版学习资料、题库。</w:t>
      </w:r>
    </w:p>
    <w:p>
      <w:pPr>
        <w:keepNext w:val="0"/>
        <w:keepLines w:val="0"/>
        <w:pageBreakBefore w:val="0"/>
        <w:widowControl w:val="0"/>
        <w:numPr>
          <w:ilvl w:val="0"/>
          <w:numId w:val="2"/>
        </w:numPr>
        <w:kinsoku/>
        <w:wordWrap/>
        <w:overflowPunct/>
        <w:topLinePunct w:val="0"/>
        <w:autoSpaceDE/>
        <w:autoSpaceDN/>
        <w:bidi w:val="0"/>
        <w:adjustRightInd w:val="0"/>
        <w:snapToGrid w:val="0"/>
        <w:spacing w:line="580" w:lineRule="exact"/>
        <w:ind w:left="0" w:leftChars="0" w:firstLine="280" w:firstLineChars="0"/>
        <w:textAlignment w:val="auto"/>
        <w:rPr>
          <w:rFonts w:hint="eastAsia"/>
          <w:color w:val="auto"/>
          <w:lang w:val="en-US" w:eastAsia="zh-CN"/>
        </w:rPr>
      </w:pPr>
      <w:r>
        <w:rPr>
          <w:rFonts w:hint="eastAsia" w:ascii="仿宋" w:hAnsi="仿宋" w:eastAsia="仿宋" w:cs="Times New Roman"/>
          <w:color w:val="auto"/>
          <w:sz w:val="28"/>
          <w:szCs w:val="28"/>
          <w:highlight w:val="none"/>
          <w:lang w:val="en-US" w:eastAsia="zh-CN"/>
        </w:rPr>
        <w:t>根据采购方提供的报名考试人员名单，</w:t>
      </w:r>
      <w:r>
        <w:rPr>
          <w:rFonts w:hint="eastAsia" w:ascii="仿宋" w:hAnsi="仿宋" w:eastAsia="仿宋" w:cs="Times New Roman"/>
          <w:b w:val="0"/>
          <w:bCs w:val="0"/>
          <w:color w:val="auto"/>
          <w:sz w:val="28"/>
          <w:szCs w:val="28"/>
          <w:highlight w:val="none"/>
          <w:lang w:val="en-US" w:eastAsia="zh-CN"/>
        </w:rPr>
        <w:t>报价人</w:t>
      </w:r>
      <w:r>
        <w:rPr>
          <w:rFonts w:hint="eastAsia" w:ascii="仿宋" w:hAnsi="仿宋" w:eastAsia="仿宋" w:cs="Times New Roman"/>
          <w:color w:val="auto"/>
          <w:sz w:val="28"/>
          <w:szCs w:val="28"/>
          <w:highlight w:val="none"/>
          <w:lang w:val="en-US" w:eastAsia="zh-CN"/>
        </w:rPr>
        <w:t>按照相应取证时间要求组织开展相应培训、报名、考试工作。</w:t>
      </w:r>
    </w:p>
    <w:p>
      <w:pPr>
        <w:pStyle w:val="2"/>
        <w:keepNext w:val="0"/>
        <w:keepLines w:val="0"/>
        <w:pageBreakBefore w:val="0"/>
        <w:numPr>
          <w:ilvl w:val="0"/>
          <w:numId w:val="0"/>
        </w:numPr>
        <w:kinsoku/>
        <w:wordWrap/>
        <w:overflowPunct/>
        <w:topLinePunct w:val="0"/>
        <w:autoSpaceDE/>
        <w:autoSpaceDN/>
        <w:bidi w:val="0"/>
        <w:adjustRightInd w:val="0"/>
        <w:snapToGrid w:val="0"/>
        <w:spacing w:line="580" w:lineRule="exact"/>
        <w:ind w:left="0" w:leftChars="0" w:firstLine="840" w:firstLineChars="300"/>
        <w:textAlignment w:val="auto"/>
        <w:rPr>
          <w:rFonts w:hint="default"/>
          <w:b w:val="0"/>
          <w:bCs w:val="0"/>
          <w:color w:val="auto"/>
          <w:lang w:val="en-US" w:eastAsia="zh-CN"/>
        </w:rPr>
      </w:pPr>
      <w:r>
        <w:rPr>
          <w:rFonts w:hint="eastAsia" w:ascii="仿宋" w:hAnsi="仿宋" w:eastAsia="仿宋" w:cs="Times New Roman"/>
          <w:b w:val="0"/>
          <w:bCs w:val="0"/>
          <w:color w:val="auto"/>
          <w:sz w:val="28"/>
          <w:szCs w:val="28"/>
          <w:highlight w:val="none"/>
          <w:lang w:val="en-US" w:eastAsia="zh-CN"/>
        </w:rPr>
        <w:t>（四）要求普通班培训时长不少于2天；加强班培训时长不少于5天，小班制授课，并强化专业习题练习及模拟测试。</w:t>
      </w:r>
    </w:p>
    <w:p>
      <w:pPr>
        <w:keepNext w:val="0"/>
        <w:keepLines w:val="0"/>
        <w:pageBreakBefore w:val="0"/>
        <w:widowControl w:val="0"/>
        <w:kinsoku/>
        <w:wordWrap/>
        <w:overflowPunct/>
        <w:topLinePunct w:val="0"/>
        <w:autoSpaceDE/>
        <w:autoSpaceDN/>
        <w:bidi w:val="0"/>
        <w:adjustRightInd w:val="0"/>
        <w:snapToGrid w:val="0"/>
        <w:spacing w:line="580" w:lineRule="exact"/>
        <w:ind w:left="0" w:firstLine="281" w:firstLineChars="100"/>
        <w:textAlignment w:val="auto"/>
        <w:rPr>
          <w:rFonts w:hint="default" w:asciiTheme="minorEastAsia" w:hAnsiTheme="minorEastAsia" w:eastAsiaTheme="minorEastAsia" w:cstheme="majorBidi"/>
          <w:b/>
          <w:bCs/>
          <w:color w:val="auto"/>
          <w:kern w:val="0"/>
          <w:sz w:val="28"/>
          <w:szCs w:val="28"/>
          <w:highlight w:val="none"/>
          <w:lang w:val="en-US" w:eastAsia="zh-CN" w:bidi="ar-SA"/>
        </w:rPr>
      </w:pPr>
      <w:r>
        <w:rPr>
          <w:rFonts w:hint="eastAsia" w:asciiTheme="minorEastAsia" w:hAnsiTheme="minorEastAsia" w:eastAsiaTheme="minorEastAsia" w:cstheme="majorBidi"/>
          <w:b/>
          <w:bCs/>
          <w:color w:val="auto"/>
          <w:kern w:val="0"/>
          <w:sz w:val="28"/>
          <w:szCs w:val="28"/>
          <w:highlight w:val="none"/>
          <w:lang w:val="en-US" w:eastAsia="zh-CN" w:bidi="ar-SA"/>
        </w:rPr>
        <w:t>3、服务要求及项目实施保障</w:t>
      </w:r>
    </w:p>
    <w:p>
      <w:pPr>
        <w:keepNext w:val="0"/>
        <w:keepLines w:val="0"/>
        <w:pageBreakBefore w:val="0"/>
        <w:widowControl w:val="0"/>
        <w:kinsoku/>
        <w:wordWrap/>
        <w:overflowPunct/>
        <w:topLinePunct w:val="0"/>
        <w:autoSpaceDE/>
        <w:autoSpaceDN/>
        <w:bidi w:val="0"/>
        <w:adjustRightInd w:val="0"/>
        <w:snapToGrid w:val="0"/>
        <w:spacing w:line="580" w:lineRule="exact"/>
        <w:ind w:left="0" w:firstLine="560" w:firstLineChars="200"/>
        <w:textAlignment w:val="auto"/>
        <w:rPr>
          <w:rFonts w:hint="eastAsia" w:ascii="仿宋" w:hAnsi="仿宋" w:eastAsia="仿宋"/>
          <w:color w:val="auto"/>
          <w:sz w:val="28"/>
          <w:szCs w:val="28"/>
          <w:highlight w:val="none"/>
          <w:lang w:eastAsia="zh-CN"/>
        </w:rPr>
      </w:pPr>
      <w:bookmarkStart w:id="0" w:name="_Toc18891"/>
      <w:r>
        <w:rPr>
          <w:rFonts w:hint="eastAsia" w:ascii="仿宋" w:hAnsi="仿宋" w:eastAsia="仿宋" w:cs="Times New Roman"/>
          <w:b w:val="0"/>
          <w:bCs w:val="0"/>
          <w:color w:val="auto"/>
          <w:sz w:val="28"/>
          <w:szCs w:val="28"/>
          <w:highlight w:val="none"/>
          <w:lang w:val="en-US" w:eastAsia="zh-CN"/>
        </w:rPr>
        <w:t>（1）项目为框架采购项目，</w:t>
      </w:r>
      <w:r>
        <w:rPr>
          <w:rFonts w:hint="eastAsia" w:ascii="仿宋" w:hAnsi="仿宋" w:eastAsia="仿宋"/>
          <w:color w:val="auto"/>
          <w:sz w:val="28"/>
          <w:szCs w:val="28"/>
          <w:highlight w:val="none"/>
        </w:rPr>
        <w:t>在协议签订后</w:t>
      </w:r>
      <w:r>
        <w:rPr>
          <w:rFonts w:hint="eastAsia" w:ascii="仿宋" w:hAnsi="仿宋" w:eastAsia="仿宋"/>
          <w:color w:val="auto"/>
          <w:sz w:val="28"/>
          <w:szCs w:val="28"/>
          <w:highlight w:val="none"/>
          <w:lang w:eastAsia="zh-CN"/>
        </w:rPr>
        <w:t>，采购方按照实际需求下达任务委托单，报价人根据采购方任务委托单提供的</w:t>
      </w:r>
      <w:r>
        <w:rPr>
          <w:rFonts w:hint="eastAsia" w:ascii="仿宋" w:hAnsi="仿宋" w:eastAsia="仿宋" w:cs="Times New Roman"/>
          <w:color w:val="auto"/>
          <w:sz w:val="28"/>
          <w:szCs w:val="28"/>
          <w:highlight w:val="none"/>
          <w:lang w:val="en-US" w:eastAsia="zh-CN"/>
        </w:rPr>
        <w:t>考试人员名单</w:t>
      </w:r>
      <w:r>
        <w:rPr>
          <w:rFonts w:hint="eastAsia" w:ascii="仿宋" w:hAnsi="仿宋" w:eastAsia="仿宋"/>
          <w:color w:val="auto"/>
          <w:sz w:val="28"/>
          <w:szCs w:val="28"/>
          <w:highlight w:val="none"/>
          <w:lang w:eastAsia="zh-CN"/>
        </w:rPr>
        <w:t>，在采购方规定时间内完成服务内容。</w:t>
      </w:r>
    </w:p>
    <w:p>
      <w:pPr>
        <w:keepNext w:val="0"/>
        <w:keepLines w:val="0"/>
        <w:pageBreakBefore w:val="0"/>
        <w:widowControl w:val="0"/>
        <w:kinsoku/>
        <w:wordWrap/>
        <w:overflowPunct/>
        <w:topLinePunct w:val="0"/>
        <w:autoSpaceDE/>
        <w:autoSpaceDN/>
        <w:bidi w:val="0"/>
        <w:adjustRightInd w:val="0"/>
        <w:snapToGrid w:val="0"/>
        <w:spacing w:line="580" w:lineRule="exact"/>
        <w:ind w:left="0" w:firstLine="560" w:firstLineChars="200"/>
        <w:textAlignment w:val="auto"/>
        <w:rPr>
          <w:rFonts w:hint="default" w:ascii="仿宋" w:hAnsi="仿宋" w:eastAsia="仿宋" w:cs="Times New Roman"/>
          <w:b w:val="0"/>
          <w:bCs w:val="0"/>
          <w:color w:val="auto"/>
          <w:sz w:val="28"/>
          <w:szCs w:val="28"/>
          <w:highlight w:val="none"/>
          <w:lang w:val="en-US" w:eastAsia="zh-CN"/>
        </w:rPr>
      </w:pPr>
      <w:r>
        <w:rPr>
          <w:rFonts w:hint="eastAsia" w:ascii="仿宋" w:hAnsi="仿宋" w:eastAsia="仿宋" w:cs="Times New Roman"/>
          <w:b w:val="0"/>
          <w:bCs w:val="0"/>
          <w:color w:val="auto"/>
          <w:sz w:val="28"/>
          <w:szCs w:val="28"/>
          <w:highlight w:val="none"/>
          <w:lang w:val="en-US" w:eastAsia="zh-CN"/>
        </w:rPr>
        <w:t>（2）提供高压输电 变电、配电、土建专业：要求能提供《中国南方电网有限责任公司电力安全工作规程第1部分：发电厂和变电站部分》解读、《中国南方电网有限责任公司电力安全工作规程第2部分：高压输电部分》解读、《中国南方电网有限责任公司电力安全工作规程第3部分：配电部分》解读、配电一次识图、变电一次识图、线路一次识图、工作票实操培训、考试难点和现场答疑培训项目服务。</w:t>
      </w:r>
    </w:p>
    <w:p>
      <w:pPr>
        <w:pStyle w:val="3"/>
        <w:keepNext w:val="0"/>
        <w:keepLines w:val="0"/>
        <w:pageBreakBefore w:val="0"/>
        <w:numPr>
          <w:ilvl w:val="0"/>
          <w:numId w:val="0"/>
        </w:numPr>
        <w:tabs>
          <w:tab w:val="left" w:pos="360"/>
        </w:tabs>
        <w:kinsoku/>
        <w:wordWrap/>
        <w:overflowPunct/>
        <w:topLinePunct w:val="0"/>
        <w:autoSpaceDE/>
        <w:autoSpaceDN/>
        <w:bidi w:val="0"/>
        <w:adjustRightInd w:val="0"/>
        <w:snapToGrid w:val="0"/>
        <w:spacing w:line="580" w:lineRule="exact"/>
        <w:ind w:left="0" w:firstLine="580" w:firstLineChars="200"/>
        <w:jc w:val="both"/>
        <w:textAlignment w:val="auto"/>
        <w:rPr>
          <w:rFonts w:hint="default" w:ascii="仿宋" w:hAnsi="仿宋" w:eastAsia="仿宋" w:cs="Times New Roman"/>
          <w:b w:val="0"/>
          <w:bCs w:val="0"/>
          <w:color w:val="auto"/>
          <w:kern w:val="2"/>
          <w:sz w:val="28"/>
          <w:szCs w:val="28"/>
          <w:highlight w:val="none"/>
          <w:lang w:val="en-US" w:eastAsia="zh-CN" w:bidi="ar-SA"/>
        </w:rPr>
      </w:pPr>
      <w:r>
        <w:rPr>
          <w:rFonts w:hint="eastAsia" w:ascii="仿宋" w:hAnsi="仿宋" w:eastAsia="仿宋" w:cs="Times New Roman"/>
          <w:b w:val="0"/>
          <w:bCs w:val="0"/>
          <w:color w:val="auto"/>
          <w:kern w:val="2"/>
          <w:sz w:val="28"/>
          <w:szCs w:val="28"/>
          <w:highlight w:val="none"/>
          <w:lang w:val="en-US" w:eastAsia="zh-CN" w:bidi="ar-SA"/>
        </w:rPr>
        <w:t>（3）报价人负责提供固定的培训服务团队，包括整体负责项目统筹、协调、对接的项目负责人1名，且培训服务期间未经采购方同意不得更换项目负责人，如果采购方认为报价方提供的培训老师不能胜任的，报价方应当及时更换。项目负责人、培训老师具体要求如下，报价方应提供项目团队所有人员有关介绍及证明材料：</w:t>
      </w:r>
    </w:p>
    <w:tbl>
      <w:tblPr>
        <w:tblStyle w:val="5"/>
        <w:tblW w:w="532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97"/>
        <w:gridCol w:w="843"/>
        <w:gridCol w:w="714"/>
        <w:gridCol w:w="1553"/>
        <w:gridCol w:w="1814"/>
        <w:gridCol w:w="1768"/>
        <w:gridCol w:w="16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u w:val="none"/>
                <w:lang w:val="en-US" w:eastAsia="zh-CN" w:bidi="ar"/>
              </w:rPr>
            </w:pPr>
            <w:r>
              <w:rPr>
                <w:rFonts w:hint="eastAsia" w:ascii="仿宋" w:hAnsi="仿宋" w:eastAsia="仿宋" w:cs="仿宋"/>
                <w:b/>
                <w:i w:val="0"/>
                <w:color w:val="auto"/>
                <w:kern w:val="0"/>
                <w:sz w:val="24"/>
                <w:szCs w:val="24"/>
                <w:u w:val="none"/>
                <w:lang w:val="en-US" w:eastAsia="zh-CN" w:bidi="ar"/>
              </w:rPr>
              <w:t>序号</w:t>
            </w:r>
          </w:p>
        </w:tc>
        <w:tc>
          <w:tcPr>
            <w:tcW w:w="47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u w:val="none"/>
                <w:lang w:val="en-US" w:eastAsia="zh-CN" w:bidi="ar"/>
              </w:rPr>
            </w:pPr>
            <w:r>
              <w:rPr>
                <w:rFonts w:hint="eastAsia" w:ascii="仿宋" w:hAnsi="仿宋" w:eastAsia="仿宋" w:cs="仿宋"/>
                <w:b/>
                <w:i w:val="0"/>
                <w:color w:val="auto"/>
                <w:kern w:val="0"/>
                <w:sz w:val="24"/>
                <w:szCs w:val="24"/>
                <w:u w:val="none"/>
                <w:lang w:val="en-US" w:eastAsia="zh-CN" w:bidi="ar"/>
              </w:rPr>
              <w:t>团队角色</w:t>
            </w:r>
          </w:p>
        </w:tc>
        <w:tc>
          <w:tcPr>
            <w:tcW w:w="40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u w:val="none"/>
                <w:lang w:val="en-US" w:eastAsia="zh-CN" w:bidi="ar"/>
              </w:rPr>
            </w:pPr>
            <w:r>
              <w:rPr>
                <w:rFonts w:hint="eastAsia" w:ascii="仿宋" w:hAnsi="仿宋" w:eastAsia="仿宋" w:cs="仿宋"/>
                <w:b/>
                <w:i w:val="0"/>
                <w:color w:val="auto"/>
                <w:kern w:val="0"/>
                <w:sz w:val="24"/>
                <w:szCs w:val="24"/>
                <w:u w:val="none"/>
                <w:lang w:val="en-US" w:eastAsia="zh-CN" w:bidi="ar"/>
              </w:rPr>
              <w:t>人数</w:t>
            </w:r>
          </w:p>
        </w:tc>
        <w:tc>
          <w:tcPr>
            <w:tcW w:w="87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u w:val="none"/>
                <w:lang w:val="en-US" w:eastAsia="zh-CN" w:bidi="ar"/>
              </w:rPr>
            </w:pPr>
            <w:r>
              <w:rPr>
                <w:rFonts w:hint="eastAsia" w:ascii="仿宋" w:hAnsi="仿宋" w:eastAsia="仿宋" w:cs="仿宋"/>
                <w:b/>
                <w:i w:val="0"/>
                <w:color w:val="auto"/>
                <w:kern w:val="0"/>
                <w:sz w:val="24"/>
                <w:szCs w:val="24"/>
                <w:u w:val="none"/>
                <w:lang w:val="en-US" w:eastAsia="zh-CN" w:bidi="ar"/>
              </w:rPr>
              <w:t>教育背景</w:t>
            </w:r>
          </w:p>
        </w:tc>
        <w:tc>
          <w:tcPr>
            <w:tcW w:w="102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u w:val="none"/>
                <w:lang w:val="en-US" w:eastAsia="zh-CN" w:bidi="ar"/>
              </w:rPr>
            </w:pPr>
            <w:r>
              <w:rPr>
                <w:rFonts w:hint="eastAsia" w:ascii="仿宋" w:hAnsi="仿宋" w:eastAsia="仿宋" w:cs="仿宋"/>
                <w:b/>
                <w:i w:val="0"/>
                <w:color w:val="auto"/>
                <w:kern w:val="0"/>
                <w:sz w:val="24"/>
                <w:szCs w:val="24"/>
                <w:u w:val="none"/>
                <w:lang w:val="en-US" w:eastAsia="zh-CN" w:bidi="ar"/>
              </w:rPr>
              <w:t>经验要求</w:t>
            </w:r>
          </w:p>
        </w:tc>
        <w:tc>
          <w:tcPr>
            <w:tcW w:w="99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u w:val="none"/>
                <w:lang w:val="en-US" w:eastAsia="zh-CN" w:bidi="ar"/>
              </w:rPr>
            </w:pPr>
            <w:r>
              <w:rPr>
                <w:rFonts w:hint="eastAsia" w:ascii="仿宋" w:hAnsi="仿宋" w:eastAsia="仿宋" w:cs="仿宋"/>
                <w:b/>
                <w:i w:val="0"/>
                <w:color w:val="auto"/>
                <w:kern w:val="0"/>
                <w:sz w:val="24"/>
                <w:szCs w:val="24"/>
                <w:u w:val="none"/>
                <w:lang w:val="en-US" w:eastAsia="zh-CN" w:bidi="ar"/>
              </w:rPr>
              <w:t>职业资质（职称）要求</w:t>
            </w:r>
          </w:p>
        </w:tc>
        <w:tc>
          <w:tcPr>
            <w:tcW w:w="94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u w:val="none"/>
                <w:lang w:val="en-US" w:eastAsia="zh-CN" w:bidi="ar"/>
              </w:rPr>
            </w:pPr>
            <w:r>
              <w:rPr>
                <w:rFonts w:hint="eastAsia" w:ascii="仿宋" w:hAnsi="仿宋" w:eastAsia="仿宋" w:cs="仿宋"/>
                <w:b/>
                <w:i w:val="0"/>
                <w:color w:val="auto"/>
                <w:kern w:val="0"/>
                <w:sz w:val="24"/>
                <w:szCs w:val="24"/>
                <w:u w:val="none"/>
                <w:lang w:val="en-US" w:eastAsia="zh-CN" w:bidi="ar"/>
              </w:rPr>
              <w:t>其他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1</w:t>
            </w:r>
          </w:p>
        </w:tc>
        <w:tc>
          <w:tcPr>
            <w:tcW w:w="47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项目负责人</w:t>
            </w:r>
          </w:p>
        </w:tc>
        <w:tc>
          <w:tcPr>
            <w:tcW w:w="40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1人</w:t>
            </w:r>
          </w:p>
        </w:tc>
        <w:tc>
          <w:tcPr>
            <w:tcW w:w="87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不低于大学本科</w:t>
            </w:r>
          </w:p>
        </w:tc>
        <w:tc>
          <w:tcPr>
            <w:tcW w:w="102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5年内在“两种人”培训教育领域具有至少3年组织该培训的经验</w:t>
            </w:r>
          </w:p>
        </w:tc>
        <w:tc>
          <w:tcPr>
            <w:tcW w:w="99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 w:hAnsi="仿宋" w:eastAsia="仿宋" w:cs="仿宋"/>
                <w:i w:val="0"/>
                <w:color w:val="auto"/>
                <w:sz w:val="24"/>
                <w:szCs w:val="24"/>
                <w:u w:val="none"/>
                <w:lang w:val="en-US" w:eastAsia="zh-CN"/>
              </w:rPr>
            </w:pPr>
            <w:r>
              <w:rPr>
                <w:rFonts w:hint="eastAsia" w:ascii="仿宋" w:hAnsi="仿宋" w:eastAsia="仿宋" w:cs="仿宋"/>
                <w:i w:val="0"/>
                <w:color w:val="auto"/>
                <w:sz w:val="24"/>
                <w:szCs w:val="24"/>
                <w:u w:val="none"/>
                <w:lang w:val="en-US" w:eastAsia="zh-CN"/>
              </w:rPr>
              <w:t>具备中级</w:t>
            </w:r>
            <w:r>
              <w:rPr>
                <w:rFonts w:hint="eastAsia" w:ascii="仿宋" w:hAnsi="仿宋" w:eastAsia="仿宋" w:cs="仿宋"/>
                <w:i w:val="0"/>
                <w:color w:val="auto"/>
                <w:kern w:val="0"/>
                <w:sz w:val="24"/>
                <w:szCs w:val="24"/>
                <w:u w:val="none"/>
                <w:lang w:val="en-US" w:eastAsia="zh-CN" w:bidi="ar"/>
              </w:rPr>
              <w:t>及</w:t>
            </w:r>
            <w:r>
              <w:rPr>
                <w:rFonts w:hint="eastAsia" w:ascii="仿宋" w:hAnsi="仿宋" w:eastAsia="仿宋" w:cs="仿宋"/>
                <w:i w:val="0"/>
                <w:color w:val="auto"/>
                <w:sz w:val="24"/>
                <w:szCs w:val="24"/>
                <w:u w:val="none"/>
                <w:lang w:val="en-US" w:eastAsia="zh-CN"/>
              </w:rPr>
              <w:t>以上资质</w:t>
            </w:r>
          </w:p>
        </w:tc>
        <w:tc>
          <w:tcPr>
            <w:tcW w:w="94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i w:val="0"/>
                <w:color w:val="auto"/>
                <w:sz w:val="24"/>
                <w:szCs w:val="24"/>
                <w:u w:val="none"/>
                <w:lang w:val="en-US" w:eastAsia="zh-CN"/>
              </w:rPr>
            </w:pPr>
            <w:r>
              <w:rPr>
                <w:rFonts w:hint="eastAsia" w:ascii="仿宋" w:hAnsi="仿宋" w:eastAsia="仿宋" w:cs="仿宋"/>
                <w:i w:val="0"/>
                <w:color w:val="auto"/>
                <w:sz w:val="24"/>
                <w:szCs w:val="24"/>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67"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2</w:t>
            </w:r>
          </w:p>
        </w:tc>
        <w:tc>
          <w:tcPr>
            <w:tcW w:w="47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仿宋" w:hAnsi="仿宋" w:eastAsia="仿宋" w:cs="仿宋"/>
                <w:i w:val="0"/>
                <w:color w:val="auto"/>
                <w:sz w:val="24"/>
                <w:szCs w:val="24"/>
                <w:u w:val="none"/>
                <w:lang w:val="en-US" w:eastAsia="zh-CN"/>
              </w:rPr>
            </w:pPr>
            <w:r>
              <w:rPr>
                <w:rFonts w:hint="eastAsia" w:ascii="仿宋" w:hAnsi="仿宋" w:eastAsia="仿宋" w:cs="仿宋"/>
                <w:i w:val="0"/>
                <w:color w:val="auto"/>
                <w:sz w:val="24"/>
                <w:szCs w:val="24"/>
                <w:u w:val="none"/>
                <w:lang w:val="en-US" w:eastAsia="zh-CN"/>
              </w:rPr>
              <w:t>培训老师</w:t>
            </w:r>
          </w:p>
        </w:tc>
        <w:tc>
          <w:tcPr>
            <w:tcW w:w="40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3</w:t>
            </w:r>
          </w:p>
        </w:tc>
        <w:tc>
          <w:tcPr>
            <w:tcW w:w="87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不低于大学本科</w:t>
            </w:r>
          </w:p>
        </w:tc>
        <w:tc>
          <w:tcPr>
            <w:tcW w:w="102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针对类似专业领域相关教育培训具备副高级及以上职称或资深业务领域专家3名及以上师资储备</w:t>
            </w:r>
          </w:p>
        </w:tc>
        <w:tc>
          <w:tcPr>
            <w:tcW w:w="99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仿宋" w:hAnsi="仿宋" w:eastAsia="仿宋" w:cs="仿宋"/>
                <w:i w:val="0"/>
                <w:color w:val="auto"/>
                <w:sz w:val="24"/>
                <w:szCs w:val="24"/>
                <w:u w:val="none"/>
                <w:lang w:val="en-US"/>
              </w:rPr>
            </w:pPr>
            <w:r>
              <w:rPr>
                <w:rFonts w:hint="eastAsia" w:ascii="仿宋" w:hAnsi="仿宋" w:eastAsia="仿宋" w:cs="仿宋"/>
                <w:i w:val="0"/>
                <w:color w:val="auto"/>
                <w:kern w:val="0"/>
                <w:sz w:val="24"/>
                <w:szCs w:val="24"/>
                <w:u w:val="none"/>
                <w:lang w:val="en-US" w:eastAsia="zh-CN" w:bidi="ar"/>
              </w:rPr>
              <w:t>具备副高级及以上职称</w:t>
            </w:r>
          </w:p>
        </w:tc>
        <w:tc>
          <w:tcPr>
            <w:tcW w:w="94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i w:val="0"/>
                <w:color w:val="auto"/>
                <w:sz w:val="24"/>
                <w:szCs w:val="24"/>
                <w:u w:val="none"/>
                <w:lang w:val="en-US" w:eastAsia="zh-CN"/>
              </w:rPr>
            </w:pPr>
            <w:r>
              <w:rPr>
                <w:rFonts w:hint="eastAsia" w:ascii="仿宋" w:hAnsi="仿宋" w:eastAsia="仿宋" w:cs="仿宋"/>
                <w:i w:val="0"/>
                <w:color w:val="auto"/>
                <w:sz w:val="24"/>
                <w:szCs w:val="24"/>
                <w:u w:val="none"/>
                <w:lang w:val="en-US" w:eastAsia="zh-CN"/>
              </w:rPr>
              <w:t>无</w:t>
            </w:r>
          </w:p>
        </w:tc>
      </w:tr>
      <w:bookmarkEnd w:id="0"/>
    </w:tbl>
    <w:p>
      <w:pPr>
        <w:keepNext w:val="0"/>
        <w:keepLines w:val="0"/>
        <w:pageBreakBefore w:val="0"/>
        <w:widowControl w:val="0"/>
        <w:kinsoku/>
        <w:wordWrap/>
        <w:overflowPunct/>
        <w:topLinePunct w:val="0"/>
        <w:autoSpaceDE/>
        <w:autoSpaceDN/>
        <w:bidi w:val="0"/>
        <w:adjustRightInd w:val="0"/>
        <w:snapToGrid w:val="0"/>
        <w:spacing w:line="500" w:lineRule="atLeast"/>
        <w:ind w:firstLine="440" w:firstLineChars="200"/>
        <w:textAlignment w:val="auto"/>
        <w:rPr>
          <w:rFonts w:hint="eastAsia"/>
          <w:color w:val="auto"/>
          <w:lang w:val="en-US" w:eastAsia="zh-CN"/>
        </w:rPr>
      </w:pPr>
    </w:p>
    <w:p>
      <w:pPr>
        <w:keepNext w:val="0"/>
        <w:keepLines w:val="0"/>
        <w:pageBreakBefore w:val="0"/>
        <w:widowControl w:val="0"/>
        <w:numPr>
          <w:ilvl w:val="0"/>
          <w:numId w:val="3"/>
        </w:numPr>
        <w:kinsoku/>
        <w:wordWrap/>
        <w:overflowPunct/>
        <w:topLinePunct w:val="0"/>
        <w:autoSpaceDE/>
        <w:autoSpaceDN/>
        <w:bidi w:val="0"/>
        <w:adjustRightInd w:val="0"/>
        <w:snapToGrid w:val="0"/>
        <w:spacing w:after="0" w:line="580" w:lineRule="exact"/>
        <w:ind w:firstLine="560" w:firstLineChars="200"/>
        <w:jc w:val="left"/>
        <w:textAlignment w:va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针对项目相关要求，组织项目人员研读有关的制度、文件、报告等资料，在整个项目开展过程中，积极与采购方相关负责人联系，充分沟通，确定培训内容、培训方式、培训人数、培训天数（一天不少于8学时）等。</w:t>
      </w:r>
    </w:p>
    <w:p>
      <w:pPr>
        <w:pStyle w:val="3"/>
        <w:keepNext w:val="0"/>
        <w:keepLines w:val="0"/>
        <w:pageBreakBefore w:val="0"/>
        <w:numPr>
          <w:ilvl w:val="0"/>
          <w:numId w:val="0"/>
        </w:numPr>
        <w:kinsoku/>
        <w:wordWrap/>
        <w:overflowPunct/>
        <w:topLinePunct w:val="0"/>
        <w:autoSpaceDE/>
        <w:autoSpaceDN/>
        <w:bidi w:val="0"/>
        <w:adjustRightInd w:val="0"/>
        <w:snapToGrid w:val="0"/>
        <w:spacing w:after="0" w:line="580" w:lineRule="exact"/>
        <w:ind w:firstLine="580" w:firstLineChars="200"/>
        <w:jc w:val="left"/>
        <w:textAlignment w:val="auto"/>
        <w:rPr>
          <w:rFonts w:hint="default"/>
          <w:color w:val="auto"/>
          <w:lang w:val="en-US" w:eastAsia="zh-CN"/>
        </w:rPr>
      </w:pPr>
      <w:r>
        <w:rPr>
          <w:rFonts w:hint="eastAsia" w:ascii="仿宋" w:hAnsi="仿宋" w:eastAsia="仿宋" w:cs="Times New Roman"/>
          <w:color w:val="auto"/>
          <w:sz w:val="28"/>
          <w:szCs w:val="28"/>
          <w:highlight w:val="none"/>
          <w:lang w:val="en-US" w:eastAsia="zh-CN"/>
        </w:rPr>
        <w:t>（5）培训班分加强班和普通班。</w:t>
      </w:r>
    </w:p>
    <w:p>
      <w:pPr>
        <w:keepNext w:val="0"/>
        <w:keepLines w:val="0"/>
        <w:pageBreakBefore w:val="0"/>
        <w:widowControl w:val="0"/>
        <w:kinsoku/>
        <w:wordWrap/>
        <w:overflowPunct/>
        <w:topLinePunct w:val="0"/>
        <w:autoSpaceDE/>
        <w:autoSpaceDN/>
        <w:bidi w:val="0"/>
        <w:adjustRightInd w:val="0"/>
        <w:snapToGrid w:val="0"/>
        <w:spacing w:after="0" w:line="580" w:lineRule="exact"/>
        <w:ind w:firstLine="560" w:firstLineChars="200"/>
        <w:jc w:val="left"/>
        <w:textAlignment w:va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（6）确保培训人员在培训期间的人身安全，报价人对本培训项目安全负责。</w:t>
      </w:r>
    </w:p>
    <w:p>
      <w:pPr>
        <w:pStyle w:val="3"/>
        <w:keepNext w:val="0"/>
        <w:keepLines w:val="0"/>
        <w:pageBreakBefore w:val="0"/>
        <w:kinsoku/>
        <w:wordWrap/>
        <w:overflowPunct/>
        <w:topLinePunct w:val="0"/>
        <w:autoSpaceDE/>
        <w:autoSpaceDN/>
        <w:bidi w:val="0"/>
        <w:adjustRightInd w:val="0"/>
        <w:snapToGrid w:val="0"/>
        <w:spacing w:after="0" w:line="580" w:lineRule="exact"/>
        <w:jc w:val="left"/>
        <w:textAlignment w:val="auto"/>
        <w:rPr>
          <w:rFonts w:hint="eastAsia" w:ascii="仿宋" w:hAnsi="仿宋" w:eastAsia="仿宋"/>
          <w:color w:val="auto"/>
          <w:sz w:val="28"/>
          <w:szCs w:val="28"/>
          <w:highlight w:val="yellow"/>
          <w:lang w:eastAsia="zh-CN"/>
        </w:rPr>
      </w:pPr>
      <w:r>
        <w:rPr>
          <w:rFonts w:hint="eastAsia" w:ascii="仿宋" w:hAnsi="仿宋" w:eastAsia="仿宋" w:cs="Times New Roman"/>
          <w:color w:val="auto"/>
          <w:sz w:val="28"/>
          <w:szCs w:val="28"/>
          <w:highlight w:val="none"/>
          <w:lang w:val="en-US" w:eastAsia="zh-CN"/>
        </w:rPr>
        <w:t xml:space="preserve">  （7）项目开展地点：云南省昆明市。</w:t>
      </w:r>
    </w:p>
    <w:p>
      <w:pPr>
        <w:keepNext w:val="0"/>
        <w:keepLines w:val="0"/>
        <w:pageBreakBefore w:val="0"/>
        <w:widowControl w:val="0"/>
        <w:kinsoku/>
        <w:wordWrap/>
        <w:overflowPunct/>
        <w:topLinePunct w:val="0"/>
        <w:autoSpaceDE/>
        <w:autoSpaceDN/>
        <w:bidi w:val="0"/>
        <w:adjustRightInd w:val="0"/>
        <w:snapToGrid w:val="0"/>
        <w:spacing w:after="0" w:line="580" w:lineRule="exact"/>
        <w:textAlignment w:val="auto"/>
        <w:rPr>
          <w:rFonts w:hint="eastAsia" w:asciiTheme="minorEastAsia" w:hAnsiTheme="minorEastAsia" w:eastAsiaTheme="minorEastAsia" w:cstheme="majorBidi"/>
          <w:b/>
          <w:bCs/>
          <w:color w:val="auto"/>
          <w:kern w:val="0"/>
          <w:sz w:val="28"/>
          <w:szCs w:val="28"/>
          <w:highlight w:val="none"/>
          <w:lang w:val="en-US" w:eastAsia="zh-CN" w:bidi="ar-SA"/>
        </w:rPr>
      </w:pPr>
      <w:r>
        <w:rPr>
          <w:rFonts w:hint="eastAsia" w:asciiTheme="minorEastAsia" w:hAnsiTheme="minorEastAsia" w:eastAsiaTheme="minorEastAsia" w:cstheme="majorBidi"/>
          <w:b/>
          <w:bCs/>
          <w:color w:val="auto"/>
          <w:kern w:val="0"/>
          <w:sz w:val="28"/>
          <w:szCs w:val="28"/>
          <w:highlight w:val="none"/>
          <w:lang w:val="en-US" w:eastAsia="zh-CN" w:bidi="ar-SA"/>
        </w:rPr>
        <w:t>4、服务期限</w:t>
      </w:r>
    </w:p>
    <w:p>
      <w:pPr>
        <w:pStyle w:val="7"/>
        <w:keepNext w:val="0"/>
        <w:keepLines w:val="0"/>
        <w:pageBreakBefore w:val="0"/>
        <w:widowControl w:val="0"/>
        <w:numPr>
          <w:ilvl w:val="0"/>
          <w:numId w:val="0"/>
        </w:numPr>
        <w:kinsoku/>
        <w:wordWrap/>
        <w:overflowPunct/>
        <w:topLinePunct w:val="0"/>
        <w:autoSpaceDE/>
        <w:autoSpaceDN/>
        <w:bidi w:val="0"/>
        <w:adjustRightInd w:val="0"/>
        <w:snapToGrid w:val="0"/>
        <w:spacing w:after="0" w:line="580" w:lineRule="exact"/>
        <w:ind w:firstLine="560" w:firstLineChars="200"/>
        <w:jc w:val="left"/>
        <w:textAlignment w:val="auto"/>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 w:hAnsi="仿宋" w:eastAsia="仿宋"/>
          <w:color w:val="auto"/>
          <w:sz w:val="28"/>
          <w:szCs w:val="28"/>
          <w:highlight w:val="none"/>
        </w:rPr>
        <w:t>合同签订</w:t>
      </w:r>
      <w:r>
        <w:rPr>
          <w:rFonts w:hint="eastAsia" w:ascii="仿宋" w:hAnsi="仿宋" w:eastAsia="仿宋"/>
          <w:color w:val="auto"/>
          <w:sz w:val="28"/>
          <w:szCs w:val="28"/>
          <w:highlight w:val="none"/>
          <w:lang w:eastAsia="zh-CN"/>
        </w:rPr>
        <w:t>之日起至</w:t>
      </w:r>
      <w:r>
        <w:rPr>
          <w:rFonts w:hint="eastAsia" w:ascii="仿宋" w:hAnsi="仿宋" w:eastAsia="仿宋"/>
          <w:color w:val="auto"/>
          <w:sz w:val="28"/>
          <w:szCs w:val="28"/>
          <w:highlight w:val="none"/>
          <w:lang w:val="en-US" w:eastAsia="zh-CN"/>
        </w:rPr>
        <w:t>2026年12月31日止。</w:t>
      </w:r>
      <w:bookmarkStart w:id="1" w:name="_GoBack"/>
      <w:bookmarkEnd w:id="1"/>
    </w:p>
    <w:p>
      <w:pPr>
        <w:pageBreakBefore w:val="0"/>
        <w:widowControl w:val="0"/>
        <w:numPr>
          <w:ilvl w:val="0"/>
          <w:numId w:val="0"/>
        </w:numPr>
        <w:kinsoku/>
        <w:wordWrap/>
        <w:overflowPunct/>
        <w:topLinePunct w:val="0"/>
        <w:autoSpaceDE/>
        <w:autoSpaceDN/>
        <w:bidi w:val="0"/>
        <w:adjustRightInd w:val="0"/>
        <w:snapToGrid w:val="0"/>
        <w:spacing w:line="500" w:lineRule="atLeast"/>
        <w:textAlignment w:val="auto"/>
        <w:rPr>
          <w:rFonts w:hint="eastAsia" w:ascii="仿宋" w:hAnsi="仿宋" w:eastAsia="仿宋" w:cs="Times New Roman"/>
          <w:b/>
          <w:bCs/>
          <w:color w:val="auto"/>
          <w:kern w:val="2"/>
          <w:sz w:val="28"/>
          <w:szCs w:val="32"/>
          <w:highlight w:val="none"/>
          <w:lang w:val="en-US" w:eastAsia="zh-CN" w:bidi="ar-SA"/>
        </w:rPr>
      </w:pPr>
      <w:r>
        <w:rPr>
          <w:rFonts w:hint="eastAsia" w:ascii="宋体" w:hAnsi="宋体" w:eastAsia="宋体" w:cs="宋体"/>
          <w:b/>
          <w:bCs/>
          <w:color w:val="auto"/>
          <w:kern w:val="2"/>
          <w:sz w:val="28"/>
          <w:szCs w:val="28"/>
          <w:highlight w:val="none"/>
          <w:lang w:val="en-US" w:eastAsia="zh-CN" w:bidi="ar-SA"/>
        </w:rPr>
        <w:t>5、结算方式</w:t>
      </w:r>
    </w:p>
    <w:p>
      <w:pPr>
        <w:keepNext w:val="0"/>
        <w:keepLines w:val="0"/>
        <w:pageBreakBefore w:val="0"/>
        <w:widowControl w:val="0"/>
        <w:numPr>
          <w:ilvl w:val="0"/>
          <w:numId w:val="0"/>
        </w:numPr>
        <w:kinsoku/>
        <w:wordWrap/>
        <w:overflowPunct/>
        <w:topLinePunct w:val="0"/>
        <w:autoSpaceDE/>
        <w:autoSpaceDN/>
        <w:bidi w:val="0"/>
        <w:adjustRightInd w:val="0"/>
        <w:snapToGrid w:val="0"/>
        <w:spacing w:after="0" w:line="580" w:lineRule="exact"/>
        <w:ind w:firstLine="560" w:firstLineChars="200"/>
        <w:textAlignment w:val="auto"/>
        <w:rPr>
          <w:rFonts w:hint="default" w:ascii="仿宋" w:hAnsi="仿宋" w:eastAsia="仿宋" w:cs="Times New Roman"/>
          <w:color w:val="auto"/>
          <w:kern w:val="2"/>
          <w:sz w:val="28"/>
          <w:szCs w:val="32"/>
          <w:highlight w:val="none"/>
          <w:lang w:val="en-US" w:eastAsia="zh-CN" w:bidi="ar-SA"/>
        </w:rPr>
      </w:pPr>
      <w:r>
        <w:rPr>
          <w:rFonts w:hint="eastAsia" w:ascii="仿宋" w:hAnsi="仿宋" w:eastAsia="仿宋" w:cs="Times New Roman"/>
          <w:color w:val="auto"/>
          <w:kern w:val="2"/>
          <w:sz w:val="28"/>
          <w:szCs w:val="32"/>
          <w:highlight w:val="none"/>
          <w:lang w:val="en-US" w:eastAsia="zh-CN" w:bidi="ar-SA"/>
        </w:rPr>
        <w:t>1.培训班按时按质完成，</w:t>
      </w:r>
      <w:r>
        <w:rPr>
          <w:rFonts w:hint="eastAsia" w:ascii="仿宋" w:hAnsi="仿宋" w:eastAsia="仿宋" w:cs="Times New Roman"/>
          <w:color w:val="auto"/>
          <w:sz w:val="28"/>
          <w:szCs w:val="28"/>
          <w:highlight w:val="none"/>
          <w:lang w:val="en-US" w:eastAsia="zh-CN"/>
        </w:rPr>
        <w:t>培训结束后，采购方需收到乙方包括学员签到、培训照片、学员成绩单，</w:t>
      </w:r>
      <w:r>
        <w:rPr>
          <w:rFonts w:hint="eastAsia" w:ascii="仿宋" w:hAnsi="仿宋" w:eastAsia="仿宋" w:cs="Times New Roman"/>
          <w:color w:val="auto"/>
          <w:kern w:val="2"/>
          <w:sz w:val="28"/>
          <w:szCs w:val="32"/>
          <w:highlight w:val="none"/>
          <w:lang w:val="en-US" w:eastAsia="zh-CN" w:bidi="ar-SA"/>
        </w:rPr>
        <w:t>经采购方验收确认后，按照单个项目（或单个订单）据实结算。</w:t>
      </w:r>
      <w:r>
        <w:rPr>
          <w:rFonts w:hint="eastAsia" w:ascii="仿宋" w:hAnsi="仿宋" w:eastAsia="仿宋" w:cs="Times New Roman"/>
          <w:b/>
          <w:bCs/>
          <w:color w:val="auto"/>
          <w:kern w:val="2"/>
          <w:sz w:val="28"/>
          <w:szCs w:val="32"/>
          <w:highlight w:val="none"/>
          <w:lang w:val="en-US" w:eastAsia="zh-CN" w:bidi="ar-SA"/>
        </w:rPr>
        <w:t>支付条件：</w:t>
      </w:r>
      <w:r>
        <w:rPr>
          <w:rFonts w:hint="eastAsia" w:ascii="仿宋" w:hAnsi="仿宋" w:eastAsia="仿宋" w:cs="Times New Roman"/>
          <w:color w:val="auto"/>
          <w:kern w:val="2"/>
          <w:sz w:val="28"/>
          <w:szCs w:val="32"/>
          <w:highlight w:val="none"/>
          <w:lang w:val="en-US" w:eastAsia="zh-CN" w:bidi="ar-SA"/>
        </w:rPr>
        <w:t>报价人按照采购方下达的任务委托单，在规定时间内完成所有服务内容，经采购方验收合格后，开具符合国家税务规定和采购方财务要求的单个项目（或单个订单）的全额发票，采购方在收到发票后30个工作日内一次性支付单个项目（或单个订单）的全部费用。</w:t>
      </w:r>
    </w:p>
    <w:p>
      <w:pPr>
        <w:keepNext w:val="0"/>
        <w:keepLines w:val="0"/>
        <w:pageBreakBefore w:val="0"/>
        <w:widowControl w:val="0"/>
        <w:numPr>
          <w:ilvl w:val="0"/>
          <w:numId w:val="0"/>
        </w:numPr>
        <w:kinsoku/>
        <w:wordWrap/>
        <w:overflowPunct/>
        <w:topLinePunct w:val="0"/>
        <w:autoSpaceDE/>
        <w:autoSpaceDN/>
        <w:bidi w:val="0"/>
        <w:adjustRightInd/>
        <w:snapToGrid/>
        <w:spacing w:after="0" w:line="580" w:lineRule="exact"/>
        <w:ind w:firstLine="560" w:firstLineChars="200"/>
        <w:textAlignment w:val="auto"/>
        <w:rPr>
          <w:rFonts w:ascii="仿宋" w:hAnsi="仿宋" w:eastAsia="仿宋"/>
          <w:color w:val="auto"/>
          <w:spacing w:val="-3"/>
          <w:sz w:val="28"/>
          <w:szCs w:val="28"/>
        </w:rPr>
      </w:pPr>
      <w:r>
        <w:rPr>
          <w:rFonts w:hint="eastAsia" w:ascii="仿宋" w:hAnsi="仿宋" w:eastAsia="仿宋" w:cs="Times New Roman"/>
          <w:color w:val="auto"/>
          <w:kern w:val="2"/>
          <w:sz w:val="28"/>
          <w:szCs w:val="32"/>
          <w:highlight w:val="none"/>
          <w:lang w:val="en-US" w:eastAsia="zh-CN" w:bidi="ar-SA"/>
        </w:rPr>
        <w:t>2.为了保证授课及服务质量，具体要求如下：普通班当期</w:t>
      </w:r>
      <w:r>
        <w:rPr>
          <w:rFonts w:hint="eastAsia" w:ascii="仿宋" w:hAnsi="仿宋" w:eastAsia="仿宋"/>
          <w:color w:val="auto"/>
          <w:spacing w:val="-3"/>
          <w:sz w:val="28"/>
          <w:szCs w:val="28"/>
        </w:rPr>
        <w:t>成绩在75分</w:t>
      </w:r>
      <w:r>
        <w:rPr>
          <w:rFonts w:hint="eastAsia" w:ascii="仿宋" w:hAnsi="仿宋" w:eastAsia="仿宋"/>
          <w:color w:val="auto"/>
          <w:spacing w:val="-3"/>
          <w:sz w:val="28"/>
          <w:szCs w:val="28"/>
          <w:lang w:eastAsia="zh-CN"/>
        </w:rPr>
        <w:t>至</w:t>
      </w:r>
      <w:r>
        <w:rPr>
          <w:rFonts w:hint="eastAsia" w:ascii="仿宋" w:hAnsi="仿宋" w:eastAsia="仿宋"/>
          <w:color w:val="auto"/>
          <w:spacing w:val="-3"/>
          <w:sz w:val="28"/>
          <w:szCs w:val="28"/>
          <w:lang w:val="en-US" w:eastAsia="zh-CN"/>
        </w:rPr>
        <w:t>79分</w:t>
      </w:r>
      <w:r>
        <w:rPr>
          <w:rFonts w:hint="eastAsia" w:ascii="仿宋" w:hAnsi="仿宋" w:eastAsia="仿宋"/>
          <w:color w:val="auto"/>
          <w:spacing w:val="-3"/>
          <w:sz w:val="28"/>
          <w:szCs w:val="28"/>
        </w:rPr>
        <w:t>的，</w:t>
      </w:r>
      <w:r>
        <w:rPr>
          <w:rFonts w:hint="eastAsia" w:ascii="仿宋" w:hAnsi="仿宋" w:eastAsia="仿宋"/>
          <w:color w:val="auto"/>
          <w:spacing w:val="-3"/>
          <w:sz w:val="28"/>
          <w:szCs w:val="28"/>
          <w:lang w:eastAsia="zh-CN"/>
        </w:rPr>
        <w:t>在合同服务周期内发生的</w:t>
      </w:r>
      <w:r>
        <w:rPr>
          <w:rFonts w:hint="eastAsia" w:ascii="仿宋" w:hAnsi="仿宋" w:eastAsia="仿宋"/>
          <w:color w:val="auto"/>
          <w:spacing w:val="-3"/>
          <w:sz w:val="28"/>
          <w:szCs w:val="28"/>
          <w:lang w:val="en-US" w:eastAsia="zh-CN"/>
        </w:rPr>
        <w:t>下</w:t>
      </w:r>
      <w:r>
        <w:rPr>
          <w:rFonts w:hint="eastAsia" w:ascii="仿宋" w:hAnsi="仿宋" w:eastAsia="仿宋"/>
          <w:color w:val="auto"/>
          <w:spacing w:val="-3"/>
          <w:sz w:val="28"/>
          <w:szCs w:val="28"/>
        </w:rPr>
        <w:t>期</w:t>
      </w:r>
      <w:r>
        <w:rPr>
          <w:rFonts w:hint="eastAsia" w:ascii="仿宋" w:hAnsi="仿宋" w:eastAsia="仿宋"/>
          <w:color w:val="auto"/>
          <w:spacing w:val="-3"/>
          <w:sz w:val="28"/>
          <w:szCs w:val="28"/>
          <w:lang w:val="en-US" w:eastAsia="zh-CN"/>
        </w:rPr>
        <w:t>单人单科同专业培训费用</w:t>
      </w:r>
      <w:r>
        <w:rPr>
          <w:rFonts w:hint="eastAsia" w:ascii="仿宋" w:hAnsi="仿宋" w:eastAsia="仿宋"/>
          <w:color w:val="auto"/>
          <w:spacing w:val="-3"/>
          <w:sz w:val="28"/>
          <w:szCs w:val="28"/>
        </w:rPr>
        <w:t>全免</w:t>
      </w:r>
      <w:r>
        <w:rPr>
          <w:rFonts w:hint="eastAsia" w:ascii="仿宋" w:hAnsi="仿宋" w:eastAsia="仿宋"/>
          <w:color w:val="auto"/>
          <w:spacing w:val="-3"/>
          <w:sz w:val="28"/>
          <w:szCs w:val="28"/>
          <w:lang w:eastAsia="zh-CN"/>
        </w:rPr>
        <w:t>；</w:t>
      </w:r>
      <w:r>
        <w:rPr>
          <w:rFonts w:hint="eastAsia" w:ascii="仿宋" w:hAnsi="仿宋" w:eastAsia="仿宋"/>
          <w:color w:val="auto"/>
          <w:spacing w:val="-3"/>
          <w:sz w:val="28"/>
          <w:szCs w:val="28"/>
          <w:lang w:val="en-US" w:eastAsia="zh-CN"/>
        </w:rPr>
        <w:t>当期</w:t>
      </w:r>
      <w:r>
        <w:rPr>
          <w:rFonts w:hint="eastAsia" w:ascii="仿宋" w:hAnsi="仿宋" w:eastAsia="仿宋"/>
          <w:color w:val="auto"/>
          <w:spacing w:val="-3"/>
          <w:sz w:val="28"/>
          <w:szCs w:val="28"/>
        </w:rPr>
        <w:t>成绩在60分</w:t>
      </w:r>
      <w:r>
        <w:rPr>
          <w:rFonts w:hint="eastAsia" w:ascii="仿宋" w:hAnsi="仿宋" w:eastAsia="仿宋"/>
          <w:color w:val="auto"/>
          <w:spacing w:val="-3"/>
          <w:sz w:val="28"/>
          <w:szCs w:val="28"/>
          <w:lang w:eastAsia="zh-CN"/>
        </w:rPr>
        <w:t>及</w:t>
      </w:r>
      <w:r>
        <w:rPr>
          <w:rFonts w:hint="eastAsia" w:ascii="仿宋" w:hAnsi="仿宋" w:eastAsia="仿宋"/>
          <w:color w:val="auto"/>
          <w:spacing w:val="-3"/>
          <w:sz w:val="28"/>
          <w:szCs w:val="28"/>
        </w:rPr>
        <w:t>以上，75分以下的，</w:t>
      </w:r>
      <w:r>
        <w:rPr>
          <w:rFonts w:hint="eastAsia" w:ascii="仿宋" w:hAnsi="仿宋" w:eastAsia="仿宋"/>
          <w:color w:val="auto"/>
          <w:spacing w:val="-3"/>
          <w:sz w:val="28"/>
          <w:szCs w:val="28"/>
          <w:lang w:eastAsia="zh-CN"/>
        </w:rPr>
        <w:t>在合同服务周期内发生的</w:t>
      </w:r>
      <w:r>
        <w:rPr>
          <w:rFonts w:hint="eastAsia" w:ascii="仿宋" w:hAnsi="仿宋" w:eastAsia="仿宋"/>
          <w:color w:val="auto"/>
          <w:spacing w:val="-3"/>
          <w:sz w:val="28"/>
          <w:szCs w:val="28"/>
          <w:lang w:val="en-US" w:eastAsia="zh-CN"/>
        </w:rPr>
        <w:t>下</w:t>
      </w:r>
      <w:r>
        <w:rPr>
          <w:rFonts w:hint="eastAsia" w:ascii="仿宋" w:hAnsi="仿宋" w:eastAsia="仿宋"/>
          <w:color w:val="auto"/>
          <w:spacing w:val="-3"/>
          <w:sz w:val="28"/>
          <w:szCs w:val="28"/>
          <w:lang w:eastAsia="zh-CN"/>
        </w:rPr>
        <w:t>期</w:t>
      </w:r>
      <w:r>
        <w:rPr>
          <w:rFonts w:hint="eastAsia" w:ascii="仿宋" w:hAnsi="仿宋" w:eastAsia="仿宋"/>
          <w:color w:val="auto"/>
          <w:spacing w:val="-3"/>
          <w:sz w:val="28"/>
          <w:szCs w:val="28"/>
          <w:lang w:val="en-US" w:eastAsia="zh-CN"/>
        </w:rPr>
        <w:t>单人单科同专业培训</w:t>
      </w:r>
      <w:r>
        <w:rPr>
          <w:rFonts w:hint="eastAsia" w:ascii="仿宋" w:hAnsi="仿宋" w:eastAsia="仿宋"/>
          <w:color w:val="auto"/>
          <w:spacing w:val="-3"/>
          <w:sz w:val="28"/>
          <w:szCs w:val="28"/>
          <w:lang w:eastAsia="zh-CN"/>
        </w:rPr>
        <w:t>费用扣减</w:t>
      </w:r>
      <w:r>
        <w:rPr>
          <w:rFonts w:hint="eastAsia" w:ascii="仿宋" w:hAnsi="仿宋" w:eastAsia="仿宋"/>
          <w:color w:val="auto"/>
          <w:spacing w:val="-3"/>
          <w:sz w:val="28"/>
          <w:szCs w:val="28"/>
          <w:lang w:val="en-US" w:eastAsia="zh-CN"/>
        </w:rPr>
        <w:t>50%结算</w:t>
      </w:r>
      <w:r>
        <w:rPr>
          <w:rFonts w:hint="eastAsia" w:ascii="仿宋" w:hAnsi="仿宋" w:eastAsia="仿宋"/>
          <w:color w:val="auto"/>
          <w:spacing w:val="-3"/>
          <w:sz w:val="28"/>
          <w:szCs w:val="28"/>
          <w:lang w:eastAsia="zh-CN"/>
        </w:rPr>
        <w:t>；</w:t>
      </w:r>
      <w:r>
        <w:rPr>
          <w:rFonts w:hint="eastAsia" w:ascii="仿宋" w:hAnsi="仿宋" w:eastAsia="仿宋"/>
          <w:color w:val="auto"/>
          <w:spacing w:val="-3"/>
          <w:sz w:val="28"/>
          <w:szCs w:val="28"/>
          <w:lang w:val="en-US" w:eastAsia="zh-CN"/>
        </w:rPr>
        <w:t>加强班当期考试未通过，下次培训免费。</w:t>
      </w:r>
      <w:r>
        <w:rPr>
          <w:rFonts w:hint="eastAsia" w:ascii="仿宋" w:hAnsi="仿宋" w:eastAsia="仿宋"/>
          <w:color w:val="auto"/>
          <w:spacing w:val="-3"/>
          <w:sz w:val="28"/>
          <w:szCs w:val="28"/>
        </w:rPr>
        <w:t>除以上情况外，</w:t>
      </w:r>
      <w:r>
        <w:rPr>
          <w:rFonts w:hint="eastAsia" w:ascii="仿宋" w:hAnsi="仿宋" w:eastAsia="仿宋"/>
          <w:color w:val="auto"/>
          <w:spacing w:val="-3"/>
          <w:sz w:val="28"/>
          <w:szCs w:val="28"/>
          <w:lang w:val="en-US" w:eastAsia="zh-CN"/>
        </w:rPr>
        <w:t>正常结算</w:t>
      </w:r>
      <w:r>
        <w:rPr>
          <w:rFonts w:hint="eastAsia" w:ascii="仿宋" w:hAnsi="仿宋" w:eastAsia="仿宋"/>
          <w:color w:val="auto"/>
          <w:spacing w:val="-3"/>
          <w:sz w:val="28"/>
          <w:szCs w:val="28"/>
          <w:lang w:eastAsia="zh-CN"/>
        </w:rPr>
        <w:t>费用</w:t>
      </w:r>
      <w:r>
        <w:rPr>
          <w:rFonts w:hint="eastAsia" w:ascii="仿宋" w:hAnsi="仿宋" w:eastAsia="仿宋"/>
          <w:color w:val="auto"/>
          <w:spacing w:val="-3"/>
          <w:sz w:val="28"/>
          <w:szCs w:val="28"/>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MingLiU">
    <w:altName w:val="PMingLiU-ExtB"/>
    <w:panose1 w:val="02020509000000000000"/>
    <w:charset w:val="88"/>
    <w:family w:val="modern"/>
    <w:pitch w:val="default"/>
    <w:sig w:usb0="00000000" w:usb1="00000000" w:usb2="00000016" w:usb3="00000000" w:csb0="001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058B28"/>
    <w:multiLevelType w:val="singleLevel"/>
    <w:tmpl w:val="B0058B28"/>
    <w:lvl w:ilvl="0" w:tentative="0">
      <w:start w:val="1"/>
      <w:numFmt w:val="chineseCounting"/>
      <w:suff w:val="nothing"/>
      <w:lvlText w:val="（%1）"/>
      <w:lvlJc w:val="left"/>
      <w:pPr>
        <w:ind w:left="600"/>
      </w:pPr>
      <w:rPr>
        <w:rFonts w:hint="eastAsia" w:ascii="仿宋" w:hAnsi="仿宋" w:eastAsia="仿宋" w:cs="仿宋"/>
        <w:sz w:val="28"/>
        <w:szCs w:val="28"/>
      </w:rPr>
    </w:lvl>
  </w:abstractNum>
  <w:abstractNum w:abstractNumId="1">
    <w:nsid w:val="07F91543"/>
    <w:multiLevelType w:val="multilevel"/>
    <w:tmpl w:val="07F91543"/>
    <w:lvl w:ilvl="0" w:tentative="0">
      <w:start w:val="1"/>
      <w:numFmt w:val="decimal"/>
      <w:pStyle w:val="2"/>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b/>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1148"/>
        </w:tabs>
        <w:ind w:left="1148"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6、"/>
      <w:lvlJc w:val="left"/>
      <w:pPr>
        <w:ind w:left="360" w:hanging="360"/>
      </w:pPr>
      <w:rPr>
        <w:rFonts w:hint="default"/>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43C0262D"/>
    <w:multiLevelType w:val="singleLevel"/>
    <w:tmpl w:val="43C0262D"/>
    <w:lvl w:ilvl="0" w:tentative="0">
      <w:start w:val="4"/>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F9285A"/>
    <w:rsid w:val="2CF928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2">
    <w:name w:val="heading 1"/>
    <w:basedOn w:val="1"/>
    <w:next w:val="1"/>
    <w:qFormat/>
    <w:uiPriority w:val="0"/>
    <w:pPr>
      <w:numPr>
        <w:ilvl w:val="0"/>
        <w:numId w:val="1"/>
      </w:numPr>
      <w:spacing w:before="20" w:after="20"/>
      <w:ind w:firstLineChars="0"/>
      <w:jc w:val="left"/>
      <w:outlineLvl w:val="0"/>
    </w:pPr>
    <w:rPr>
      <w:rFonts w:ascii="宋体" w:hAnsi="宋体"/>
      <w:b/>
      <w:bCs/>
      <w:snapToGrid w:val="0"/>
      <w:kern w:val="44"/>
      <w:sz w:val="28"/>
      <w:szCs w:val="4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w:basedOn w:val="4"/>
    <w:next w:val="4"/>
    <w:qFormat/>
    <w:uiPriority w:val="99"/>
    <w:pPr>
      <w:shd w:val="clear" w:color="auto" w:fill="FFFFFF"/>
      <w:spacing w:line="403" w:lineRule="auto"/>
      <w:ind w:firstLine="400"/>
    </w:pPr>
    <w:rPr>
      <w:rFonts w:ascii="MingLiU" w:hAnsi="Calibri" w:eastAsia="MingLiU" w:cs="MingLiU"/>
      <w:kern w:val="2"/>
      <w:sz w:val="30"/>
      <w:szCs w:val="30"/>
    </w:rPr>
  </w:style>
  <w:style w:type="paragraph" w:styleId="4">
    <w:name w:val="Title"/>
    <w:basedOn w:val="1"/>
    <w:next w:val="1"/>
    <w:qFormat/>
    <w:uiPriority w:val="0"/>
    <w:pPr>
      <w:spacing w:after="300"/>
      <w:contextualSpacing/>
      <w:jc w:val="center"/>
    </w:pPr>
    <w:rPr>
      <w:rFonts w:ascii="黑体" w:hAnsi="黑体" w:eastAsia="黑体"/>
      <w:spacing w:val="5"/>
      <w:kern w:val="28"/>
      <w:sz w:val="56"/>
      <w:szCs w:val="52"/>
    </w:rPr>
  </w:style>
  <w:style w:type="paragraph" w:customStyle="1" w:styleId="7">
    <w:name w:val="列出段落1"/>
    <w:basedOn w:val="1"/>
    <w:qFormat/>
    <w:uiPriority w:val="34"/>
    <w:pPr>
      <w:ind w:firstLine="420" w:firstLineChars="200"/>
    </w:pPr>
    <w:rPr>
      <w:rFonts w:ascii="Times New Roman" w:hAnsi="Times New Roman" w:eastAsia="仿宋_GB2312"/>
      <w:sz w:val="32"/>
      <w:szCs w:val="24"/>
    </w:rPr>
  </w:style>
  <w:style w:type="character" w:customStyle="1" w:styleId="8">
    <w:name w:val="font41"/>
    <w:basedOn w:val="6"/>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2026-01-15T05:29:00Z</dcterms:created>
  <dc:creator>杨睿琦</dc:creator>
  <cp:lastModifiedBy>杨睿琦</cp:lastModifiedBy>
  <dcterms:modified xsi:type="dcterms:W3CDTF">2026-01-15T05:30:52Z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B842EE49DF46484796D9112243AC47ED</vt:lpwstr>
  </property>
</Properties>
</file>