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bCs/>
          <w:kern w:val="0"/>
          <w:sz w:val="36"/>
          <w:szCs w:val="36"/>
          <w:lang w:val="en-US" w:eastAsia="zh-CN"/>
        </w:rPr>
      </w:pPr>
      <w:r>
        <w:rPr>
          <w:rFonts w:hint="eastAsia" w:ascii="黑体" w:hAnsi="黑体" w:eastAsia="黑体" w:cs="黑体"/>
          <w:b/>
          <w:bCs/>
          <w:color w:val="000000"/>
          <w:kern w:val="0"/>
          <w:sz w:val="36"/>
          <w:szCs w:val="36"/>
          <w:lang w:val="en-US" w:eastAsia="zh-CN" w:bidi="ar-SA"/>
        </w:rPr>
        <w:t>深圳供电局有限公司电力调度控制中心2026年国家重点研发计划“高比例可再生能源配电网韧性运行与控制关键技术与工程示范”科技项目第三方经费审查零星采购项目技术规范书</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一、技术</w:t>
      </w:r>
      <w:r>
        <w:rPr>
          <w:rFonts w:hint="eastAsia" w:ascii="黑体" w:hAnsi="黑体" w:cs="黑体"/>
          <w:b w:val="0"/>
          <w:bCs w:val="0"/>
          <w:color w:val="000000"/>
          <w:sz w:val="32"/>
          <w:szCs w:val="32"/>
          <w:lang w:val="en-US" w:eastAsia="zh-CN"/>
        </w:rPr>
        <w:t>服务质量</w:t>
      </w:r>
      <w:r>
        <w:rPr>
          <w:rFonts w:hint="eastAsia" w:ascii="黑体" w:hAnsi="黑体" w:eastAsia="黑体" w:cs="黑体"/>
          <w:b w:val="0"/>
          <w:bCs w:val="0"/>
          <w:color w:val="000000"/>
          <w:sz w:val="32"/>
          <w:szCs w:val="32"/>
        </w:rPr>
        <w:t>（规范）标准</w:t>
      </w:r>
    </w:p>
    <w:p>
      <w:pPr>
        <w:pStyle w:val="5"/>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符合现行国家、行业</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地方</w:t>
      </w:r>
      <w:r>
        <w:rPr>
          <w:rFonts w:hint="eastAsia" w:ascii="仿宋_GB2312" w:hAnsi="仿宋_GB2312" w:eastAsia="仿宋_GB2312" w:cs="仿宋_GB2312"/>
          <w:color w:val="000000"/>
          <w:sz w:val="32"/>
          <w:szCs w:val="32"/>
          <w:lang w:val="en-US" w:eastAsia="zh-CN"/>
        </w:rPr>
        <w:t>以及深圳供电局</w:t>
      </w:r>
      <w:r>
        <w:rPr>
          <w:rFonts w:hint="eastAsia" w:ascii="仿宋_GB2312" w:hAnsi="仿宋_GB2312" w:eastAsia="仿宋_GB2312" w:cs="仿宋_GB2312"/>
          <w:color w:val="000000"/>
          <w:sz w:val="32"/>
          <w:szCs w:val="32"/>
        </w:rPr>
        <w:t>标准和技术规范要求。</w:t>
      </w:r>
    </w:p>
    <w:p>
      <w:pPr>
        <w:pStyle w:val="5"/>
        <w:keepNext/>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国家标准：</w:t>
      </w:r>
      <w:r>
        <w:rPr>
          <w:rFonts w:hint="eastAsia" w:ascii="仿宋_GB2312" w:hAnsi="仿宋_GB2312" w:eastAsia="仿宋_GB2312" w:cs="仿宋_GB2312"/>
          <w:color w:val="000000"/>
          <w:sz w:val="32"/>
          <w:szCs w:val="32"/>
          <w:lang w:val="en-US" w:eastAsia="zh-CN"/>
        </w:rPr>
        <w:t>《中华人民共和国会计法(2017修正)》、《企业会计准则》、《企业财务通则(2006 修订)》、《会计基础工作规范》、《国务院关于改进加强中央财政科研项目和资金管理的若干意见》、《财政部科技部关于印发&lt;国家重点研发计划资金管理办法&gt;的通知》、《中共中央办公厅 国务院办公厅印发&lt;关于进一步完善中央财政科研项目资金管理等政策的若干意见&gt;的通知》、《中央财政科技计划项目（课题）结题审计指引》。</w:t>
      </w:r>
    </w:p>
    <w:p>
      <w:pPr>
        <w:pStyle w:val="5"/>
        <w:keepNext/>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行业标准：</w:t>
      </w:r>
      <w:r>
        <w:rPr>
          <w:rFonts w:hint="eastAsia" w:ascii="仿宋_GB2312" w:hAnsi="仿宋_GB2312" w:eastAsia="仿宋_GB2312" w:cs="仿宋_GB2312"/>
          <w:color w:val="000000"/>
          <w:sz w:val="32"/>
          <w:szCs w:val="32"/>
          <w:lang w:val="en-US" w:eastAsia="zh-CN"/>
        </w:rPr>
        <w:t>《中国注册会计师执业准则》、《中国南方电网有限责任公司科技项目管理办法》、《中国南方电网有限责任公司会计核算管理细则》、《南方电网公司创新经费取费规范》。</w:t>
      </w:r>
    </w:p>
    <w:p>
      <w:pPr>
        <w:pStyle w:val="5"/>
        <w:keepNext/>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3" w:firstLineChars="200"/>
        <w:textAlignment w:val="auto"/>
        <w:rPr>
          <w:rFonts w:hint="eastAsia" w:ascii="黑体" w:hAnsi="黑体" w:eastAsia="黑体" w:cs="黑体"/>
          <w:b w:val="0"/>
          <w:bCs w:val="0"/>
          <w:color w:val="000000"/>
          <w:sz w:val="32"/>
          <w:szCs w:val="32"/>
        </w:rPr>
      </w:pPr>
      <w:r>
        <w:rPr>
          <w:rFonts w:hint="eastAsia" w:ascii="仿宋_GB2312" w:hAnsi="仿宋_GB2312" w:eastAsia="仿宋_GB2312" w:cs="仿宋_GB2312"/>
          <w:b/>
          <w:bCs/>
          <w:color w:val="000000"/>
          <w:sz w:val="32"/>
          <w:szCs w:val="32"/>
          <w:lang w:val="en-US" w:eastAsia="zh-CN"/>
        </w:rPr>
        <w:t>其他：</w:t>
      </w:r>
      <w:r>
        <w:rPr>
          <w:rFonts w:hint="eastAsia" w:ascii="仿宋_GB2312" w:hAnsi="仿宋_GB2312" w:eastAsia="仿宋_GB2312" w:cs="仿宋_GB2312"/>
          <w:color w:val="000000"/>
          <w:sz w:val="32"/>
          <w:szCs w:val="32"/>
          <w:lang w:val="en-US" w:eastAsia="zh-CN"/>
        </w:rPr>
        <w:t>国家、省、市及南方电网公司、深圳供电局其他相关规定。</w:t>
      </w:r>
      <w:r>
        <w:rPr>
          <w:rFonts w:hint="eastAsia" w:ascii="黑体" w:hAnsi="黑体" w:eastAsia="黑体" w:cs="黑体"/>
          <w:b w:val="0"/>
          <w:bCs w:val="0"/>
          <w:color w:val="000000"/>
          <w:sz w:val="32"/>
          <w:szCs w:val="32"/>
        </w:rPr>
        <w:br w:type="page"/>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二、具体技术要求</w:t>
      </w:r>
    </w:p>
    <w:p>
      <w:pPr>
        <w:pStyle w:val="5"/>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rPr>
        <w:t>本项目是深圳供电局有限公司电力调度控制中心2026年国家重点研发计划“高比例可再生能源配电网韧性运行与控制关键技术与工程示范”科技项目第三方经费审查零星采购项目</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项目实施单位</w:t>
      </w:r>
      <w:r>
        <w:rPr>
          <w:rFonts w:hint="eastAsia" w:ascii="仿宋_GB2312" w:hAnsi="仿宋_GB2312" w:eastAsia="仿宋_GB2312" w:cs="仿宋_GB2312"/>
          <w:b w:val="0"/>
          <w:bCs w:val="0"/>
          <w:color w:val="000000"/>
          <w:sz w:val="32"/>
          <w:szCs w:val="32"/>
          <w:lang w:eastAsia="zh-CN"/>
        </w:rPr>
        <w:t>为</w:t>
      </w:r>
      <w:r>
        <w:rPr>
          <w:rFonts w:hint="eastAsia" w:ascii="仿宋_GB2312" w:hAnsi="仿宋_GB2312" w:eastAsia="仿宋_GB2312" w:cs="仿宋_GB2312"/>
          <w:color w:val="000000"/>
          <w:sz w:val="32"/>
          <w:szCs w:val="32"/>
        </w:rPr>
        <w:t>深圳供电局有限公司</w:t>
      </w:r>
      <w:r>
        <w:rPr>
          <w:rFonts w:hint="eastAsia" w:ascii="仿宋_GB2312" w:hAnsi="仿宋_GB2312" w:eastAsia="仿宋_GB2312" w:cs="仿宋_GB2312"/>
          <w:color w:val="000000"/>
          <w:sz w:val="32"/>
          <w:szCs w:val="32"/>
          <w:lang w:val="en-US" w:eastAsia="zh-CN"/>
        </w:rPr>
        <w:t>电力调度控制中心</w:t>
      </w:r>
      <w:r>
        <w:rPr>
          <w:rFonts w:hint="eastAsia" w:ascii="仿宋_GB2312" w:hAnsi="仿宋_GB2312" w:eastAsia="仿宋_GB2312" w:cs="仿宋_GB2312"/>
          <w:color w:val="000000"/>
          <w:sz w:val="32"/>
          <w:szCs w:val="32"/>
          <w:lang w:eastAsia="zh-CN"/>
        </w:rPr>
        <w:t>。</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eastAsia="zh-CN"/>
        </w:rPr>
        <w:t>（一）</w:t>
      </w:r>
      <w:r>
        <w:rPr>
          <w:rFonts w:hint="eastAsia" w:ascii="楷体_GB2312" w:hAnsi="楷体_GB2312" w:eastAsia="楷体_GB2312" w:cs="楷体_GB2312"/>
          <w:b w:val="0"/>
          <w:bCs w:val="0"/>
          <w:color w:val="000000"/>
          <w:sz w:val="32"/>
          <w:szCs w:val="32"/>
          <w:lang w:val="en-US" w:eastAsia="zh-CN"/>
        </w:rPr>
        <w:t>项目背景</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本采购项目拟聘请会计师事务所对科技项目的经费使用情况的合规性、合理性进行审计，对资产购置情况、合同签订及履约情况等进行梳理，由会计师事务所出具项目财务审计报告，并在结题时开展财务审计。</w:t>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（二）服务要求</w:t>
      </w:r>
      <w:bookmarkStart w:id="0" w:name="_GoBack"/>
      <w:bookmarkEnd w:id="0"/>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确保国家重点研发计划“高比例可再生能源配电网韧性运行与控制关键技术与工程示范”的国拨资金以及配套科技项目资金的使用严格遵循《国务院关于改进加强中央财政科研项目和资金管理的若干意见》、《中共中央办公厅国务院办公厅印发&lt;关于进一步完善中央财政科研项目资金管理等政策的若干意见&gt;的通知》等法规要求；</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2.审核项目经费及其使用情况；</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3.交付项包括：（1）所有参与单位年度经费支出情况审计报告4份，（2）项目年度经费审查报告1份，（3）项目验收经费审查报告1份。</w:t>
      </w:r>
    </w:p>
    <w:p>
      <w:pPr>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br w:type="page"/>
      </w: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default"/>
          <w:lang w:val="en-US" w:eastAsia="zh-CN"/>
        </w:rPr>
      </w:pPr>
      <w:r>
        <w:rPr>
          <w:rFonts w:hint="eastAsia" w:ascii="楷体_GB2312" w:hAnsi="楷体_GB2312" w:eastAsia="楷体_GB2312" w:cs="楷体_GB2312"/>
          <w:b w:val="0"/>
          <w:bCs w:val="0"/>
          <w:color w:val="000000"/>
          <w:sz w:val="32"/>
          <w:szCs w:val="32"/>
          <w:lang w:val="en-US" w:eastAsia="zh-CN"/>
        </w:rPr>
        <w:t xml:space="preserve">（三）资格要求 </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1.中国注册会计师协会2024年百强事务所；</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2.具备国家重点科技项目审计资格；</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lang w:val="en-US" w:eastAsia="zh-CN"/>
        </w:rPr>
      </w:pPr>
      <w:r>
        <w:rPr>
          <w:rFonts w:hint="eastAsia" w:ascii="仿宋_GB2312" w:hAnsi="仿宋_GB2312" w:eastAsia="仿宋_GB2312" w:cs="仿宋_GB2312"/>
          <w:color w:val="000000"/>
          <w:kern w:val="2"/>
          <w:sz w:val="32"/>
          <w:szCs w:val="32"/>
          <w:lang w:val="en-US" w:eastAsia="zh-CN" w:bidi="ar-SA"/>
        </w:rPr>
        <w:t>3.能组织科技经费支出专项经费审核工作经验丰富的资深注册会计师和具体工作人员开展相关经费审核工作；</w:t>
      </w:r>
    </w:p>
    <w:p>
      <w:pPr>
        <w:keepNext/>
        <w:keepLines w:val="0"/>
        <w:pageBreakBefore w:val="0"/>
        <w:widowControl w:val="0"/>
        <w:kinsoku/>
        <w:wordWrap w:val="0"/>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4.近三年未受过财政部、证监会、注册会计师协会等有关部门处罚、处理的事务所，需要提供中国注册会计师协会行业信息管理系统截图（网址:</w:t>
      </w:r>
      <w:r>
        <w:rPr>
          <w:rFonts w:hint="eastAsia" w:ascii="仿宋_GB2312" w:hAnsi="仿宋_GB2312" w:eastAsia="仿宋_GB2312" w:cs="仿宋_GB2312"/>
          <w:color w:val="000000"/>
          <w:kern w:val="2"/>
          <w:sz w:val="32"/>
          <w:szCs w:val="32"/>
          <w:lang w:val="en-US" w:eastAsia="zh-CN" w:bidi="ar-SA"/>
        </w:rPr>
        <w:fldChar w:fldCharType="begin"/>
      </w:r>
      <w:r>
        <w:rPr>
          <w:rFonts w:hint="eastAsia" w:ascii="仿宋_GB2312" w:hAnsi="仿宋_GB2312" w:eastAsia="仿宋_GB2312" w:cs="仿宋_GB2312"/>
          <w:color w:val="000000"/>
          <w:kern w:val="2"/>
          <w:sz w:val="32"/>
          <w:szCs w:val="32"/>
          <w:lang w:val="en-US" w:eastAsia="zh-CN" w:bidi="ar-SA"/>
        </w:rPr>
        <w:instrText xml:space="preserve"> HYPERLINK "https://cmis.cicpa.org.cn/#/login）。得20" </w:instrText>
      </w:r>
      <w:r>
        <w:rPr>
          <w:rFonts w:hint="eastAsia" w:ascii="仿宋_GB2312" w:hAnsi="仿宋_GB2312" w:eastAsia="仿宋_GB2312" w:cs="仿宋_GB2312"/>
          <w:color w:val="000000"/>
          <w:kern w:val="2"/>
          <w:sz w:val="32"/>
          <w:szCs w:val="32"/>
          <w:lang w:val="en-US" w:eastAsia="zh-CN" w:bidi="ar-SA"/>
        </w:rPr>
        <w:fldChar w:fldCharType="separate"/>
      </w:r>
      <w:r>
        <w:rPr>
          <w:rFonts w:hint="eastAsia" w:ascii="仿宋_GB2312" w:hAnsi="仿宋_GB2312" w:eastAsia="仿宋_GB2312" w:cs="仿宋_GB2312"/>
          <w:color w:val="000000"/>
          <w:kern w:val="2"/>
          <w:sz w:val="32"/>
          <w:szCs w:val="32"/>
          <w:lang w:val="en-US" w:eastAsia="zh-CN" w:bidi="ar-SA"/>
        </w:rPr>
        <w:t>https://cmis.cicpa.org.cn/#/login）。</w:t>
      </w:r>
      <w:r>
        <w:rPr>
          <w:rFonts w:hint="eastAsia" w:ascii="仿宋_GB2312" w:hAnsi="仿宋_GB2312" w:eastAsia="仿宋_GB2312" w:cs="仿宋_GB2312"/>
          <w:color w:val="000000"/>
          <w:kern w:val="2"/>
          <w:sz w:val="32"/>
          <w:szCs w:val="32"/>
          <w:lang w:val="en-US" w:eastAsia="zh-CN" w:bidi="ar-SA"/>
        </w:rPr>
        <w:fldChar w:fldCharType="end"/>
      </w:r>
    </w:p>
    <w:p>
      <w:pPr>
        <w:pStyle w:val="2"/>
        <w:rPr>
          <w:rFonts w:hint="default"/>
          <w:lang w:val="en-US" w:eastAsia="zh-CN"/>
        </w:rPr>
      </w:pPr>
    </w:p>
    <w:p>
      <w:pPr>
        <w:pStyle w:val="4"/>
        <w:keepNext/>
        <w:keepLines w:val="0"/>
        <w:pageBreakBefore w:val="0"/>
        <w:widowControl w:val="0"/>
        <w:kinsoku/>
        <w:wordWrap/>
        <w:overflowPunct/>
        <w:topLinePunct w:val="0"/>
        <w:autoSpaceDE/>
        <w:autoSpaceDN/>
        <w:bidi w:val="0"/>
        <w:adjustRightInd/>
        <w:snapToGrid/>
        <w:spacing w:before="0" w:after="0" w:line="560" w:lineRule="exact"/>
        <w:ind w:left="0" w:leftChars="0" w:firstLine="640" w:firstLineChars="200"/>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 xml:space="preserve">（四）价格要求 </w:t>
      </w: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1.低于限价85折需附成本分析报告。</w:t>
      </w:r>
    </w:p>
    <w:p>
      <w:pPr>
        <w:rPr>
          <w:rFonts w:hint="default"/>
          <w:lang w:val="en-US" w:eastAsia="zh-CN"/>
        </w:rPr>
      </w:pPr>
    </w:p>
    <w:p>
      <w:pPr>
        <w:pStyle w:val="2"/>
        <w:ind w:left="0" w:leftChars="0" w:firstLine="0" w:firstLineChars="0"/>
        <w:rPr>
          <w:rFonts w:hint="default"/>
          <w:lang w:val="en-US" w:eastAsia="zh-CN"/>
        </w:rPr>
      </w:pPr>
    </w:p>
    <w:p>
      <w:pPr>
        <w:keepNext/>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outlineLvl w:val="9"/>
        <w:rPr>
          <w:rFonts w:hint="default" w:ascii="仿宋_GB2312" w:hAnsi="仿宋_GB2312" w:eastAsia="仿宋_GB2312" w:cs="仿宋_GB2312"/>
          <w:color w:val="000000"/>
          <w:kern w:val="2"/>
          <w:sz w:val="32"/>
          <w:szCs w:val="32"/>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E84857"/>
    <w:multiLevelType w:val="singleLevel"/>
    <w:tmpl w:val="4EE84857"/>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D1766"/>
    <w:rsid w:val="03CD1766"/>
    <w:rsid w:val="08892578"/>
    <w:rsid w:val="0AE67F71"/>
    <w:rsid w:val="0CA06064"/>
    <w:rsid w:val="0E5B1E18"/>
    <w:rsid w:val="0F13463B"/>
    <w:rsid w:val="0FE413CC"/>
    <w:rsid w:val="14E40815"/>
    <w:rsid w:val="163C2586"/>
    <w:rsid w:val="182A4C7A"/>
    <w:rsid w:val="18891D32"/>
    <w:rsid w:val="1DBD2391"/>
    <w:rsid w:val="1F9D0F2A"/>
    <w:rsid w:val="20354B84"/>
    <w:rsid w:val="20906383"/>
    <w:rsid w:val="231C229E"/>
    <w:rsid w:val="23CF4E3D"/>
    <w:rsid w:val="261467A0"/>
    <w:rsid w:val="29503235"/>
    <w:rsid w:val="2AF92265"/>
    <w:rsid w:val="2CE41C36"/>
    <w:rsid w:val="2E707548"/>
    <w:rsid w:val="332E5E53"/>
    <w:rsid w:val="38FC6AF4"/>
    <w:rsid w:val="3A3B42B9"/>
    <w:rsid w:val="3DAA108B"/>
    <w:rsid w:val="3E1C5097"/>
    <w:rsid w:val="40FE37E8"/>
    <w:rsid w:val="44257266"/>
    <w:rsid w:val="45AC6960"/>
    <w:rsid w:val="468E2DF0"/>
    <w:rsid w:val="485D0B0E"/>
    <w:rsid w:val="498A1FB2"/>
    <w:rsid w:val="5474396C"/>
    <w:rsid w:val="5A82450C"/>
    <w:rsid w:val="67FE58DA"/>
    <w:rsid w:val="6DF365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5">
    <w:name w:val="Plain Text"/>
    <w:basedOn w:val="1"/>
    <w:qFormat/>
    <w:uiPriority w:val="0"/>
    <w:rPr>
      <w:rFonts w:ascii="宋体" w:hAnsi="Courier New"/>
    </w:rPr>
  </w:style>
  <w:style w:type="character" w:styleId="8">
    <w:name w:val="Hyperlink"/>
    <w:basedOn w:val="7"/>
    <w:unhideWhenUsed/>
    <w:qFormat/>
    <w:uiPriority w:val="99"/>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2022-03-17T03:24:00Z</dcterms:created>
  <dc:creator>Administrator</dc:creator>
  <cp:lastModifiedBy>黄雨帆</cp:lastModifiedBy>
  <dcterms:modified xsi:type="dcterms:W3CDTF">2026-01-13T08:21:20Z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837C2061D1EE458E9A53BA6D7C14C6E7</vt:lpwstr>
  </property>
</Properties>
</file>