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30"/>
          <w:szCs w:val="30"/>
          <w:u w:val="none"/>
          <w:lang w:val="en-US" w:eastAsia="zh-CN"/>
        </w:rPr>
        <w:t>服务采购需求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eastAsia="zh-CN"/>
        </w:rPr>
        <w:t>为满足采购方业务发展需要，现公开采购具备资质的快递托寄服务。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托寄物资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eastAsia="zh-CN"/>
        </w:rPr>
        <w:t>主要为工程类物资、通信类主材及辅材等物料的快递托寄，包括但不限于国内同城、异地快递寄递、保价服务、签单返还、物资装卸等服务。以保障采购方生产、建设及运维物资的及时、安全流通。</w:t>
      </w:r>
    </w:p>
    <w:p>
      <w:pPr>
        <w:pStyle w:val="2"/>
        <w:numPr>
          <w:ilvl w:val="0"/>
          <w:numId w:val="0"/>
        </w:numPr>
        <w:spacing w:line="360" w:lineRule="auto"/>
        <w:ind w:leftChars="0"/>
        <w:rPr>
          <w:rFonts w:hint="default"/>
          <w:color w:val="auto"/>
          <w:lang w:val="en-US" w:eastAsia="zh-CN"/>
        </w:rPr>
      </w:pPr>
      <w:r>
        <w:rPr>
          <w:rFonts w:hint="eastAsia" w:eastAsia="宋体" w:cs="宋体"/>
          <w:b w:val="0"/>
          <w:bCs/>
          <w:color w:val="auto"/>
          <w:sz w:val="28"/>
          <w:szCs w:val="28"/>
          <w:lang w:val="en-US" w:eastAsia="zh-CN"/>
        </w:rPr>
        <w:t xml:space="preserve">   项目为框架采购项目，具体的收发地址、联系人、揽收物资要求以采购方实际下达的任务委托单为准。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562" w:firstLineChars="200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eastAsia="zh-CN"/>
        </w:rPr>
        <w:t>一、物资揽收：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 w:bidi="ar-SA"/>
        </w:rPr>
        <w:t>从采购方指定的发货地址上门取件。发货地址包括但不限于：公司本部（云南省昆明市）、各分公司（红河分公司、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曲靖分公司、大理分公司）及各项目所在地。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560" w:firstLineChars="200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 xml:space="preserve">托寄配送： 将托寄物资安全、准确地运送至采购方指定的收货地址。 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560" w:firstLineChars="200"/>
        <w:rPr>
          <w:rFonts w:hint="default"/>
          <w:color w:val="auto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eastAsia="zh-CN"/>
        </w:rPr>
        <w:t>报价人提供报价时，费用需包含：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物资快递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eastAsia="zh-CN"/>
        </w:rPr>
        <w:t>托寄费、提货费、送货费、税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费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eastAsia="zh-CN"/>
        </w:rPr>
        <w:t>等完成该项工作所需的全部费用，除此之外，采购方不再单独支付其它费用。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562" w:firstLineChars="200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eastAsia="zh-CN"/>
        </w:rPr>
        <w:t>二、结算方式：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单票运费的计算方法为：运费=（首重费用+续重费用（若有））*</w:t>
      </w:r>
      <w: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val="en-US" w:eastAsia="zh-CN"/>
        </w:rPr>
        <w:t>下浮率）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，计算结果四舍五入取整；根据当月实际发生托寄据实按月结算。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562" w:firstLineChars="200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eastAsia="zh-CN"/>
        </w:rPr>
        <w:t>三、服务标准：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eastAsia="zh-CN"/>
        </w:rPr>
        <w:t>提供热情、周到、专业的服务。及时响应并妥善处理采购方的咨询与投诉，积极解决服务过程中出现的问题。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562" w:firstLineChars="200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val="en-US" w:eastAsia="zh-CN"/>
        </w:rPr>
        <w:t>四、取件要求：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当天17:00点前下单当天发货，17:00后下单第二天发货，原则上2-3天内送到收货地，较远地区最晚不超3-5天送到收货地。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562" w:firstLineChars="200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val="en-US" w:eastAsia="zh-CN"/>
        </w:rPr>
        <w:t>五、安全保障：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在托寄运输过程中确保托寄物资的安全，应采取必要的措施，确保托寄物资在运输过程中不受损失或丢失，确保物资安全送达。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562" w:firstLineChars="200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val="en-US" w:eastAsia="zh-CN"/>
        </w:rPr>
        <w:t>六、考核方式：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采购方将对成交人服务质量进行评价，托寄过程中物资出现破损或托寄物资丢失问题，成交人应派服务人员解决问题，未能妥善解决问题的，采购方有权不予支付单次托寄费用，由此给采购方带来损失的，成交人须按合同约定进行赔偿。</w:t>
      </w:r>
    </w:p>
    <w:p>
      <w:pPr>
        <w:pStyle w:val="9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00" w:lineRule="atLeast"/>
        <w:ind w:firstLine="562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val="en-US" w:eastAsia="zh-CN"/>
        </w:rPr>
        <w:t>七、付款方式：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本项为框架采购项目，服务内容中的预估数量为采购方根据2026年全年业务开展计划进行预估，采购方不保证预估数量的准确性，最终按照实际发生双方据实结算。</w:t>
      </w:r>
    </w:p>
    <w:p>
      <w:pPr>
        <w:pStyle w:val="9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00" w:lineRule="atLeast"/>
        <w:ind w:firstLine="562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val="en-US" w:eastAsia="zh-CN"/>
        </w:rPr>
        <w:t>项目采取按月结算并支付：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双方每月月初对上月发生费用进行核实结算。成交人通过电子邮箱、纸质邮寄等形式将上月采购方下达的任务委托单、结算单提交采购方审核，</w:t>
      </w:r>
      <w:r>
        <w:rPr>
          <w:rFonts w:hint="eastAsia" w:ascii="宋体" w:hAnsi="宋体" w:eastAsia="宋体" w:cs="宋体"/>
          <w:b w:val="0"/>
          <w:bCs/>
          <w:strike w:val="0"/>
          <w:dstrike w:val="0"/>
          <w:color w:val="auto"/>
          <w:sz w:val="28"/>
          <w:szCs w:val="28"/>
          <w:lang w:val="en-US" w:eastAsia="zh-CN"/>
        </w:rPr>
        <w:t>经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审核无误后双方加盖公章后生效，成交人开具符合国家税务和采购方财务要求的发票，采购方自收到发票后15个工作日内向成交人支付当期合同费用。</w:t>
      </w:r>
    </w:p>
    <w:p>
      <w:pPr>
        <w:pStyle w:val="9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00" w:lineRule="atLeast"/>
        <w:ind w:firstLine="562" w:firstLineChars="20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32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eastAsia="zh-CN"/>
        </w:rPr>
        <w:t>八、服务期限：自合同签订之日期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eastAsia="zh-CN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。合同履行</w:t>
      </w:r>
      <w:r>
        <w:rPr>
          <w:rFonts w:hint="eastAsia" w:ascii="宋体" w:hAnsi="宋体" w:eastAsia="宋体" w:cs="宋体"/>
          <w:color w:val="auto"/>
          <w:sz w:val="28"/>
          <w:szCs w:val="32"/>
          <w:highlight w:val="none"/>
        </w:rPr>
        <w:t>有效期未满时，实际结算量达到项目采购预估金额规定上限的，合同自动提前终止</w:t>
      </w:r>
      <w:r>
        <w:rPr>
          <w:rFonts w:hint="eastAsia" w:ascii="宋体" w:hAnsi="宋体" w:eastAsia="宋体" w:cs="宋体"/>
          <w:color w:val="auto"/>
          <w:sz w:val="28"/>
          <w:szCs w:val="32"/>
          <w:highlight w:val="none"/>
          <w:lang w:eastAsia="zh-CN"/>
        </w:rPr>
        <w:t>。</w:t>
      </w:r>
    </w:p>
    <w:p>
      <w:pPr>
        <w:spacing w:line="360" w:lineRule="auto"/>
        <w:ind w:firstLine="560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val="en-US" w:eastAsia="zh-CN"/>
        </w:rPr>
        <w:t>备   注：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因重要、涉密等文件邮寄规范要求，本次采购服务范围不包括采购方文件邮寄服务。</w:t>
      </w:r>
    </w:p>
    <w:p>
      <w:pPr>
        <w:pStyle w:val="6"/>
        <w:spacing w:line="360" w:lineRule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val="en-US" w:eastAsia="zh-CN"/>
        </w:rPr>
        <w:t>九、报价方式：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报价人需在采购方公示的基准价基础上按照下浮率进行报价。（基准价详见下表。）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both"/>
        <w:rPr>
          <w:rFonts w:hint="default"/>
          <w:color w:val="auto"/>
          <w:highlight w:val="yellow"/>
          <w:lang w:val="en-US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36"/>
          <w:szCs w:val="36"/>
          <w:u w:val="none"/>
          <w:lang w:val="en-US" w:eastAsia="zh-CN" w:bidi="ar"/>
        </w:rPr>
        <w:t>云南云电信息通信股份有限公司2026-2027年公司物资快递托寄框架采购项目分项报价表：</w:t>
      </w:r>
    </w:p>
    <w:p>
      <w:pPr>
        <w:pStyle w:val="6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</w:pPr>
    </w:p>
    <w:p>
      <w:pPr>
        <w:pStyle w:val="6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</w:pPr>
    </w:p>
    <w:tbl>
      <w:tblPr>
        <w:tblStyle w:val="7"/>
        <w:tblW w:w="907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7"/>
        <w:gridCol w:w="1798"/>
        <w:gridCol w:w="642"/>
        <w:gridCol w:w="1096"/>
        <w:gridCol w:w="1068"/>
        <w:gridCol w:w="1300"/>
        <w:gridCol w:w="1405"/>
        <w:gridCol w:w="108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687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79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vertAlign w:val="superscript"/>
                <w:lang w:val="en-US" w:eastAsia="zh-CN" w:bidi="ar"/>
              </w:rPr>
              <w:t xml:space="preserve">       重量范围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vertAlign w:val="superscript"/>
                <w:lang w:val="en-US" w:eastAsia="zh-CN" w:bidi="ar"/>
              </w:rPr>
              <w:br w:type="textWrapping"/>
            </w:r>
            <w:r>
              <w:rPr>
                <w:rStyle w:val="10"/>
                <w:lang w:val="en-US" w:eastAsia="zh-CN" w:bidi="ar"/>
              </w:rPr>
              <w:t>全省范围内</w:t>
            </w:r>
          </w:p>
        </w:tc>
        <w:tc>
          <w:tcPr>
            <w:tcW w:w="64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快递托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寄预估数量</w:t>
            </w:r>
          </w:p>
        </w:tc>
        <w:tc>
          <w:tcPr>
            <w:tcW w:w="2164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含税基准价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(1KG）</w:t>
            </w:r>
          </w:p>
        </w:tc>
        <w:tc>
          <w:tcPr>
            <w:tcW w:w="2705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含税基准价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（30KG起）</w:t>
            </w:r>
          </w:p>
        </w:tc>
        <w:tc>
          <w:tcPr>
            <w:tcW w:w="108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下浮率报价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87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64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首重（元）</w:t>
            </w:r>
          </w:p>
        </w:tc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续重（元/KG）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首重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续重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（元/KG）</w:t>
            </w:r>
          </w:p>
        </w:tc>
        <w:tc>
          <w:tcPr>
            <w:tcW w:w="108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楚雄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1.75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1.75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昭通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1.75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西双版纳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1.75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1.75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德宏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1.75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丽江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1.75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曲靖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1.75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迪庆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1.75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昆明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1.75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怒江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1.75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玉溪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1.75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普洱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1.75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1.75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1.75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1.75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昆明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4.15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福建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3.8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甘肃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148.5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3.55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3.25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3.25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3.95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159.5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107.15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4.25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黑龙江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3.65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3.6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5.05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3.65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辽宁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4.9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172.5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3.85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4.45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4.25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159.5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陕西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3.65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3.7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四川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3.05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159.5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4.35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6.1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204.5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5.15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>
      <w:pPr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  <w:t>注：上述数量为采购方根据未来业务进行预估，采购方不保证预估数</w:t>
      </w:r>
    </w:p>
    <w:p>
      <w:pPr>
        <w:rPr>
          <w:rFonts w:hint="default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  <w:t>量的准确性，最终按照实际发生据实结算。</w:t>
      </w:r>
    </w:p>
    <w:p>
      <w:bookmarkStart w:id="0" w:name="_GoBack"/>
      <w:bookmarkEnd w:id="0"/>
    </w:p>
    <w:sectPr>
      <w:headerReference r:id="rId4" w:type="default"/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1"/>
      <w:jc w:val="right"/>
    </w:pPr>
    <w:r>
      <w:rPr>
        <w:rFonts w:hint="eastAsia" w:ascii="宋体"/>
        <w:b/>
        <w:bCs/>
      </w:rPr>
      <w:t xml:space="preserve">                                                          </w:t>
    </w:r>
  </w:p>
  <w:p>
    <w:pPr>
      <w:ind w:firstLine="4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F91543"/>
    <w:multiLevelType w:val="multilevel"/>
    <w:tmpl w:val="07F91543"/>
    <w:lvl w:ilvl="0" w:tentative="0">
      <w:start w:val="1"/>
      <w:numFmt w:val="decimal"/>
      <w:pStyle w:val="2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  <w:b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148"/>
        </w:tabs>
        <w:ind w:left="1148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6、"/>
      <w:lvlJc w:val="left"/>
      <w:pPr>
        <w:ind w:left="360" w:hanging="36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D41FF5"/>
    <w:rsid w:val="27D4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numPr>
        <w:ilvl w:val="0"/>
        <w:numId w:val="1"/>
      </w:numPr>
      <w:spacing w:before="20" w:after="20"/>
      <w:ind w:firstLineChars="0"/>
      <w:jc w:val="left"/>
      <w:outlineLvl w:val="0"/>
    </w:pPr>
    <w:rPr>
      <w:rFonts w:ascii="宋体" w:hAnsi="宋体"/>
      <w:b/>
      <w:bCs/>
      <w:snapToGrid w:val="0"/>
      <w:kern w:val="44"/>
      <w:sz w:val="28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 2"/>
    <w:basedOn w:val="3"/>
    <w:next w:val="1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  <w:style w:type="paragraph" w:customStyle="1" w:styleId="9">
    <w:name w:val="列出段落1"/>
    <w:basedOn w:val="1"/>
    <w:qFormat/>
    <w:uiPriority w:val="34"/>
    <w:pPr>
      <w:ind w:firstLine="420" w:firstLineChars="200"/>
    </w:pPr>
    <w:rPr>
      <w:rFonts w:ascii="Times New Roman" w:hAnsi="Times New Roman" w:eastAsia="仿宋_GB2312"/>
      <w:sz w:val="32"/>
      <w:szCs w:val="24"/>
    </w:rPr>
  </w:style>
  <w:style w:type="character" w:customStyle="1" w:styleId="10">
    <w:name w:val="font51"/>
    <w:basedOn w:val="8"/>
    <w:qFormat/>
    <w:uiPriority w:val="0"/>
    <w:rPr>
      <w:rFonts w:hint="eastAsia" w:ascii="宋体" w:hAnsi="宋体" w:eastAsia="宋体" w:cs="宋体"/>
      <w:b/>
      <w:bCs/>
      <w:color w:val="000000"/>
      <w:sz w:val="32"/>
      <w:szCs w:val="32"/>
      <w:u w:val="none"/>
      <w:vertAlign w:val="subscript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2026-01-13T08:21:00Z</dcterms:created>
  <dc:creator>杨睿琦</dc:creator>
  <cp:lastModifiedBy>杨睿琦</cp:lastModifiedBy>
  <dcterms:modified xsi:type="dcterms:W3CDTF">2026-01-13T08:21:13Z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5CFF1304DED2401AB5E5019ACA18CE3F</vt:lpwstr>
  </property>
</Properties>
</file>