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color w:val="000000"/>
        </w:rPr>
      </w:pPr>
    </w:p>
    <w:p>
      <w:pPr>
        <w:pStyle w:val="2"/>
        <w:jc w:val="center"/>
      </w:pPr>
      <w:r>
        <w:rPr>
          <w:rFonts w:hint="eastAsia" w:ascii="黑体" w:hAnsi="黑体" w:eastAsia="黑体"/>
          <w:color w:val="000000"/>
          <w:sz w:val="44"/>
          <w:lang w:eastAsia="zh-CN"/>
        </w:rPr>
        <w:t>2026年崇左供电局多回路多机组电厂上下网结算采集设备职创材料加工服务项目技术规范书</w:t>
      </w:r>
    </w:p>
    <w:p>
      <w:pPr>
        <w:pStyle w:val="3"/>
        <w:tabs>
          <w:tab w:val="left" w:pos="0"/>
        </w:tabs>
        <w:rPr>
          <w:rFonts w:hAnsi="宋体" w:cs="宋体"/>
          <w:szCs w:val="24"/>
        </w:rPr>
      </w:pPr>
      <w:bookmarkStart w:id="0" w:name="_Toc17242"/>
      <w:bookmarkStart w:id="1" w:name="_Toc22496"/>
      <w:bookmarkStart w:id="2" w:name="_Toc353115665"/>
      <w:r>
        <w:rPr>
          <w:rFonts w:hint="eastAsia" w:hAnsi="宋体" w:cs="宋体"/>
          <w:szCs w:val="24"/>
        </w:rPr>
        <w:t>总则</w:t>
      </w:r>
      <w:bookmarkEnd w:id="0"/>
      <w:bookmarkEnd w:id="1"/>
    </w:p>
    <w:p>
      <w:pPr>
        <w:pStyle w:val="4"/>
        <w:rPr>
          <w:rFonts w:hAnsi="宋体" w:cs="宋体"/>
          <w:szCs w:val="24"/>
        </w:rPr>
      </w:pPr>
      <w:r>
        <w:rPr>
          <w:rFonts w:hint="eastAsia" w:hAnsi="宋体" w:cs="宋体"/>
          <w:szCs w:val="24"/>
        </w:rPr>
        <w:t>一般要求</w:t>
      </w:r>
    </w:p>
    <w:p>
      <w:pPr>
        <w:pStyle w:val="27"/>
        <w:rPr>
          <w:rFonts w:hAnsi="宋体" w:cs="宋体"/>
        </w:rPr>
      </w:pPr>
      <w:r>
        <w:rPr>
          <w:rFonts w:hint="eastAsia" w:hAnsi="宋体" w:cs="宋体"/>
        </w:rPr>
        <w:t>供应商必须认真阅读本技术条款内容，以免造成投标失败。</w:t>
      </w:r>
    </w:p>
    <w:p>
      <w:pPr>
        <w:pStyle w:val="27"/>
        <w:rPr>
          <w:rFonts w:hAnsi="宋体" w:cs="宋体"/>
        </w:rPr>
      </w:pPr>
      <w:r>
        <w:rPr>
          <w:rFonts w:hint="eastAsia" w:hAnsi="宋体" w:cs="宋体"/>
        </w:rPr>
        <w:t>本技术规范书主要描述</w:t>
      </w:r>
      <w:r>
        <w:rPr>
          <w:rFonts w:hint="eastAsia" w:hAnsi="宋体" w:cs="宋体"/>
          <w:lang w:eastAsia="zh-CN"/>
        </w:rPr>
        <w:t>一种发电机与配网台区快接装置</w:t>
      </w:r>
      <w:r>
        <w:rPr>
          <w:rFonts w:hint="eastAsia" w:hAnsi="宋体" w:cs="宋体"/>
        </w:rPr>
        <w:t>的加工项目服务要求有关事项。</w:t>
      </w:r>
    </w:p>
    <w:p>
      <w:pPr>
        <w:pStyle w:val="27"/>
        <w:rPr>
          <w:rFonts w:hAnsi="宋体" w:cs="宋体"/>
        </w:rPr>
      </w:pPr>
      <w:r>
        <w:rPr>
          <w:rFonts w:hint="eastAsia" w:hAnsi="宋体" w:cs="宋体"/>
        </w:rPr>
        <w:t>本技术规范书提出的是最低限度的技术要求, 并未对一切技术细节作出规定，也未充分引述有关标准和规范的条文。供应商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pStyle w:val="27"/>
        <w:rPr>
          <w:rFonts w:hAnsi="宋体" w:cs="宋体"/>
        </w:rPr>
      </w:pPr>
      <w:r>
        <w:rPr>
          <w:rFonts w:hint="eastAsia" w:hAnsi="宋体" w:cs="宋体"/>
        </w:rPr>
        <w:t>供应商应提供满足本技术规范书要求的建议书、实施方案及报价，建议书、实施方案必须满足本技术规范的主要要求，否则将被认作没有回答。供应商认为需特殊说明的部分，应附详细的技术资料，否则因评标理解不同而产生的后果由供应商负责。</w:t>
      </w:r>
    </w:p>
    <w:p>
      <w:pPr>
        <w:pStyle w:val="27"/>
        <w:rPr>
          <w:rFonts w:hAnsi="宋体" w:cs="宋体"/>
        </w:rPr>
      </w:pPr>
      <w:r>
        <w:rPr>
          <w:rFonts w:hint="eastAsia" w:hAnsi="宋体" w:cs="宋体"/>
        </w:rPr>
        <w:t>如果供应商认为本技术条款所描述技术要求等存在不合理性或不明白的，可在响应原要求后陈述相关建议。</w:t>
      </w:r>
    </w:p>
    <w:p>
      <w:pPr>
        <w:pStyle w:val="27"/>
        <w:rPr>
          <w:rFonts w:hAnsi="宋体" w:cs="宋体"/>
        </w:rPr>
      </w:pPr>
      <w:r>
        <w:rPr>
          <w:rFonts w:hint="eastAsia" w:hAnsi="宋体" w:cs="宋体"/>
        </w:rPr>
        <w:t>供应商也可提出满足本技术规范书要求，且技术先进、成熟、价格合理的其他建议，供采购人选择。</w:t>
      </w:r>
    </w:p>
    <w:p>
      <w:pPr>
        <w:pStyle w:val="27"/>
        <w:rPr>
          <w:rFonts w:hAnsi="宋体" w:cs="宋体"/>
        </w:rPr>
      </w:pPr>
      <w:r>
        <w:rPr>
          <w:rFonts w:hint="eastAsia" w:hAnsi="宋体" w:cs="宋体"/>
        </w:rPr>
        <w:t>供应商应提供满足本技术规范书要求的完整的服务、工作产品，满足国家及用户提出的有关质量标准要求。所有工作产品必须具有在中国境内的合法使用权。</w:t>
      </w:r>
    </w:p>
    <w:p>
      <w:pPr>
        <w:pStyle w:val="27"/>
        <w:rPr>
          <w:rFonts w:hAnsi="宋体" w:cs="宋体"/>
        </w:rPr>
      </w:pPr>
      <w:r>
        <w:rPr>
          <w:rFonts w:hint="eastAsia" w:hAnsi="宋体" w:cs="宋体"/>
        </w:rPr>
        <w:t>本技术规范书所使用的标准如与供应商所执行的标准不一致，按较高标准执行。</w:t>
      </w:r>
    </w:p>
    <w:p>
      <w:pPr>
        <w:pStyle w:val="27"/>
        <w:rPr>
          <w:rFonts w:hAnsi="宋体" w:cs="宋体"/>
        </w:rPr>
      </w:pPr>
      <w:r>
        <w:rPr>
          <w:rFonts w:hint="eastAsia" w:hAnsi="宋体" w:cs="宋体"/>
        </w:rPr>
        <w:t>如果因为无法提供的原因而提供其他产品、服务，供应商应明确说明并提出质量保证承诺。</w:t>
      </w:r>
    </w:p>
    <w:p>
      <w:pPr>
        <w:pStyle w:val="27"/>
        <w:rPr>
          <w:rFonts w:hAnsi="宋体" w:cs="宋体"/>
        </w:rPr>
      </w:pPr>
      <w:r>
        <w:rPr>
          <w:rFonts w:hint="eastAsia" w:hAnsi="宋体" w:cs="宋体"/>
        </w:rPr>
        <w:t>供应商应对本次投标所有文件保密，不得向其他单位公布或泄漏招标项目的有关信息。</w:t>
      </w:r>
    </w:p>
    <w:p>
      <w:pPr>
        <w:pStyle w:val="27"/>
        <w:rPr>
          <w:rFonts w:hAnsi="宋体" w:cs="宋体"/>
        </w:rPr>
      </w:pPr>
      <w:r>
        <w:rPr>
          <w:rFonts w:hint="eastAsia" w:hAnsi="宋体" w:cs="宋体"/>
        </w:rPr>
        <w:t>在不超出本技术规范书要求的情况下，供应商应对采购人提出的所有细化要求予以满足。</w:t>
      </w:r>
    </w:p>
    <w:p>
      <w:pPr>
        <w:pStyle w:val="27"/>
        <w:rPr>
          <w:rFonts w:hAnsi="宋体" w:cs="宋体"/>
        </w:rPr>
      </w:pPr>
      <w:r>
        <w:rPr>
          <w:rFonts w:hint="eastAsia" w:hAnsi="宋体" w:cs="宋体"/>
        </w:rPr>
        <w:t>供应商建议书的详细要求见招标书的商务部分。供应商必须按照招标书要求提供相应文件。</w:t>
      </w:r>
    </w:p>
    <w:p>
      <w:pPr>
        <w:pStyle w:val="27"/>
        <w:rPr>
          <w:rFonts w:hAnsi="宋体" w:cs="宋体"/>
        </w:rPr>
      </w:pPr>
      <w:r>
        <w:rPr>
          <w:rFonts w:hint="eastAsia" w:hAnsi="宋体" w:cs="宋体"/>
        </w:rPr>
        <w:t>所有文件、图纸、通信的均使用中文。所有计算、说明、图纸文件、手册等使用国际单位制。</w:t>
      </w:r>
    </w:p>
    <w:p>
      <w:pPr>
        <w:pStyle w:val="4"/>
        <w:rPr>
          <w:rFonts w:hAnsi="宋体" w:cs="宋体"/>
          <w:szCs w:val="24"/>
        </w:rPr>
      </w:pPr>
      <w:r>
        <w:rPr>
          <w:rFonts w:hint="eastAsia" w:hAnsi="宋体" w:cs="宋体"/>
          <w:szCs w:val="24"/>
        </w:rPr>
        <w:t>供应商职责</w:t>
      </w:r>
    </w:p>
    <w:p>
      <w:pPr>
        <w:pStyle w:val="27"/>
        <w:rPr>
          <w:rFonts w:hAnsi="宋体" w:cs="宋体"/>
          <w:b/>
        </w:rPr>
      </w:pPr>
      <w:r>
        <w:rPr>
          <w:rFonts w:hint="eastAsia" w:hAnsi="宋体" w:cs="宋体"/>
        </w:rPr>
        <w:t>负责本规范书内所需服务、工作产品的方案</w:t>
      </w:r>
      <w:bookmarkStart w:id="17" w:name="_GoBack"/>
      <w:bookmarkEnd w:id="17"/>
      <w:r>
        <w:rPr>
          <w:rFonts w:hint="eastAsia" w:hAnsi="宋体" w:cs="宋体"/>
        </w:rPr>
        <w:t>设计，并根据采购人需求细化。</w:t>
      </w:r>
    </w:p>
    <w:p>
      <w:pPr>
        <w:pStyle w:val="27"/>
        <w:rPr>
          <w:rFonts w:hAnsi="宋体" w:cs="宋体"/>
          <w:b/>
        </w:rPr>
      </w:pPr>
      <w:r>
        <w:rPr>
          <w:rFonts w:hint="eastAsia" w:hAnsi="宋体" w:cs="宋体"/>
        </w:rPr>
        <w:t>负责服务、工作产品现场验收。</w:t>
      </w:r>
    </w:p>
    <w:p>
      <w:pPr>
        <w:pStyle w:val="27"/>
        <w:rPr>
          <w:rFonts w:hAnsi="宋体" w:cs="宋体"/>
          <w:b/>
        </w:rPr>
      </w:pPr>
      <w:r>
        <w:rPr>
          <w:rFonts w:hint="eastAsia" w:hAnsi="宋体" w:cs="宋体"/>
        </w:rPr>
        <w:t>签订合同后为采购人提供项目管理服务。</w:t>
      </w:r>
    </w:p>
    <w:p>
      <w:pPr>
        <w:pStyle w:val="27"/>
        <w:rPr>
          <w:rFonts w:hAnsi="宋体" w:cs="宋体"/>
          <w:b/>
        </w:rPr>
      </w:pPr>
      <w:r>
        <w:rPr>
          <w:rFonts w:hint="eastAsia" w:hAnsi="宋体" w:cs="宋体"/>
        </w:rPr>
        <w:t>负责提供项目内软件的光盘备份。</w:t>
      </w:r>
    </w:p>
    <w:p>
      <w:pPr>
        <w:pStyle w:val="27"/>
        <w:rPr>
          <w:rFonts w:hAnsi="宋体" w:cs="宋体"/>
          <w:b/>
        </w:rPr>
      </w:pPr>
      <w:r>
        <w:rPr>
          <w:rFonts w:hint="eastAsia" w:hAnsi="宋体" w:cs="宋体"/>
        </w:rPr>
        <w:t>列出需采购人提供的数据、资料详细清单。</w:t>
      </w:r>
    </w:p>
    <w:p>
      <w:pPr>
        <w:pStyle w:val="27"/>
        <w:rPr>
          <w:rFonts w:hAnsi="宋体" w:cs="宋体"/>
          <w:b/>
        </w:rPr>
      </w:pPr>
      <w:r>
        <w:rPr>
          <w:rFonts w:hint="eastAsia" w:hAnsi="宋体" w:cs="宋体"/>
        </w:rPr>
        <w:t>负责提供服务、工作产品的所有文件资料和技术资料。</w:t>
      </w:r>
    </w:p>
    <w:p>
      <w:pPr>
        <w:pStyle w:val="27"/>
        <w:rPr>
          <w:rFonts w:hAnsi="宋体" w:cs="宋体"/>
          <w:b/>
        </w:rPr>
      </w:pPr>
      <w:r>
        <w:rPr>
          <w:rFonts w:hint="eastAsia" w:hAnsi="宋体" w:cs="宋体"/>
        </w:rPr>
        <w:t>负责最终提供的全部技术资料的准确性。</w:t>
      </w:r>
    </w:p>
    <w:p>
      <w:pPr>
        <w:pStyle w:val="27"/>
        <w:rPr>
          <w:rFonts w:hAnsi="宋体" w:cs="宋体"/>
          <w:b/>
        </w:rPr>
      </w:pPr>
      <w:r>
        <w:rPr>
          <w:rFonts w:hint="eastAsia" w:hAnsi="宋体" w:cs="宋体"/>
        </w:rPr>
        <w:t>保证提供的所有服务、工作产品的质量及技术指标完全满足本规范书要求。</w:t>
      </w:r>
    </w:p>
    <w:p>
      <w:pPr>
        <w:pStyle w:val="27"/>
        <w:rPr>
          <w:rFonts w:hAnsi="宋体" w:cs="宋体"/>
          <w:b/>
        </w:rPr>
      </w:pPr>
      <w:r>
        <w:rPr>
          <w:rFonts w:hint="eastAsia" w:hAnsi="宋体" w:cs="宋体"/>
        </w:rPr>
        <w:t>负责配合采购人有关人员在供应商地点的联络会等事宜，供应商自理供应商项目组人员的往返交通、住宿等费用等。</w:t>
      </w:r>
    </w:p>
    <w:p>
      <w:pPr>
        <w:pStyle w:val="27"/>
        <w:rPr>
          <w:rFonts w:hAnsi="宋体" w:cs="宋体"/>
          <w:b/>
        </w:rPr>
      </w:pPr>
      <w:r>
        <w:rPr>
          <w:rFonts w:hint="eastAsia" w:hAnsi="宋体" w:cs="宋体"/>
        </w:rPr>
        <w:t>与采购人签订保密协议，遵守采购人的相关保密制度。</w:t>
      </w:r>
    </w:p>
    <w:p>
      <w:pPr>
        <w:pStyle w:val="27"/>
        <w:rPr>
          <w:rFonts w:hAnsi="宋体" w:cs="宋体"/>
        </w:rPr>
      </w:pPr>
      <w:r>
        <w:rPr>
          <w:rFonts w:hint="eastAsia" w:hAnsi="宋体" w:cs="宋体"/>
        </w:rPr>
        <w:t>供应商（服务商、供应商）按照广西电网公司档案管理要求，根据归档范围负责自“项目准备”至“项目验收”阶段的项目文件收集、整理、组卷，并按规定时限向采购人项目负责人移交。供应商应明确负责档案管理的人员，开工前供应商必须向采购人提供档案管理人员名单表，经采购人确认后方可实施。</w:t>
      </w:r>
    </w:p>
    <w:p>
      <w:pPr>
        <w:pStyle w:val="4"/>
        <w:rPr>
          <w:rFonts w:hAnsi="宋体" w:cs="宋体"/>
          <w:szCs w:val="24"/>
        </w:rPr>
      </w:pPr>
      <w:r>
        <w:rPr>
          <w:rFonts w:hint="eastAsia" w:hAnsi="宋体" w:cs="宋体"/>
          <w:szCs w:val="24"/>
        </w:rPr>
        <w:t>采购人职责</w:t>
      </w:r>
    </w:p>
    <w:p>
      <w:pPr>
        <w:pStyle w:val="27"/>
        <w:rPr>
          <w:rFonts w:hAnsi="宋体" w:cs="宋体"/>
          <w:b/>
        </w:rPr>
      </w:pPr>
      <w:r>
        <w:rPr>
          <w:rFonts w:hint="eastAsia" w:hAnsi="宋体" w:cs="宋体"/>
        </w:rPr>
        <w:t>负责提供与本项目有关的技术资料、参数及图纸。</w:t>
      </w:r>
    </w:p>
    <w:p>
      <w:pPr>
        <w:pStyle w:val="27"/>
        <w:rPr>
          <w:rFonts w:hAnsi="宋体" w:cs="宋体"/>
          <w:b/>
        </w:rPr>
      </w:pPr>
      <w:r>
        <w:rPr>
          <w:rFonts w:hint="eastAsia" w:hAnsi="宋体" w:cs="宋体"/>
        </w:rPr>
        <w:t>确认供应商提供的服务、工作产品的文件资料和技术。</w:t>
      </w:r>
    </w:p>
    <w:p>
      <w:pPr>
        <w:pStyle w:val="27"/>
        <w:rPr>
          <w:rFonts w:hAnsi="宋体" w:cs="宋体"/>
          <w:b/>
        </w:rPr>
      </w:pPr>
      <w:r>
        <w:rPr>
          <w:rFonts w:hint="eastAsia" w:hAnsi="宋体" w:cs="宋体"/>
        </w:rPr>
        <w:t>提供满足供应商开展工作的环境条件</w:t>
      </w:r>
    </w:p>
    <w:p>
      <w:pPr>
        <w:pStyle w:val="27"/>
        <w:rPr>
          <w:rFonts w:hAnsi="宋体" w:cs="宋体"/>
          <w:b/>
        </w:rPr>
      </w:pPr>
      <w:r>
        <w:rPr>
          <w:rFonts w:hint="eastAsia" w:hAnsi="宋体" w:cs="宋体"/>
        </w:rPr>
        <w:t>参加相关联络会。</w:t>
      </w:r>
    </w:p>
    <w:p>
      <w:pPr>
        <w:pStyle w:val="27"/>
        <w:rPr>
          <w:rFonts w:hAnsi="宋体" w:cs="宋体"/>
          <w:b/>
        </w:rPr>
      </w:pPr>
      <w:r>
        <w:rPr>
          <w:rFonts w:hint="eastAsia" w:hAnsi="宋体" w:cs="宋体"/>
        </w:rPr>
        <w:t>负责向供应商解释技术规范书中的要求。</w:t>
      </w:r>
    </w:p>
    <w:p>
      <w:pPr>
        <w:pStyle w:val="27"/>
        <w:rPr>
          <w:rFonts w:hAnsi="宋体" w:cs="宋体"/>
          <w:b/>
        </w:rPr>
      </w:pPr>
      <w:r>
        <w:rPr>
          <w:rFonts w:hint="eastAsia" w:hAnsi="宋体" w:cs="宋体"/>
        </w:rPr>
        <w:t>配合供应商完成项目工作，并组织验收。</w:t>
      </w:r>
    </w:p>
    <w:p>
      <w:pPr>
        <w:pStyle w:val="3"/>
        <w:tabs>
          <w:tab w:val="left" w:pos="0"/>
        </w:tabs>
        <w:rPr>
          <w:rFonts w:hAnsi="宋体" w:cs="宋体"/>
          <w:szCs w:val="24"/>
        </w:rPr>
      </w:pPr>
      <w:bookmarkStart w:id="3" w:name="_Toc22062"/>
      <w:bookmarkStart w:id="4" w:name="_Toc4650"/>
      <w:r>
        <w:rPr>
          <w:rFonts w:hint="eastAsia" w:hAnsi="宋体" w:cs="宋体"/>
          <w:szCs w:val="24"/>
        </w:rPr>
        <w:t>应遵循的主要标准</w:t>
      </w:r>
      <w:bookmarkEnd w:id="3"/>
      <w:bookmarkEnd w:id="4"/>
    </w:p>
    <w:p>
      <w:pPr>
        <w:ind w:firstLine="480" w:firstLineChars="200"/>
        <w:rPr>
          <w:rFonts w:hAnsi="宋体" w:cs="宋体"/>
        </w:rPr>
      </w:pPr>
      <w:r>
        <w:rPr>
          <w:rFonts w:hint="eastAsia" w:asciiTheme="minorEastAsia" w:hAnsiTheme="minorEastAsia" w:eastAsiaTheme="minorEastAsia"/>
        </w:rPr>
        <w:t>供应商在</w:t>
      </w:r>
      <w:r>
        <w:rPr>
          <w:rFonts w:hint="eastAsia" w:hAnsi="宋体" w:cs="宋体"/>
        </w:rPr>
        <w:t>技术服务支持</w:t>
      </w:r>
      <w:r>
        <w:rPr>
          <w:rFonts w:hint="eastAsia" w:asciiTheme="minorEastAsia" w:hAnsiTheme="minorEastAsia" w:eastAsiaTheme="minorEastAsia"/>
        </w:rPr>
        <w:t>工作过程中提供的所有服务、技术支持、工作产品，除本规范书中规定的技术参数和要求外，其余均应遵照最新版本的国际电信联盟(ITU)、国际电工委员会标准(IEC)、国际公制(SI)、国际标准化组织（ISO）、国家标准及广西电网有限责任公司的相关管理制度。如果供应商有自己的标准或规范经采购人同意方可采用，但原则上均不能低于上述标准的有关规定，特别是这些规定或规程中互相矛盾的地方，应先征得采购人同意，再开展</w:t>
      </w:r>
      <w:r>
        <w:rPr>
          <w:rFonts w:hint="eastAsia" w:hAnsi="宋体" w:cs="宋体"/>
        </w:rPr>
        <w:t>技术服务支持</w:t>
      </w:r>
      <w:r>
        <w:rPr>
          <w:rFonts w:hint="eastAsia" w:asciiTheme="minorEastAsia" w:hAnsiTheme="minorEastAsia" w:eastAsiaTheme="minorEastAsia"/>
        </w:rPr>
        <w:t>工作</w:t>
      </w:r>
      <w:r>
        <w:rPr>
          <w:rFonts w:hint="eastAsia" w:hAnsi="宋体" w:cs="宋体"/>
        </w:rPr>
        <w:t>。</w:t>
      </w:r>
    </w:p>
    <w:bookmarkEnd w:id="2"/>
    <w:p>
      <w:pPr>
        <w:pStyle w:val="3"/>
        <w:rPr>
          <w:color w:val="000000"/>
        </w:rPr>
      </w:pPr>
      <w:bookmarkStart w:id="5" w:name="_Toc353115666"/>
      <w:bookmarkStart w:id="6" w:name="_Toc29260"/>
      <w:r>
        <w:rPr>
          <w:rFonts w:hint="eastAsia"/>
          <w:color w:val="000000"/>
        </w:rPr>
        <w:t>项目概述</w:t>
      </w:r>
      <w:bookmarkEnd w:id="5"/>
      <w:bookmarkEnd w:id="6"/>
    </w:p>
    <w:p>
      <w:pPr>
        <w:ind w:firstLine="480" w:firstLineChars="200"/>
        <w:rPr>
          <w:rFonts w:hint="eastAsia" w:cs="Times New Roman" w:asciiTheme="minorEastAsia" w:hAnsiTheme="minorEastAsia" w:eastAsiaTheme="minorEastAsia"/>
        </w:rPr>
      </w:pPr>
      <w:bookmarkStart w:id="7" w:name="_Toc291008593"/>
      <w:bookmarkStart w:id="8" w:name="_Toc318801133"/>
      <w:r>
        <w:rPr>
          <w:rFonts w:hint="eastAsia"/>
          <w:lang w:val="en-US" w:eastAsia="zh-CN"/>
        </w:rPr>
        <w:t>对“</w:t>
      </w:r>
      <w:r>
        <w:rPr>
          <w:rFonts w:hint="eastAsia"/>
        </w:rPr>
        <w:t>多回路多机组电厂上下网结算</w:t>
      </w:r>
      <w:r>
        <w:rPr>
          <w:rFonts w:hint="eastAsia"/>
          <w:lang w:val="en-US" w:eastAsia="zh-CN"/>
        </w:rPr>
        <w:t>采集设备”提供材料加工服务，实现多台发电机组启停并网、断网信号采集，并在事件信号发生时完成电能表起止码的数据采集，对采集的数据进行数据冻结、数据存储和数据上传。提升电厂用户上下网电量结算精确度。</w:t>
      </w:r>
    </w:p>
    <w:bookmarkEnd w:id="7"/>
    <w:bookmarkEnd w:id="8"/>
    <w:p>
      <w:pPr>
        <w:pStyle w:val="3"/>
        <w:rPr>
          <w:color w:val="000000"/>
        </w:rPr>
      </w:pPr>
      <w:bookmarkStart w:id="9" w:name="_Toc7331"/>
      <w:r>
        <w:rPr>
          <w:rFonts w:hint="eastAsia"/>
          <w:color w:val="000000"/>
        </w:rPr>
        <w:t>范围和内容</w:t>
      </w:r>
      <w:bookmarkEnd w:id="9"/>
    </w:p>
    <w:p>
      <w:pPr>
        <w:ind w:firstLine="420" w:firstLineChars="175"/>
        <w:rPr>
          <w:color w:val="000000"/>
        </w:rPr>
      </w:pPr>
      <w:r>
        <w:rPr>
          <w:rFonts w:hint="eastAsia"/>
          <w:color w:val="000000"/>
        </w:rPr>
        <w:t>本次采购的范围和内容如下，供应商应按此进行响应并分项报价：</w:t>
      </w:r>
    </w:p>
    <w:tbl>
      <w:tblPr>
        <w:tblStyle w:val="20"/>
        <w:tblW w:w="8585" w:type="dxa"/>
        <w:tblInd w:w="0" w:type="dxa"/>
        <w:tblLayout w:type="fixed"/>
        <w:tblCellMar>
          <w:top w:w="0" w:type="dxa"/>
          <w:left w:w="108" w:type="dxa"/>
          <w:bottom w:w="0" w:type="dxa"/>
          <w:right w:w="108" w:type="dxa"/>
        </w:tblCellMar>
      </w:tblPr>
      <w:tblGrid>
        <w:gridCol w:w="777"/>
        <w:gridCol w:w="2951"/>
        <w:gridCol w:w="3196"/>
        <w:gridCol w:w="842"/>
        <w:gridCol w:w="819"/>
      </w:tblGrid>
      <w:tr>
        <w:tblPrEx>
          <w:tblCellMar>
            <w:top w:w="0" w:type="dxa"/>
            <w:left w:w="108" w:type="dxa"/>
            <w:bottom w:w="0" w:type="dxa"/>
            <w:right w:w="108" w:type="dxa"/>
          </w:tblCellMar>
        </w:tblPrEx>
        <w:trPr>
          <w:trHeight w:val="497" w:hRule="atLeast"/>
          <w:tblHeader/>
        </w:trPr>
        <w:tc>
          <w:tcPr>
            <w:tcW w:w="77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b/>
                <w:bCs/>
                <w:kern w:val="0"/>
              </w:rPr>
            </w:pPr>
            <w:r>
              <w:rPr>
                <w:rFonts w:hint="eastAsia" w:hAnsi="宋体" w:cs="宋体"/>
                <w:b/>
                <w:bCs/>
                <w:color w:val="000000"/>
                <w:kern w:val="0"/>
                <w:sz w:val="22"/>
                <w:szCs w:val="22"/>
                <w:lang w:bidi="ar"/>
              </w:rPr>
              <w:t>序号</w:t>
            </w:r>
          </w:p>
        </w:tc>
        <w:tc>
          <w:tcPr>
            <w:tcW w:w="295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b/>
                <w:bCs/>
                <w:kern w:val="0"/>
              </w:rPr>
            </w:pPr>
            <w:r>
              <w:rPr>
                <w:rFonts w:hint="eastAsia" w:hAnsi="宋体" w:cs="宋体"/>
                <w:b/>
                <w:bCs/>
                <w:color w:val="000000"/>
                <w:kern w:val="0"/>
                <w:sz w:val="22"/>
                <w:szCs w:val="22"/>
                <w:lang w:bidi="ar"/>
              </w:rPr>
              <w:t>项目名称</w:t>
            </w:r>
          </w:p>
        </w:tc>
        <w:tc>
          <w:tcPr>
            <w:tcW w:w="31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b/>
                <w:bCs/>
                <w:kern w:val="0"/>
              </w:rPr>
            </w:pPr>
            <w:r>
              <w:rPr>
                <w:rFonts w:hint="eastAsia" w:hAnsi="宋体" w:cs="宋体"/>
                <w:b/>
                <w:bCs/>
                <w:color w:val="000000"/>
                <w:kern w:val="0"/>
                <w:sz w:val="22"/>
                <w:szCs w:val="22"/>
                <w:lang w:bidi="ar"/>
              </w:rPr>
              <w:t>采购范围</w:t>
            </w:r>
          </w:p>
        </w:tc>
        <w:tc>
          <w:tcPr>
            <w:tcW w:w="84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b/>
                <w:bCs/>
                <w:kern w:val="0"/>
              </w:rPr>
            </w:pPr>
            <w:r>
              <w:rPr>
                <w:rFonts w:hint="eastAsia" w:hAnsi="宋体" w:cs="宋体"/>
                <w:b/>
                <w:bCs/>
                <w:color w:val="000000"/>
                <w:kern w:val="0"/>
                <w:sz w:val="22"/>
                <w:szCs w:val="22"/>
                <w:lang w:bidi="ar"/>
              </w:rPr>
              <w:t>单位</w:t>
            </w:r>
          </w:p>
        </w:tc>
        <w:tc>
          <w:tcPr>
            <w:tcW w:w="819"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b/>
                <w:bCs/>
                <w:color w:val="000000"/>
                <w:kern w:val="0"/>
                <w:sz w:val="22"/>
                <w:szCs w:val="22"/>
                <w:lang w:bidi="ar"/>
              </w:rPr>
            </w:pPr>
            <w:r>
              <w:rPr>
                <w:rFonts w:hint="eastAsia" w:hAnsi="宋体" w:cs="宋体"/>
                <w:b/>
                <w:bCs/>
                <w:color w:val="000000"/>
                <w:kern w:val="0"/>
                <w:sz w:val="22"/>
                <w:szCs w:val="22"/>
                <w:lang w:bidi="ar"/>
              </w:rPr>
              <w:t>数量</w:t>
            </w:r>
          </w:p>
        </w:tc>
      </w:tr>
      <w:tr>
        <w:tblPrEx>
          <w:tblCellMar>
            <w:top w:w="0" w:type="dxa"/>
            <w:left w:w="108" w:type="dxa"/>
            <w:bottom w:w="0" w:type="dxa"/>
            <w:right w:w="108" w:type="dxa"/>
          </w:tblCellMar>
        </w:tblPrEx>
        <w:trPr>
          <w:trHeight w:val="959" w:hRule="atLeast"/>
          <w:tblHeader/>
        </w:trPr>
        <w:tc>
          <w:tcPr>
            <w:tcW w:w="77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color w:val="000000"/>
                <w:kern w:val="0"/>
              </w:rPr>
            </w:pPr>
            <w:r>
              <w:rPr>
                <w:rFonts w:hint="eastAsia" w:ascii="等线" w:hAnsi="等线" w:eastAsia="等线" w:cs="等线"/>
                <w:color w:val="000000"/>
                <w:kern w:val="0"/>
                <w:sz w:val="22"/>
                <w:szCs w:val="22"/>
                <w:lang w:bidi="ar"/>
              </w:rPr>
              <w:t>1</w:t>
            </w:r>
          </w:p>
        </w:tc>
        <w:tc>
          <w:tcPr>
            <w:tcW w:w="2951"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Ansi="宋体" w:cs="宋体"/>
                <w:color w:val="000000"/>
                <w:kern w:val="0"/>
              </w:rPr>
            </w:pPr>
            <w:r>
              <w:rPr>
                <w:rFonts w:hint="eastAsia" w:eastAsia="宋体"/>
                <w:color w:val="auto"/>
                <w:sz w:val="22"/>
                <w:szCs w:val="22"/>
                <w:lang w:val="en-US" w:eastAsia="zh-CN"/>
              </w:rPr>
              <w:t>2026年崇左供电局多回路多机组电厂上下网结算采集设备职创材料加工服务项目</w:t>
            </w:r>
          </w:p>
        </w:tc>
        <w:tc>
          <w:tcPr>
            <w:tcW w:w="3196"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Ansi="宋体"/>
                <w:color w:val="000000"/>
              </w:rPr>
            </w:pPr>
            <w:r>
              <w:rPr>
                <w:rFonts w:hint="eastAsia"/>
              </w:rPr>
              <w:t>多回路多机组电厂上下网结算</w:t>
            </w:r>
            <w:r>
              <w:rPr>
                <w:rFonts w:hint="eastAsia"/>
                <w:lang w:val="en-US" w:eastAsia="zh-CN"/>
              </w:rPr>
              <w:t>采集设备</w:t>
            </w:r>
            <w:r>
              <w:rPr>
                <w:rFonts w:hint="eastAsia" w:hAnsi="宋体" w:cs="宋体"/>
              </w:rPr>
              <w:t>的工具零部件加工、组装、现场测试，功能性能测试工作</w:t>
            </w:r>
          </w:p>
        </w:tc>
        <w:tc>
          <w:tcPr>
            <w:tcW w:w="84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rPr>
            </w:pPr>
            <w:r>
              <w:rPr>
                <w:rFonts w:hint="eastAsia" w:hAnsi="宋体" w:cs="宋体"/>
              </w:rPr>
              <w:t>项</w:t>
            </w:r>
          </w:p>
        </w:tc>
        <w:tc>
          <w:tcPr>
            <w:tcW w:w="819"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1</w:t>
            </w:r>
          </w:p>
        </w:tc>
      </w:tr>
    </w:tbl>
    <w:p>
      <w:pPr>
        <w:pStyle w:val="3"/>
        <w:tabs>
          <w:tab w:val="left" w:pos="0"/>
        </w:tabs>
        <w:rPr>
          <w:rFonts w:hAnsi="宋体" w:cs="宋体"/>
          <w:szCs w:val="24"/>
        </w:rPr>
      </w:pPr>
      <w:bookmarkStart w:id="10" w:name="_Toc27675"/>
      <w:bookmarkStart w:id="11" w:name="_Toc18691"/>
      <w:bookmarkStart w:id="12" w:name="_Toc353115668"/>
      <w:r>
        <w:rPr>
          <w:rFonts w:hint="eastAsia" w:hAnsi="宋体" w:cs="宋体"/>
          <w:szCs w:val="24"/>
        </w:rPr>
        <w:t>总体要求</w:t>
      </w:r>
      <w:bookmarkEnd w:id="10"/>
      <w:bookmarkEnd w:id="11"/>
    </w:p>
    <w:p>
      <w:pPr>
        <w:rPr>
          <w:rFonts w:hAnsi="宋体" w:cs="宋体"/>
        </w:rPr>
      </w:pPr>
      <w:r>
        <w:rPr>
          <w:rFonts w:hint="eastAsia"/>
        </w:rPr>
        <w:t>供应商必须响应并承诺下列要求：</w:t>
      </w:r>
    </w:p>
    <w:p>
      <w:pPr>
        <w:pStyle w:val="4"/>
      </w:pPr>
      <w:r>
        <w:rPr>
          <w:rFonts w:hint="eastAsia"/>
          <w:b w:val="0"/>
          <w:bCs w:val="0"/>
        </w:rPr>
        <w:t>本规范书指标要求中，凡标有下划线或加“★”的地方均被视为重要的技术指标要求或性能要求。供应商要特别加以注意，必须完全满足这些要求。</w:t>
      </w:r>
    </w:p>
    <w:p>
      <w:pPr>
        <w:pStyle w:val="4"/>
      </w:pPr>
      <w:r>
        <w:rPr>
          <w:rFonts w:hint="eastAsia"/>
          <w:b w:val="0"/>
          <w:bCs w:val="0"/>
        </w:rPr>
        <w:t>供应商应列出各个单项工作的报价，还应对各个单项工作的不同阶段工作进行划分，并在列出各阶段工作的详细报价。</w:t>
      </w:r>
    </w:p>
    <w:p>
      <w:pPr>
        <w:pStyle w:val="4"/>
      </w:pPr>
      <w:r>
        <w:rPr>
          <w:rFonts w:hint="eastAsia"/>
          <w:b w:val="0"/>
          <w:bCs w:val="0"/>
        </w:rPr>
        <w:t>供应商必须提供完整的建议书，至少包含以下内容：</w:t>
      </w:r>
    </w:p>
    <w:p>
      <w:pPr>
        <w:pStyle w:val="27"/>
        <w:rPr>
          <w:rFonts w:hAnsi="宋体" w:cs="宋体"/>
          <w:b/>
        </w:rPr>
      </w:pPr>
      <w:r>
        <w:rPr>
          <w:rFonts w:hint="eastAsia" w:hAnsi="宋体" w:cs="宋体"/>
        </w:rPr>
        <w:t>必须阐述本项目总体的服务思路，并提出项目的服务目标。</w:t>
      </w:r>
    </w:p>
    <w:p>
      <w:pPr>
        <w:pStyle w:val="27"/>
        <w:rPr>
          <w:rFonts w:hAnsi="宋体" w:cs="宋体"/>
          <w:b/>
        </w:rPr>
      </w:pPr>
      <w:r>
        <w:rPr>
          <w:rFonts w:hint="eastAsia" w:hAnsi="宋体" w:cs="宋体"/>
        </w:rPr>
        <w:t>提供本项目的需求建议，对企业整体的需求做出实质性的评估。</w:t>
      </w:r>
    </w:p>
    <w:bookmarkEnd w:id="12"/>
    <w:p>
      <w:pPr>
        <w:pStyle w:val="3"/>
        <w:keepNext w:val="0"/>
        <w:keepLines w:val="0"/>
        <w:rPr>
          <w:color w:val="000000"/>
          <w:szCs w:val="24"/>
        </w:rPr>
      </w:pPr>
      <w:bookmarkStart w:id="13" w:name="_Toc17965"/>
      <w:bookmarkStart w:id="14" w:name="_Toc354640320"/>
      <w:r>
        <w:rPr>
          <w:rFonts w:hint="eastAsia"/>
          <w:color w:val="000000"/>
        </w:rPr>
        <w:t>主要技术服务要求</w:t>
      </w:r>
      <w:bookmarkEnd w:id="13"/>
      <w:bookmarkEnd w:id="14"/>
    </w:p>
    <w:p>
      <w:pPr>
        <w:rPr>
          <w:rFonts w:hint="default"/>
          <w:b/>
          <w:bCs/>
          <w:color w:val="000000"/>
          <w:lang w:val="en-US" w:eastAsia="zh-CN"/>
        </w:rPr>
      </w:pPr>
      <w:r>
        <w:rPr>
          <w:rFonts w:hint="eastAsia"/>
          <w:b/>
          <w:bCs/>
          <w:color w:val="000000"/>
          <w:lang w:val="en-US" w:eastAsia="zh-CN"/>
        </w:rPr>
        <w:t>6.1</w:t>
      </w:r>
      <w:r>
        <w:rPr>
          <w:rFonts w:hint="eastAsia"/>
          <w:color w:val="000000"/>
          <w:lang w:val="en-US" w:eastAsia="zh-CN"/>
        </w:rPr>
        <w:t xml:space="preserve"> </w:t>
      </w:r>
      <w:r>
        <w:rPr>
          <w:rFonts w:hint="eastAsia"/>
          <w:b w:val="0"/>
          <w:bCs w:val="0"/>
        </w:rPr>
        <w:t>★</w:t>
      </w:r>
      <w:r>
        <w:rPr>
          <w:rFonts w:hint="eastAsia"/>
          <w:b/>
          <w:bCs/>
          <w:color w:val="000000"/>
          <w:lang w:val="en-US" w:eastAsia="zh-CN"/>
        </w:rPr>
        <w:t>技术要求</w:t>
      </w:r>
    </w:p>
    <w:p>
      <w:pPr>
        <w:ind w:firstLine="482" w:firstLineChars="20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通过使用遥信监测技术对发电机组并、断网同期信号联动监测，自动识别发电机组全停、单台或多台机组并网事件，在发电机组启停时对相关电能表电能量进行数据采集、数据冻结、数据存储及数据上传。对采集表码通过用户自定义的双方案数据上传通道（短信收发和移动流量）实现数据提交。</w:t>
      </w:r>
    </w:p>
    <w:p>
      <w:pPr>
        <w:pStyle w:val="2"/>
        <w:rPr>
          <w:rFonts w:hint="eastAsia"/>
          <w:b w:val="0"/>
          <w:bCs w:val="0"/>
          <w:lang w:val="en-US" w:eastAsia="zh-CN"/>
        </w:rPr>
      </w:pPr>
      <w:r>
        <w:rPr>
          <w:rFonts w:hint="eastAsia" w:ascii="宋体" w:hAnsi="宋体" w:eastAsia="宋体" w:cs="宋体"/>
          <w:b w:val="0"/>
          <w:bCs w:val="0"/>
          <w:kern w:val="2"/>
          <w:sz w:val="24"/>
          <w:szCs w:val="24"/>
          <w:lang w:val="en-US" w:eastAsia="zh-CN" w:bidi="ar-SA"/>
        </w:rPr>
        <w:t xml:space="preserve">6.2 </w:t>
      </w:r>
      <w:r>
        <w:rPr>
          <w:rFonts w:hint="eastAsia"/>
          <w:b w:val="0"/>
          <w:bCs w:val="0"/>
          <w:lang w:val="en-US" w:eastAsia="zh-CN"/>
        </w:rPr>
        <w:t>项目服务商要求</w:t>
      </w:r>
    </w:p>
    <w:p>
      <w:pPr>
        <w:pStyle w:val="2"/>
        <w:rPr>
          <w:rFonts w:hint="default"/>
          <w:b w:val="0"/>
          <w:bCs w:val="0"/>
          <w:lang w:val="en-US" w:eastAsia="zh-CN"/>
        </w:rPr>
      </w:pPr>
      <w:r>
        <w:rPr>
          <w:rFonts w:hint="eastAsia"/>
          <w:b w:val="0"/>
          <w:bCs w:val="0"/>
          <w:lang w:val="en-US" w:eastAsia="zh-CN"/>
        </w:rPr>
        <w:t>6</w:t>
      </w:r>
      <w:r>
        <w:rPr>
          <w:rFonts w:hint="default"/>
          <w:b w:val="0"/>
          <w:bCs w:val="0"/>
          <w:lang w:val="en-US" w:eastAsia="zh-CN"/>
        </w:rPr>
        <w:t>.2.1 常规问题解答</w:t>
      </w:r>
    </w:p>
    <w:p>
      <w:pPr>
        <w:pStyle w:val="2"/>
        <w:ind w:firstLine="480" w:firstLineChars="200"/>
        <w:rPr>
          <w:rFonts w:hint="default"/>
          <w:b w:val="0"/>
          <w:bCs w:val="0"/>
          <w:lang w:val="en-US" w:eastAsia="zh-CN"/>
        </w:rPr>
      </w:pPr>
      <w:r>
        <w:rPr>
          <w:rFonts w:hint="default"/>
          <w:b w:val="0"/>
          <w:bCs w:val="0"/>
          <w:lang w:val="en-US" w:eastAsia="zh-CN"/>
        </w:rPr>
        <w:t>负责解答用户使用产品过程中遇到的问题，主要包括功能使用咨询等。</w:t>
      </w:r>
    </w:p>
    <w:p>
      <w:pPr>
        <w:pStyle w:val="2"/>
        <w:rPr>
          <w:rFonts w:hint="eastAsia" w:ascii="宋体" w:hAnsi="Times New Roman" w:eastAsia="宋体" w:cs="Times New Roman"/>
          <w:b w:val="0"/>
          <w:bCs w:val="0"/>
          <w:lang w:val="en-US" w:eastAsia="zh-CN"/>
        </w:rPr>
      </w:pPr>
      <w:r>
        <w:rPr>
          <w:rFonts w:hint="eastAsia"/>
          <w:b w:val="0"/>
          <w:bCs w:val="0"/>
          <w:lang w:val="en-US" w:eastAsia="zh-CN"/>
        </w:rPr>
        <w:t>6</w:t>
      </w:r>
      <w:r>
        <w:rPr>
          <w:rFonts w:hint="default"/>
          <w:b w:val="0"/>
          <w:bCs w:val="0"/>
          <w:lang w:val="en-US" w:eastAsia="zh-CN"/>
        </w:rPr>
        <w:t>.2.</w:t>
      </w:r>
      <w:r>
        <w:rPr>
          <w:rFonts w:hint="eastAsia"/>
          <w:b w:val="0"/>
          <w:bCs w:val="0"/>
          <w:lang w:val="en-US" w:eastAsia="zh-CN"/>
        </w:rPr>
        <w:t xml:space="preserve">2 </w:t>
      </w:r>
      <w:r>
        <w:rPr>
          <w:rFonts w:hint="eastAsia" w:ascii="宋体" w:hAnsi="Times New Roman" w:eastAsia="宋体" w:cs="Times New Roman"/>
          <w:b w:val="0"/>
          <w:bCs w:val="0"/>
          <w:lang w:val="en-US" w:eastAsia="zh-CN"/>
        </w:rPr>
        <w:t>产品性能调优</w:t>
      </w:r>
    </w:p>
    <w:p>
      <w:pPr>
        <w:pStyle w:val="2"/>
        <w:ind w:firstLine="480" w:firstLineChars="200"/>
        <w:rPr>
          <w:rFonts w:hint="default" w:ascii="宋体" w:hAnsi="Times New Roman" w:eastAsia="宋体" w:cs="Times New Roman"/>
          <w:b w:val="0"/>
          <w:bCs w:val="0"/>
          <w:lang w:val="en-US" w:eastAsia="zh-CN"/>
        </w:rPr>
      </w:pPr>
      <w:r>
        <w:rPr>
          <w:rFonts w:hint="eastAsia" w:ascii="宋体"/>
          <w:color w:val="000000"/>
          <w:kern w:val="2"/>
          <w:sz w:val="24"/>
          <w:szCs w:val="24"/>
          <w:highlight w:val="none"/>
          <w:lang w:val="en-US" w:eastAsia="zh-CN" w:bidi="ar-SA"/>
        </w:rPr>
        <w:t>在产品使用过程中，由于某种</w:t>
      </w:r>
      <w:r>
        <w:rPr>
          <w:rFonts w:hint="eastAsia" w:ascii="宋体"/>
          <w:color w:val="auto"/>
          <w:kern w:val="2"/>
          <w:sz w:val="24"/>
          <w:szCs w:val="24"/>
          <w:highlight w:val="none"/>
          <w:lang w:val="en-US" w:eastAsia="zh-CN" w:bidi="ar-SA"/>
        </w:rPr>
        <w:t>原因</w:t>
      </w:r>
      <w:r>
        <w:rPr>
          <w:rFonts w:hint="eastAsia" w:ascii="宋体"/>
          <w:color w:val="000000"/>
          <w:kern w:val="2"/>
          <w:sz w:val="24"/>
          <w:szCs w:val="24"/>
          <w:highlight w:val="none"/>
          <w:lang w:val="en-US" w:eastAsia="zh-CN" w:bidi="ar-SA"/>
        </w:rPr>
        <w:t>出现性能问题的情况下，投标方根据产品性能基准指标对产品程序进行优化与改进。</w:t>
      </w:r>
    </w:p>
    <w:p>
      <w:pPr>
        <w:pStyle w:val="3"/>
      </w:pPr>
      <w:bookmarkStart w:id="15" w:name="_Toc693"/>
      <w:r>
        <w:rPr>
          <w:rFonts w:hint="eastAsia"/>
        </w:rPr>
        <w:t>评审与验收</w:t>
      </w:r>
      <w:bookmarkEnd w:id="15"/>
    </w:p>
    <w:p>
      <w:pPr>
        <w:pStyle w:val="27"/>
        <w:widowControl/>
        <w:numPr>
          <w:ilvl w:val="2"/>
          <w:numId w:val="0"/>
        </w:numPr>
        <w:rPr>
          <w:rFonts w:hAnsi="宋体" w:cs="宋体"/>
          <w:b/>
        </w:rPr>
      </w:pPr>
      <w:r>
        <w:rPr>
          <w:rFonts w:hint="eastAsia" w:hAnsi="宋体" w:cs="宋体"/>
        </w:rPr>
        <w:t>7.1 供应商应负责在项目验收时将项目的全部有关技术文件、资料等文档汇集成册交付给采购人。</w:t>
      </w:r>
    </w:p>
    <w:p>
      <w:pPr>
        <w:pStyle w:val="27"/>
        <w:widowControl/>
        <w:numPr>
          <w:ilvl w:val="2"/>
          <w:numId w:val="0"/>
        </w:numPr>
        <w:rPr>
          <w:rFonts w:hAnsi="宋体" w:cs="宋体"/>
          <w:b/>
        </w:rPr>
      </w:pPr>
      <w:r>
        <w:rPr>
          <w:rFonts w:hint="eastAsia" w:hAnsi="宋体" w:cs="宋体"/>
        </w:rPr>
        <w:t>7.2 采购人可根据合同及招标书和采购人的有关规定进行修改和补充,</w:t>
      </w:r>
      <w:r>
        <w:rPr>
          <w:rFonts w:hAnsi="宋体" w:cs="宋体"/>
        </w:rPr>
        <w:t xml:space="preserve"> </w:t>
      </w:r>
      <w:r>
        <w:rPr>
          <w:rFonts w:hint="eastAsia" w:hAnsi="宋体" w:cs="宋体"/>
        </w:rPr>
        <w:t>经双方确认后形成验收文件作为验收依据。</w:t>
      </w:r>
    </w:p>
    <w:p>
      <w:pPr>
        <w:pStyle w:val="27"/>
        <w:widowControl/>
        <w:numPr>
          <w:ilvl w:val="2"/>
          <w:numId w:val="0"/>
        </w:numPr>
        <w:rPr>
          <w:rFonts w:hAnsi="宋体" w:cs="宋体"/>
          <w:b/>
        </w:rPr>
      </w:pPr>
      <w:r>
        <w:rPr>
          <w:rFonts w:hint="eastAsia" w:hAnsi="宋体" w:cs="宋体"/>
        </w:rPr>
        <w:t>7.3 如果在签署验收文件后12周内，由于供应商的原因，该项目有一条或多条达不到规定的技术要求时，供应商应在附加的4周内采取有效措施，使该项目完全达到规定的技术要求，在此期间的一切费用由供应商承担，如在此期间内仍达不到规定的技术性能要求时，将按合同中相应商务条款执行。</w:t>
      </w:r>
    </w:p>
    <w:p>
      <w:pPr>
        <w:pStyle w:val="3"/>
      </w:pPr>
      <w:bookmarkStart w:id="16" w:name="_Toc16467"/>
      <w:r>
        <w:rPr>
          <w:rFonts w:hint="eastAsia"/>
        </w:rPr>
        <w:t>技术资料和文件</w:t>
      </w:r>
      <w:bookmarkEnd w:id="16"/>
    </w:p>
    <w:p>
      <w:pPr>
        <w:pStyle w:val="27"/>
        <w:widowControl/>
        <w:numPr>
          <w:ilvl w:val="2"/>
          <w:numId w:val="0"/>
        </w:numPr>
        <w:rPr>
          <w:rFonts w:hAnsi="宋体" w:cs="宋体"/>
        </w:rPr>
      </w:pPr>
      <w:r>
        <w:rPr>
          <w:rFonts w:hint="eastAsia" w:hAnsi="宋体" w:cs="宋体"/>
        </w:rPr>
        <w:t>8.1 供应商提供的文件和资料应能满足采购人进行维护和进一步完善的需要。</w:t>
      </w:r>
    </w:p>
    <w:p>
      <w:pPr>
        <w:pStyle w:val="27"/>
        <w:widowControl/>
        <w:numPr>
          <w:ilvl w:val="2"/>
          <w:numId w:val="0"/>
        </w:numPr>
        <w:rPr>
          <w:rFonts w:hAnsi="宋体" w:cs="宋体"/>
        </w:rPr>
      </w:pPr>
      <w:r>
        <w:rPr>
          <w:rFonts w:hint="eastAsia" w:hAnsi="宋体" w:cs="宋体"/>
        </w:rPr>
        <w:t>8.2 供应商</w:t>
      </w:r>
      <w:r>
        <w:rPr>
          <w:rFonts w:hAnsi="宋体" w:cs="宋体"/>
        </w:rPr>
        <w:t>应向</w:t>
      </w:r>
      <w:r>
        <w:rPr>
          <w:rFonts w:hint="eastAsia" w:hAnsi="宋体" w:cs="宋体"/>
        </w:rPr>
        <w:t>采购人</w:t>
      </w:r>
      <w:r>
        <w:rPr>
          <w:rFonts w:hAnsi="宋体" w:cs="宋体"/>
        </w:rPr>
        <w:t>提供项目资料的电子版。</w:t>
      </w:r>
    </w:p>
    <w:p>
      <w:pPr>
        <w:pStyle w:val="27"/>
        <w:numPr>
          <w:ilvl w:val="2"/>
          <w:numId w:val="0"/>
        </w:numPr>
        <w:rPr>
          <w:rFonts w:hAnsi="宋体" w:cs="宋体"/>
        </w:rPr>
      </w:pPr>
      <w:r>
        <w:rPr>
          <w:rFonts w:hint="eastAsia" w:hAnsi="宋体" w:cs="宋体"/>
        </w:rPr>
        <w:t>8.3若采购人有需要，供应商应为采购人编写论文配合提供素材，协助采购人编制专利申请材料。</w:t>
      </w:r>
    </w:p>
    <w:p>
      <w:pPr>
        <w:rPr>
          <w:color w:val="000000"/>
        </w:rPr>
      </w:pPr>
    </w:p>
    <w:sectPr>
      <w:headerReference r:id="rId5" w:type="default"/>
      <w:footerReference r:id="rId6" w:type="default"/>
      <w:pgSz w:w="11906" w:h="16838"/>
      <w:pgMar w:top="1440" w:right="1797" w:bottom="1440" w:left="1797"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separate"/>
    </w:r>
    <w:r>
      <w:t>7</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95501A"/>
    <w:multiLevelType w:val="multilevel"/>
    <w:tmpl w:val="0595501A"/>
    <w:lvl w:ilvl="0" w:tentative="0">
      <w:start w:val="1"/>
      <w:numFmt w:val="decimal"/>
      <w:pStyle w:val="3"/>
      <w:suff w:val="space"/>
      <w:lvlText w:val="%1."/>
      <w:lvlJc w:val="left"/>
      <w:pPr>
        <w:ind w:left="0" w:firstLine="0"/>
      </w:pPr>
      <w:rPr>
        <w:rFonts w:hint="eastAsia"/>
      </w:rPr>
    </w:lvl>
    <w:lvl w:ilvl="1" w:tentative="0">
      <w:start w:val="1"/>
      <w:numFmt w:val="decimal"/>
      <w:pStyle w:val="4"/>
      <w:isLgl/>
      <w:suff w:val="space"/>
      <w:lvlText w:val="%1.%2"/>
      <w:lvlJc w:val="left"/>
      <w:pPr>
        <w:ind w:left="0" w:firstLine="0"/>
      </w:pPr>
      <w:rPr>
        <w:rFonts w:hint="eastAsia"/>
        <w:color w:val="auto"/>
      </w:rPr>
    </w:lvl>
    <w:lvl w:ilvl="2" w:tentative="0">
      <w:start w:val="1"/>
      <w:numFmt w:val="decimal"/>
      <w:pStyle w:val="27"/>
      <w:isLgl/>
      <w:suff w:val="space"/>
      <w:lvlText w:val="%1.%2.%3"/>
      <w:lvlJc w:val="left"/>
      <w:pPr>
        <w:ind w:left="0" w:firstLine="0"/>
      </w:pPr>
      <w:rPr>
        <w:rFonts w:hint="eastAsia"/>
        <w:b/>
        <w:i w:val="0"/>
        <w:color w:val="auto"/>
        <w:sz w:val="24"/>
        <w:szCs w:val="28"/>
      </w:rPr>
    </w:lvl>
    <w:lvl w:ilvl="3" w:tentative="0">
      <w:start w:val="1"/>
      <w:numFmt w:val="decimal"/>
      <w:pStyle w:val="7"/>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trackedChanges" w:enforcement="0"/>
  <w:defaultTabStop w:val="420"/>
  <w:drawingGridVerticalSpacing w:val="156"/>
  <w:displayHorizontalDrawingGridEvery w:val="1"/>
  <w:displayVerticalDrawingGridEvery w:val="1"/>
  <w:noPunctuationKerning w:val="1"/>
  <w:characterSpacingControl w:val="compressPunctuation"/>
  <w:doNotValidateAgainstSchema/>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2D54"/>
    <w:rsid w:val="000052CC"/>
    <w:rsid w:val="00006612"/>
    <w:rsid w:val="0000722B"/>
    <w:rsid w:val="000075C2"/>
    <w:rsid w:val="00017F07"/>
    <w:rsid w:val="00020EA9"/>
    <w:rsid w:val="000232A3"/>
    <w:rsid w:val="00025423"/>
    <w:rsid w:val="00025656"/>
    <w:rsid w:val="00027642"/>
    <w:rsid w:val="00030E79"/>
    <w:rsid w:val="0003254D"/>
    <w:rsid w:val="00033F7B"/>
    <w:rsid w:val="000362F0"/>
    <w:rsid w:val="000366BD"/>
    <w:rsid w:val="000369F9"/>
    <w:rsid w:val="00037C3B"/>
    <w:rsid w:val="00037E33"/>
    <w:rsid w:val="00040969"/>
    <w:rsid w:val="00044E83"/>
    <w:rsid w:val="00045C4E"/>
    <w:rsid w:val="000461AC"/>
    <w:rsid w:val="00046413"/>
    <w:rsid w:val="0005273C"/>
    <w:rsid w:val="000545C2"/>
    <w:rsid w:val="00060C38"/>
    <w:rsid w:val="00061AF8"/>
    <w:rsid w:val="00063778"/>
    <w:rsid w:val="00066C5F"/>
    <w:rsid w:val="00072918"/>
    <w:rsid w:val="00073BA7"/>
    <w:rsid w:val="0008118D"/>
    <w:rsid w:val="000812B6"/>
    <w:rsid w:val="00082960"/>
    <w:rsid w:val="0008708E"/>
    <w:rsid w:val="000874B8"/>
    <w:rsid w:val="00093FFD"/>
    <w:rsid w:val="000A0AC8"/>
    <w:rsid w:val="000A130C"/>
    <w:rsid w:val="000A2057"/>
    <w:rsid w:val="000A651B"/>
    <w:rsid w:val="000B1195"/>
    <w:rsid w:val="000B180B"/>
    <w:rsid w:val="000B2E75"/>
    <w:rsid w:val="000C4FB6"/>
    <w:rsid w:val="000C6808"/>
    <w:rsid w:val="000C6881"/>
    <w:rsid w:val="000C72B5"/>
    <w:rsid w:val="000D06AF"/>
    <w:rsid w:val="000D3950"/>
    <w:rsid w:val="000D3F2A"/>
    <w:rsid w:val="000D5726"/>
    <w:rsid w:val="000E22DC"/>
    <w:rsid w:val="000E26C4"/>
    <w:rsid w:val="000E4125"/>
    <w:rsid w:val="000E60FF"/>
    <w:rsid w:val="000E6D93"/>
    <w:rsid w:val="000E7363"/>
    <w:rsid w:val="000F00CA"/>
    <w:rsid w:val="000F1C34"/>
    <w:rsid w:val="000F35ED"/>
    <w:rsid w:val="000F7F60"/>
    <w:rsid w:val="0010212F"/>
    <w:rsid w:val="0010525E"/>
    <w:rsid w:val="001074C6"/>
    <w:rsid w:val="00107B8A"/>
    <w:rsid w:val="00114F63"/>
    <w:rsid w:val="00115F23"/>
    <w:rsid w:val="00115F74"/>
    <w:rsid w:val="00115F79"/>
    <w:rsid w:val="001234E4"/>
    <w:rsid w:val="00127AE9"/>
    <w:rsid w:val="00127D12"/>
    <w:rsid w:val="001323CE"/>
    <w:rsid w:val="0013271E"/>
    <w:rsid w:val="00132B0C"/>
    <w:rsid w:val="001340F8"/>
    <w:rsid w:val="00137EBC"/>
    <w:rsid w:val="00141E44"/>
    <w:rsid w:val="00150326"/>
    <w:rsid w:val="00150EFE"/>
    <w:rsid w:val="00154F2B"/>
    <w:rsid w:val="001551C6"/>
    <w:rsid w:val="001577CF"/>
    <w:rsid w:val="001641C0"/>
    <w:rsid w:val="0016562E"/>
    <w:rsid w:val="00172A27"/>
    <w:rsid w:val="00173E2E"/>
    <w:rsid w:val="0017691D"/>
    <w:rsid w:val="00176DA7"/>
    <w:rsid w:val="00176F9E"/>
    <w:rsid w:val="00181F98"/>
    <w:rsid w:val="001840ED"/>
    <w:rsid w:val="00187120"/>
    <w:rsid w:val="001915DA"/>
    <w:rsid w:val="001926FA"/>
    <w:rsid w:val="00195302"/>
    <w:rsid w:val="0019639D"/>
    <w:rsid w:val="00196D17"/>
    <w:rsid w:val="001A4975"/>
    <w:rsid w:val="001A734E"/>
    <w:rsid w:val="001B0C54"/>
    <w:rsid w:val="001B1CE7"/>
    <w:rsid w:val="001C156E"/>
    <w:rsid w:val="001C1F69"/>
    <w:rsid w:val="001C2450"/>
    <w:rsid w:val="001D2162"/>
    <w:rsid w:val="001D489B"/>
    <w:rsid w:val="001D77CE"/>
    <w:rsid w:val="001D798F"/>
    <w:rsid w:val="001E6D82"/>
    <w:rsid w:val="001F405E"/>
    <w:rsid w:val="002020A8"/>
    <w:rsid w:val="00203DEA"/>
    <w:rsid w:val="00207210"/>
    <w:rsid w:val="0020758F"/>
    <w:rsid w:val="00211288"/>
    <w:rsid w:val="0021351E"/>
    <w:rsid w:val="00213836"/>
    <w:rsid w:val="00213C51"/>
    <w:rsid w:val="00213DD1"/>
    <w:rsid w:val="00214B7B"/>
    <w:rsid w:val="00215816"/>
    <w:rsid w:val="00215B8C"/>
    <w:rsid w:val="002251ED"/>
    <w:rsid w:val="00225DBD"/>
    <w:rsid w:val="00226CCD"/>
    <w:rsid w:val="00235613"/>
    <w:rsid w:val="00236822"/>
    <w:rsid w:val="00237804"/>
    <w:rsid w:val="0024204F"/>
    <w:rsid w:val="0024353A"/>
    <w:rsid w:val="00245D92"/>
    <w:rsid w:val="00251F54"/>
    <w:rsid w:val="00253AE0"/>
    <w:rsid w:val="00253C85"/>
    <w:rsid w:val="00256155"/>
    <w:rsid w:val="002577A4"/>
    <w:rsid w:val="002614A6"/>
    <w:rsid w:val="0026202A"/>
    <w:rsid w:val="00262059"/>
    <w:rsid w:val="00264DCF"/>
    <w:rsid w:val="00267869"/>
    <w:rsid w:val="00270A35"/>
    <w:rsid w:val="00274B93"/>
    <w:rsid w:val="00275EF7"/>
    <w:rsid w:val="002771CD"/>
    <w:rsid w:val="00280D66"/>
    <w:rsid w:val="0028273C"/>
    <w:rsid w:val="0028573D"/>
    <w:rsid w:val="00286012"/>
    <w:rsid w:val="002908EB"/>
    <w:rsid w:val="00293087"/>
    <w:rsid w:val="00293163"/>
    <w:rsid w:val="00297918"/>
    <w:rsid w:val="002A00E5"/>
    <w:rsid w:val="002A3589"/>
    <w:rsid w:val="002A7364"/>
    <w:rsid w:val="002B4864"/>
    <w:rsid w:val="002B4D4C"/>
    <w:rsid w:val="002B6473"/>
    <w:rsid w:val="002C0593"/>
    <w:rsid w:val="002C5B17"/>
    <w:rsid w:val="002D011D"/>
    <w:rsid w:val="002D0B89"/>
    <w:rsid w:val="002D0D27"/>
    <w:rsid w:val="002D576C"/>
    <w:rsid w:val="002E2646"/>
    <w:rsid w:val="002E4DAC"/>
    <w:rsid w:val="002E6254"/>
    <w:rsid w:val="002E7795"/>
    <w:rsid w:val="002F14FE"/>
    <w:rsid w:val="002F4666"/>
    <w:rsid w:val="002F4F04"/>
    <w:rsid w:val="002F743C"/>
    <w:rsid w:val="00307269"/>
    <w:rsid w:val="003148B7"/>
    <w:rsid w:val="003155B1"/>
    <w:rsid w:val="00316724"/>
    <w:rsid w:val="00316F09"/>
    <w:rsid w:val="0031714F"/>
    <w:rsid w:val="00321B27"/>
    <w:rsid w:val="00323CB1"/>
    <w:rsid w:val="00323E52"/>
    <w:rsid w:val="003259FB"/>
    <w:rsid w:val="00326010"/>
    <w:rsid w:val="00327272"/>
    <w:rsid w:val="00334CBD"/>
    <w:rsid w:val="00335410"/>
    <w:rsid w:val="00335D99"/>
    <w:rsid w:val="00340237"/>
    <w:rsid w:val="00340564"/>
    <w:rsid w:val="00340C62"/>
    <w:rsid w:val="003447DF"/>
    <w:rsid w:val="003458EB"/>
    <w:rsid w:val="00353FB5"/>
    <w:rsid w:val="003552C4"/>
    <w:rsid w:val="00356CB2"/>
    <w:rsid w:val="003616C4"/>
    <w:rsid w:val="00362BB9"/>
    <w:rsid w:val="00367FAD"/>
    <w:rsid w:val="00370A2C"/>
    <w:rsid w:val="00374BD0"/>
    <w:rsid w:val="00376BF6"/>
    <w:rsid w:val="00384F5C"/>
    <w:rsid w:val="00390D7B"/>
    <w:rsid w:val="00390F58"/>
    <w:rsid w:val="00391A82"/>
    <w:rsid w:val="0039324F"/>
    <w:rsid w:val="00393B04"/>
    <w:rsid w:val="00393B33"/>
    <w:rsid w:val="00394D97"/>
    <w:rsid w:val="003964DA"/>
    <w:rsid w:val="00396901"/>
    <w:rsid w:val="00397F44"/>
    <w:rsid w:val="003B3F43"/>
    <w:rsid w:val="003B4E21"/>
    <w:rsid w:val="003C259A"/>
    <w:rsid w:val="003C441B"/>
    <w:rsid w:val="003C45FD"/>
    <w:rsid w:val="003D0F76"/>
    <w:rsid w:val="003D4003"/>
    <w:rsid w:val="003E26AA"/>
    <w:rsid w:val="003E5080"/>
    <w:rsid w:val="003F2B30"/>
    <w:rsid w:val="003F37A1"/>
    <w:rsid w:val="003F73DC"/>
    <w:rsid w:val="004030AF"/>
    <w:rsid w:val="00404524"/>
    <w:rsid w:val="00404FFA"/>
    <w:rsid w:val="00407300"/>
    <w:rsid w:val="00407841"/>
    <w:rsid w:val="00407F2E"/>
    <w:rsid w:val="00412F2B"/>
    <w:rsid w:val="00413327"/>
    <w:rsid w:val="004142C5"/>
    <w:rsid w:val="004164D5"/>
    <w:rsid w:val="00421D8E"/>
    <w:rsid w:val="004236F5"/>
    <w:rsid w:val="00423F8D"/>
    <w:rsid w:val="00426475"/>
    <w:rsid w:val="004317DA"/>
    <w:rsid w:val="004332CF"/>
    <w:rsid w:val="00433DBD"/>
    <w:rsid w:val="0043515E"/>
    <w:rsid w:val="00435D55"/>
    <w:rsid w:val="00436147"/>
    <w:rsid w:val="004361C5"/>
    <w:rsid w:val="0043770A"/>
    <w:rsid w:val="0044414E"/>
    <w:rsid w:val="00445E82"/>
    <w:rsid w:val="00446039"/>
    <w:rsid w:val="00451405"/>
    <w:rsid w:val="00460DCC"/>
    <w:rsid w:val="00461096"/>
    <w:rsid w:val="004670CD"/>
    <w:rsid w:val="00480830"/>
    <w:rsid w:val="00480C16"/>
    <w:rsid w:val="00483351"/>
    <w:rsid w:val="00483FF7"/>
    <w:rsid w:val="00491B87"/>
    <w:rsid w:val="00491F9D"/>
    <w:rsid w:val="00492327"/>
    <w:rsid w:val="004977ED"/>
    <w:rsid w:val="004A0A3A"/>
    <w:rsid w:val="004A1003"/>
    <w:rsid w:val="004A1710"/>
    <w:rsid w:val="004A17DF"/>
    <w:rsid w:val="004A1D01"/>
    <w:rsid w:val="004A3236"/>
    <w:rsid w:val="004A3917"/>
    <w:rsid w:val="004A7407"/>
    <w:rsid w:val="004B03F4"/>
    <w:rsid w:val="004B2056"/>
    <w:rsid w:val="004B2499"/>
    <w:rsid w:val="004B3ADC"/>
    <w:rsid w:val="004C23C7"/>
    <w:rsid w:val="004C2D0C"/>
    <w:rsid w:val="004C3012"/>
    <w:rsid w:val="004C31B0"/>
    <w:rsid w:val="004C5D1C"/>
    <w:rsid w:val="004C6A7B"/>
    <w:rsid w:val="004D45AE"/>
    <w:rsid w:val="004D4656"/>
    <w:rsid w:val="004D5A52"/>
    <w:rsid w:val="004E2F87"/>
    <w:rsid w:val="004E4E73"/>
    <w:rsid w:val="004E5897"/>
    <w:rsid w:val="004F3907"/>
    <w:rsid w:val="004F4965"/>
    <w:rsid w:val="004F552C"/>
    <w:rsid w:val="0050086A"/>
    <w:rsid w:val="005021CE"/>
    <w:rsid w:val="00504E54"/>
    <w:rsid w:val="00506DC8"/>
    <w:rsid w:val="005104CB"/>
    <w:rsid w:val="00511285"/>
    <w:rsid w:val="005148F5"/>
    <w:rsid w:val="005207B3"/>
    <w:rsid w:val="00521A10"/>
    <w:rsid w:val="005269C1"/>
    <w:rsid w:val="0053179E"/>
    <w:rsid w:val="00531ADC"/>
    <w:rsid w:val="005322B9"/>
    <w:rsid w:val="00536018"/>
    <w:rsid w:val="00540AF8"/>
    <w:rsid w:val="00542247"/>
    <w:rsid w:val="00542500"/>
    <w:rsid w:val="0054553F"/>
    <w:rsid w:val="00553E99"/>
    <w:rsid w:val="00554B03"/>
    <w:rsid w:val="00560327"/>
    <w:rsid w:val="00562813"/>
    <w:rsid w:val="00562D96"/>
    <w:rsid w:val="00566BAC"/>
    <w:rsid w:val="00571355"/>
    <w:rsid w:val="00571A2B"/>
    <w:rsid w:val="00571B3A"/>
    <w:rsid w:val="00577868"/>
    <w:rsid w:val="005852B9"/>
    <w:rsid w:val="00586379"/>
    <w:rsid w:val="005928C8"/>
    <w:rsid w:val="00593557"/>
    <w:rsid w:val="00596D39"/>
    <w:rsid w:val="005A1EC7"/>
    <w:rsid w:val="005A752D"/>
    <w:rsid w:val="005B0826"/>
    <w:rsid w:val="005B1B55"/>
    <w:rsid w:val="005B43FB"/>
    <w:rsid w:val="005B5A16"/>
    <w:rsid w:val="005B5E72"/>
    <w:rsid w:val="005B63BA"/>
    <w:rsid w:val="005C0AC1"/>
    <w:rsid w:val="005C0FDC"/>
    <w:rsid w:val="005C355E"/>
    <w:rsid w:val="005C3BE9"/>
    <w:rsid w:val="005D04D6"/>
    <w:rsid w:val="005D2BFD"/>
    <w:rsid w:val="005D2C62"/>
    <w:rsid w:val="005D4306"/>
    <w:rsid w:val="005D59BA"/>
    <w:rsid w:val="005E09D4"/>
    <w:rsid w:val="005E33DA"/>
    <w:rsid w:val="005E427D"/>
    <w:rsid w:val="005E6B17"/>
    <w:rsid w:val="005E7DB1"/>
    <w:rsid w:val="005F1E59"/>
    <w:rsid w:val="005F390B"/>
    <w:rsid w:val="00600CB4"/>
    <w:rsid w:val="00601F0A"/>
    <w:rsid w:val="00604109"/>
    <w:rsid w:val="006130E9"/>
    <w:rsid w:val="00613DDC"/>
    <w:rsid w:val="0062518D"/>
    <w:rsid w:val="0063039C"/>
    <w:rsid w:val="00632ED3"/>
    <w:rsid w:val="00644277"/>
    <w:rsid w:val="00645CC1"/>
    <w:rsid w:val="006468D4"/>
    <w:rsid w:val="00650312"/>
    <w:rsid w:val="0065051B"/>
    <w:rsid w:val="006506D2"/>
    <w:rsid w:val="00652D47"/>
    <w:rsid w:val="00657607"/>
    <w:rsid w:val="00660FE1"/>
    <w:rsid w:val="00663D7E"/>
    <w:rsid w:val="0066677A"/>
    <w:rsid w:val="00666E2B"/>
    <w:rsid w:val="0066732B"/>
    <w:rsid w:val="00667F35"/>
    <w:rsid w:val="006705B8"/>
    <w:rsid w:val="00671DCD"/>
    <w:rsid w:val="006744B5"/>
    <w:rsid w:val="0067616B"/>
    <w:rsid w:val="006761D0"/>
    <w:rsid w:val="006800B5"/>
    <w:rsid w:val="00681303"/>
    <w:rsid w:val="006824B0"/>
    <w:rsid w:val="00684322"/>
    <w:rsid w:val="00685A38"/>
    <w:rsid w:val="00685D9A"/>
    <w:rsid w:val="006879AA"/>
    <w:rsid w:val="006916CE"/>
    <w:rsid w:val="00695BD8"/>
    <w:rsid w:val="0069631A"/>
    <w:rsid w:val="006965C7"/>
    <w:rsid w:val="006970E9"/>
    <w:rsid w:val="006A0BEC"/>
    <w:rsid w:val="006A19FB"/>
    <w:rsid w:val="006A1E03"/>
    <w:rsid w:val="006A7A89"/>
    <w:rsid w:val="006B1E17"/>
    <w:rsid w:val="006B3D85"/>
    <w:rsid w:val="006C11C0"/>
    <w:rsid w:val="006C24E4"/>
    <w:rsid w:val="006C4BF6"/>
    <w:rsid w:val="006D2C3C"/>
    <w:rsid w:val="006D3369"/>
    <w:rsid w:val="006D41CC"/>
    <w:rsid w:val="006D6566"/>
    <w:rsid w:val="006D7AFC"/>
    <w:rsid w:val="006E02A9"/>
    <w:rsid w:val="006E3F12"/>
    <w:rsid w:val="006E6693"/>
    <w:rsid w:val="006F14D4"/>
    <w:rsid w:val="006F1759"/>
    <w:rsid w:val="006F4E17"/>
    <w:rsid w:val="006F7843"/>
    <w:rsid w:val="00700357"/>
    <w:rsid w:val="0070074A"/>
    <w:rsid w:val="00701714"/>
    <w:rsid w:val="007019BD"/>
    <w:rsid w:val="007028BC"/>
    <w:rsid w:val="00706104"/>
    <w:rsid w:val="00710382"/>
    <w:rsid w:val="0071494C"/>
    <w:rsid w:val="00715BA2"/>
    <w:rsid w:val="00721FA2"/>
    <w:rsid w:val="00726576"/>
    <w:rsid w:val="0073053C"/>
    <w:rsid w:val="007316C0"/>
    <w:rsid w:val="00733282"/>
    <w:rsid w:val="0073462C"/>
    <w:rsid w:val="00734983"/>
    <w:rsid w:val="007349D8"/>
    <w:rsid w:val="00737612"/>
    <w:rsid w:val="00742A72"/>
    <w:rsid w:val="00742E31"/>
    <w:rsid w:val="0074694C"/>
    <w:rsid w:val="007505F3"/>
    <w:rsid w:val="00752CB5"/>
    <w:rsid w:val="00752FA2"/>
    <w:rsid w:val="00755850"/>
    <w:rsid w:val="007609F1"/>
    <w:rsid w:val="007631FE"/>
    <w:rsid w:val="007632FB"/>
    <w:rsid w:val="007658F2"/>
    <w:rsid w:val="00766F52"/>
    <w:rsid w:val="00767298"/>
    <w:rsid w:val="00767E9E"/>
    <w:rsid w:val="00772ABA"/>
    <w:rsid w:val="00772E94"/>
    <w:rsid w:val="0078033E"/>
    <w:rsid w:val="007854CE"/>
    <w:rsid w:val="007859C5"/>
    <w:rsid w:val="00785D4B"/>
    <w:rsid w:val="0078697A"/>
    <w:rsid w:val="00790616"/>
    <w:rsid w:val="00791975"/>
    <w:rsid w:val="007928BE"/>
    <w:rsid w:val="0079427B"/>
    <w:rsid w:val="00796045"/>
    <w:rsid w:val="00796560"/>
    <w:rsid w:val="00797231"/>
    <w:rsid w:val="007A63F4"/>
    <w:rsid w:val="007A6AEB"/>
    <w:rsid w:val="007B44D4"/>
    <w:rsid w:val="007B4AF7"/>
    <w:rsid w:val="007B58C1"/>
    <w:rsid w:val="007B6286"/>
    <w:rsid w:val="007B6DED"/>
    <w:rsid w:val="007B7B07"/>
    <w:rsid w:val="007B7F1A"/>
    <w:rsid w:val="007C06E1"/>
    <w:rsid w:val="007C3F36"/>
    <w:rsid w:val="007C5926"/>
    <w:rsid w:val="007C5D77"/>
    <w:rsid w:val="007C6974"/>
    <w:rsid w:val="007C6F1B"/>
    <w:rsid w:val="007D2085"/>
    <w:rsid w:val="007D4AE0"/>
    <w:rsid w:val="007D66B3"/>
    <w:rsid w:val="007E1B34"/>
    <w:rsid w:val="007E707E"/>
    <w:rsid w:val="007E777D"/>
    <w:rsid w:val="007F2A75"/>
    <w:rsid w:val="007F2D0C"/>
    <w:rsid w:val="007F2DED"/>
    <w:rsid w:val="007F57AB"/>
    <w:rsid w:val="007F5ADB"/>
    <w:rsid w:val="007F5DDD"/>
    <w:rsid w:val="0080103F"/>
    <w:rsid w:val="0080679D"/>
    <w:rsid w:val="00810018"/>
    <w:rsid w:val="00810A09"/>
    <w:rsid w:val="008119E5"/>
    <w:rsid w:val="00811AF9"/>
    <w:rsid w:val="00811B3F"/>
    <w:rsid w:val="00823AA7"/>
    <w:rsid w:val="00823C26"/>
    <w:rsid w:val="0082437B"/>
    <w:rsid w:val="00831E3A"/>
    <w:rsid w:val="00834241"/>
    <w:rsid w:val="008367CE"/>
    <w:rsid w:val="00837219"/>
    <w:rsid w:val="008423BB"/>
    <w:rsid w:val="00847EDF"/>
    <w:rsid w:val="00851697"/>
    <w:rsid w:val="00852ED0"/>
    <w:rsid w:val="00855136"/>
    <w:rsid w:val="00855B3A"/>
    <w:rsid w:val="00857056"/>
    <w:rsid w:val="00863E2F"/>
    <w:rsid w:val="00867252"/>
    <w:rsid w:val="0086791A"/>
    <w:rsid w:val="008705EF"/>
    <w:rsid w:val="00870637"/>
    <w:rsid w:val="00870B1E"/>
    <w:rsid w:val="00872697"/>
    <w:rsid w:val="0087498F"/>
    <w:rsid w:val="00875439"/>
    <w:rsid w:val="008769A5"/>
    <w:rsid w:val="008801B8"/>
    <w:rsid w:val="00880DF2"/>
    <w:rsid w:val="00880F55"/>
    <w:rsid w:val="008811B6"/>
    <w:rsid w:val="00882460"/>
    <w:rsid w:val="0088443F"/>
    <w:rsid w:val="008871E3"/>
    <w:rsid w:val="00894EEA"/>
    <w:rsid w:val="00896C0E"/>
    <w:rsid w:val="008A03DE"/>
    <w:rsid w:val="008A16A2"/>
    <w:rsid w:val="008A3DC4"/>
    <w:rsid w:val="008A510C"/>
    <w:rsid w:val="008B3B9C"/>
    <w:rsid w:val="008B5444"/>
    <w:rsid w:val="008B68D6"/>
    <w:rsid w:val="008B7D14"/>
    <w:rsid w:val="008C1AB4"/>
    <w:rsid w:val="008C3AB5"/>
    <w:rsid w:val="008C7B4A"/>
    <w:rsid w:val="008D0174"/>
    <w:rsid w:val="008D0612"/>
    <w:rsid w:val="008D138F"/>
    <w:rsid w:val="008D14DF"/>
    <w:rsid w:val="008D365F"/>
    <w:rsid w:val="008E3E14"/>
    <w:rsid w:val="008E4784"/>
    <w:rsid w:val="008E5C8A"/>
    <w:rsid w:val="008E62E3"/>
    <w:rsid w:val="008E6435"/>
    <w:rsid w:val="008F05D1"/>
    <w:rsid w:val="008F70A2"/>
    <w:rsid w:val="008F722B"/>
    <w:rsid w:val="00900E31"/>
    <w:rsid w:val="00900FFA"/>
    <w:rsid w:val="0090470F"/>
    <w:rsid w:val="009047E7"/>
    <w:rsid w:val="00904CA4"/>
    <w:rsid w:val="00910F13"/>
    <w:rsid w:val="00912984"/>
    <w:rsid w:val="00912C8E"/>
    <w:rsid w:val="00913709"/>
    <w:rsid w:val="00913B9E"/>
    <w:rsid w:val="009140AC"/>
    <w:rsid w:val="009171C2"/>
    <w:rsid w:val="00920EFA"/>
    <w:rsid w:val="0092202D"/>
    <w:rsid w:val="00924051"/>
    <w:rsid w:val="0092627A"/>
    <w:rsid w:val="00930472"/>
    <w:rsid w:val="00936E61"/>
    <w:rsid w:val="0094122F"/>
    <w:rsid w:val="00942735"/>
    <w:rsid w:val="009507EE"/>
    <w:rsid w:val="0095157F"/>
    <w:rsid w:val="009521CA"/>
    <w:rsid w:val="00953A1E"/>
    <w:rsid w:val="009544EE"/>
    <w:rsid w:val="009551FC"/>
    <w:rsid w:val="00956468"/>
    <w:rsid w:val="00960B8C"/>
    <w:rsid w:val="009831C7"/>
    <w:rsid w:val="00985A36"/>
    <w:rsid w:val="00985B9A"/>
    <w:rsid w:val="00986A0B"/>
    <w:rsid w:val="009872F7"/>
    <w:rsid w:val="009918B0"/>
    <w:rsid w:val="00992935"/>
    <w:rsid w:val="009A251F"/>
    <w:rsid w:val="009A27B6"/>
    <w:rsid w:val="009B0503"/>
    <w:rsid w:val="009B2818"/>
    <w:rsid w:val="009B63A1"/>
    <w:rsid w:val="009C22F6"/>
    <w:rsid w:val="009C4298"/>
    <w:rsid w:val="009C4384"/>
    <w:rsid w:val="009C5461"/>
    <w:rsid w:val="009C689A"/>
    <w:rsid w:val="009C7D05"/>
    <w:rsid w:val="009D785C"/>
    <w:rsid w:val="009E0A75"/>
    <w:rsid w:val="009E2538"/>
    <w:rsid w:val="009E38B8"/>
    <w:rsid w:val="009E449B"/>
    <w:rsid w:val="009E6F17"/>
    <w:rsid w:val="009F2F33"/>
    <w:rsid w:val="009F3B7A"/>
    <w:rsid w:val="009F3E9D"/>
    <w:rsid w:val="009F67B5"/>
    <w:rsid w:val="00A00A49"/>
    <w:rsid w:val="00A02AE9"/>
    <w:rsid w:val="00A05822"/>
    <w:rsid w:val="00A070B5"/>
    <w:rsid w:val="00A12A1E"/>
    <w:rsid w:val="00A15F07"/>
    <w:rsid w:val="00A16586"/>
    <w:rsid w:val="00A17F01"/>
    <w:rsid w:val="00A201EB"/>
    <w:rsid w:val="00A20BE5"/>
    <w:rsid w:val="00A23683"/>
    <w:rsid w:val="00A34E3E"/>
    <w:rsid w:val="00A414E6"/>
    <w:rsid w:val="00A4261C"/>
    <w:rsid w:val="00A445CD"/>
    <w:rsid w:val="00A52BE1"/>
    <w:rsid w:val="00A53737"/>
    <w:rsid w:val="00A55DF7"/>
    <w:rsid w:val="00A573FC"/>
    <w:rsid w:val="00A604E8"/>
    <w:rsid w:val="00A65D06"/>
    <w:rsid w:val="00A72ED4"/>
    <w:rsid w:val="00A736E6"/>
    <w:rsid w:val="00A80C3C"/>
    <w:rsid w:val="00A80EEB"/>
    <w:rsid w:val="00A85FDF"/>
    <w:rsid w:val="00A87125"/>
    <w:rsid w:val="00A91A6B"/>
    <w:rsid w:val="00A91E69"/>
    <w:rsid w:val="00A926DB"/>
    <w:rsid w:val="00A92795"/>
    <w:rsid w:val="00A92C74"/>
    <w:rsid w:val="00A9675E"/>
    <w:rsid w:val="00AA12BF"/>
    <w:rsid w:val="00AA2A7F"/>
    <w:rsid w:val="00AB30C2"/>
    <w:rsid w:val="00AC0E12"/>
    <w:rsid w:val="00AC0EAC"/>
    <w:rsid w:val="00AC1AAE"/>
    <w:rsid w:val="00AC41C9"/>
    <w:rsid w:val="00AC4526"/>
    <w:rsid w:val="00AC5C64"/>
    <w:rsid w:val="00AC7B73"/>
    <w:rsid w:val="00AC7E44"/>
    <w:rsid w:val="00AD12CC"/>
    <w:rsid w:val="00AD25AE"/>
    <w:rsid w:val="00AD7C11"/>
    <w:rsid w:val="00AE1E09"/>
    <w:rsid w:val="00AE553E"/>
    <w:rsid w:val="00AF24CC"/>
    <w:rsid w:val="00AF76F5"/>
    <w:rsid w:val="00B00E48"/>
    <w:rsid w:val="00B014FC"/>
    <w:rsid w:val="00B03D87"/>
    <w:rsid w:val="00B07A6A"/>
    <w:rsid w:val="00B106FB"/>
    <w:rsid w:val="00B11057"/>
    <w:rsid w:val="00B13F67"/>
    <w:rsid w:val="00B166B9"/>
    <w:rsid w:val="00B2269F"/>
    <w:rsid w:val="00B24A6E"/>
    <w:rsid w:val="00B3191F"/>
    <w:rsid w:val="00B33A45"/>
    <w:rsid w:val="00B40458"/>
    <w:rsid w:val="00B420B3"/>
    <w:rsid w:val="00B42340"/>
    <w:rsid w:val="00B46D14"/>
    <w:rsid w:val="00B512AB"/>
    <w:rsid w:val="00B5494C"/>
    <w:rsid w:val="00B559B4"/>
    <w:rsid w:val="00B6021E"/>
    <w:rsid w:val="00B60557"/>
    <w:rsid w:val="00B655C6"/>
    <w:rsid w:val="00B67F57"/>
    <w:rsid w:val="00B717BF"/>
    <w:rsid w:val="00B7555D"/>
    <w:rsid w:val="00B77337"/>
    <w:rsid w:val="00B80D0F"/>
    <w:rsid w:val="00B81659"/>
    <w:rsid w:val="00B8314D"/>
    <w:rsid w:val="00B83D89"/>
    <w:rsid w:val="00B85DCE"/>
    <w:rsid w:val="00B85EB0"/>
    <w:rsid w:val="00B918B6"/>
    <w:rsid w:val="00B9373C"/>
    <w:rsid w:val="00B951BA"/>
    <w:rsid w:val="00B97034"/>
    <w:rsid w:val="00BA0783"/>
    <w:rsid w:val="00BA0F17"/>
    <w:rsid w:val="00BA398E"/>
    <w:rsid w:val="00BA419C"/>
    <w:rsid w:val="00BA4E66"/>
    <w:rsid w:val="00BA5724"/>
    <w:rsid w:val="00BB04B3"/>
    <w:rsid w:val="00BB34E0"/>
    <w:rsid w:val="00BB4ED8"/>
    <w:rsid w:val="00BC29BB"/>
    <w:rsid w:val="00BC6DBD"/>
    <w:rsid w:val="00BC72A6"/>
    <w:rsid w:val="00BD0C72"/>
    <w:rsid w:val="00BD1591"/>
    <w:rsid w:val="00BD1654"/>
    <w:rsid w:val="00BD2632"/>
    <w:rsid w:val="00BD2B4D"/>
    <w:rsid w:val="00BD3253"/>
    <w:rsid w:val="00BE0DB0"/>
    <w:rsid w:val="00BE10E3"/>
    <w:rsid w:val="00BE3173"/>
    <w:rsid w:val="00BE79B9"/>
    <w:rsid w:val="00BF21F5"/>
    <w:rsid w:val="00BF365C"/>
    <w:rsid w:val="00BF41A4"/>
    <w:rsid w:val="00BF47F1"/>
    <w:rsid w:val="00BF5DCA"/>
    <w:rsid w:val="00C00544"/>
    <w:rsid w:val="00C00BEF"/>
    <w:rsid w:val="00C01CDF"/>
    <w:rsid w:val="00C03479"/>
    <w:rsid w:val="00C07AFB"/>
    <w:rsid w:val="00C12688"/>
    <w:rsid w:val="00C129D0"/>
    <w:rsid w:val="00C14EDE"/>
    <w:rsid w:val="00C15A2E"/>
    <w:rsid w:val="00C219B5"/>
    <w:rsid w:val="00C21E66"/>
    <w:rsid w:val="00C23B8C"/>
    <w:rsid w:val="00C264F7"/>
    <w:rsid w:val="00C30531"/>
    <w:rsid w:val="00C32D03"/>
    <w:rsid w:val="00C34764"/>
    <w:rsid w:val="00C36D77"/>
    <w:rsid w:val="00C36E74"/>
    <w:rsid w:val="00C372C0"/>
    <w:rsid w:val="00C40733"/>
    <w:rsid w:val="00C4321A"/>
    <w:rsid w:val="00C43825"/>
    <w:rsid w:val="00C47222"/>
    <w:rsid w:val="00C54D43"/>
    <w:rsid w:val="00C57713"/>
    <w:rsid w:val="00C57775"/>
    <w:rsid w:val="00C60860"/>
    <w:rsid w:val="00C62211"/>
    <w:rsid w:val="00C74000"/>
    <w:rsid w:val="00C75931"/>
    <w:rsid w:val="00C77045"/>
    <w:rsid w:val="00C775C8"/>
    <w:rsid w:val="00C8104E"/>
    <w:rsid w:val="00C825D3"/>
    <w:rsid w:val="00C82D2A"/>
    <w:rsid w:val="00C847E8"/>
    <w:rsid w:val="00C84AD4"/>
    <w:rsid w:val="00C8533E"/>
    <w:rsid w:val="00C86FE0"/>
    <w:rsid w:val="00C91D3C"/>
    <w:rsid w:val="00CA1843"/>
    <w:rsid w:val="00CA40F6"/>
    <w:rsid w:val="00CA6A00"/>
    <w:rsid w:val="00CB0E03"/>
    <w:rsid w:val="00CB5A1D"/>
    <w:rsid w:val="00CB64FE"/>
    <w:rsid w:val="00CB7406"/>
    <w:rsid w:val="00CB741E"/>
    <w:rsid w:val="00CC1F99"/>
    <w:rsid w:val="00CD339A"/>
    <w:rsid w:val="00CD355D"/>
    <w:rsid w:val="00CD3880"/>
    <w:rsid w:val="00CD4CF9"/>
    <w:rsid w:val="00CD586B"/>
    <w:rsid w:val="00CE185B"/>
    <w:rsid w:val="00CE36BA"/>
    <w:rsid w:val="00CE4BB3"/>
    <w:rsid w:val="00CE5240"/>
    <w:rsid w:val="00CE5AE8"/>
    <w:rsid w:val="00CE7A31"/>
    <w:rsid w:val="00CF1649"/>
    <w:rsid w:val="00CF3ECE"/>
    <w:rsid w:val="00CF61D0"/>
    <w:rsid w:val="00D01719"/>
    <w:rsid w:val="00D01FC0"/>
    <w:rsid w:val="00D04D1B"/>
    <w:rsid w:val="00D0527B"/>
    <w:rsid w:val="00D125E7"/>
    <w:rsid w:val="00D13E23"/>
    <w:rsid w:val="00D15290"/>
    <w:rsid w:val="00D177DF"/>
    <w:rsid w:val="00D214D6"/>
    <w:rsid w:val="00D24EC3"/>
    <w:rsid w:val="00D2528D"/>
    <w:rsid w:val="00D306D1"/>
    <w:rsid w:val="00D34362"/>
    <w:rsid w:val="00D36605"/>
    <w:rsid w:val="00D410F1"/>
    <w:rsid w:val="00D43896"/>
    <w:rsid w:val="00D443C7"/>
    <w:rsid w:val="00D46101"/>
    <w:rsid w:val="00D47C1F"/>
    <w:rsid w:val="00D53209"/>
    <w:rsid w:val="00D57316"/>
    <w:rsid w:val="00D61867"/>
    <w:rsid w:val="00D651AB"/>
    <w:rsid w:val="00D66641"/>
    <w:rsid w:val="00D70A1D"/>
    <w:rsid w:val="00D70F91"/>
    <w:rsid w:val="00D7460F"/>
    <w:rsid w:val="00D75E6C"/>
    <w:rsid w:val="00D76BBC"/>
    <w:rsid w:val="00D86291"/>
    <w:rsid w:val="00D87879"/>
    <w:rsid w:val="00D924F4"/>
    <w:rsid w:val="00D945FE"/>
    <w:rsid w:val="00D9565C"/>
    <w:rsid w:val="00D9734B"/>
    <w:rsid w:val="00D97F0F"/>
    <w:rsid w:val="00DA2220"/>
    <w:rsid w:val="00DA7E40"/>
    <w:rsid w:val="00DB028A"/>
    <w:rsid w:val="00DB0CF7"/>
    <w:rsid w:val="00DB1405"/>
    <w:rsid w:val="00DB43D5"/>
    <w:rsid w:val="00DB6D53"/>
    <w:rsid w:val="00DD12DD"/>
    <w:rsid w:val="00DD3EB3"/>
    <w:rsid w:val="00DD5A86"/>
    <w:rsid w:val="00DD73F7"/>
    <w:rsid w:val="00DD7FD4"/>
    <w:rsid w:val="00DE0427"/>
    <w:rsid w:val="00DE0651"/>
    <w:rsid w:val="00DE2B87"/>
    <w:rsid w:val="00DE7A89"/>
    <w:rsid w:val="00DF3413"/>
    <w:rsid w:val="00DF72C8"/>
    <w:rsid w:val="00E0000C"/>
    <w:rsid w:val="00E001AC"/>
    <w:rsid w:val="00E01668"/>
    <w:rsid w:val="00E03857"/>
    <w:rsid w:val="00E059E4"/>
    <w:rsid w:val="00E107E8"/>
    <w:rsid w:val="00E118A9"/>
    <w:rsid w:val="00E11DAC"/>
    <w:rsid w:val="00E11DAD"/>
    <w:rsid w:val="00E122C2"/>
    <w:rsid w:val="00E141CB"/>
    <w:rsid w:val="00E15097"/>
    <w:rsid w:val="00E16299"/>
    <w:rsid w:val="00E2276C"/>
    <w:rsid w:val="00E23EB6"/>
    <w:rsid w:val="00E23EC3"/>
    <w:rsid w:val="00E25B15"/>
    <w:rsid w:val="00E278F0"/>
    <w:rsid w:val="00E27A23"/>
    <w:rsid w:val="00E300A0"/>
    <w:rsid w:val="00E32AC5"/>
    <w:rsid w:val="00E332FB"/>
    <w:rsid w:val="00E37DEF"/>
    <w:rsid w:val="00E41B71"/>
    <w:rsid w:val="00E43D61"/>
    <w:rsid w:val="00E45B13"/>
    <w:rsid w:val="00E5133E"/>
    <w:rsid w:val="00E51F54"/>
    <w:rsid w:val="00E55116"/>
    <w:rsid w:val="00E57602"/>
    <w:rsid w:val="00E57EDC"/>
    <w:rsid w:val="00E61502"/>
    <w:rsid w:val="00E61828"/>
    <w:rsid w:val="00E63FEB"/>
    <w:rsid w:val="00E67CAB"/>
    <w:rsid w:val="00E743DB"/>
    <w:rsid w:val="00E7710E"/>
    <w:rsid w:val="00E83E4C"/>
    <w:rsid w:val="00E8448B"/>
    <w:rsid w:val="00E87B54"/>
    <w:rsid w:val="00E90CA8"/>
    <w:rsid w:val="00E90EB8"/>
    <w:rsid w:val="00E93D29"/>
    <w:rsid w:val="00E94061"/>
    <w:rsid w:val="00E9578A"/>
    <w:rsid w:val="00E95940"/>
    <w:rsid w:val="00E96531"/>
    <w:rsid w:val="00EA0789"/>
    <w:rsid w:val="00EA2324"/>
    <w:rsid w:val="00EA2C80"/>
    <w:rsid w:val="00EA4040"/>
    <w:rsid w:val="00EB0847"/>
    <w:rsid w:val="00EB792D"/>
    <w:rsid w:val="00EC16BA"/>
    <w:rsid w:val="00EC4634"/>
    <w:rsid w:val="00EC57BC"/>
    <w:rsid w:val="00ED1590"/>
    <w:rsid w:val="00ED1BE4"/>
    <w:rsid w:val="00ED55A4"/>
    <w:rsid w:val="00EE01F2"/>
    <w:rsid w:val="00EE2F95"/>
    <w:rsid w:val="00EE79A5"/>
    <w:rsid w:val="00EF1453"/>
    <w:rsid w:val="00EF7E9B"/>
    <w:rsid w:val="00F07B73"/>
    <w:rsid w:val="00F11872"/>
    <w:rsid w:val="00F126E1"/>
    <w:rsid w:val="00F14CDD"/>
    <w:rsid w:val="00F15D0D"/>
    <w:rsid w:val="00F22D1F"/>
    <w:rsid w:val="00F23044"/>
    <w:rsid w:val="00F234CC"/>
    <w:rsid w:val="00F267B0"/>
    <w:rsid w:val="00F30222"/>
    <w:rsid w:val="00F328A1"/>
    <w:rsid w:val="00F34DE2"/>
    <w:rsid w:val="00F403D9"/>
    <w:rsid w:val="00F412D3"/>
    <w:rsid w:val="00F43B4B"/>
    <w:rsid w:val="00F47325"/>
    <w:rsid w:val="00F52BEA"/>
    <w:rsid w:val="00F555D9"/>
    <w:rsid w:val="00F5726E"/>
    <w:rsid w:val="00F615FD"/>
    <w:rsid w:val="00F61EA6"/>
    <w:rsid w:val="00F629D8"/>
    <w:rsid w:val="00F63FA1"/>
    <w:rsid w:val="00F6549F"/>
    <w:rsid w:val="00F6608B"/>
    <w:rsid w:val="00F6634A"/>
    <w:rsid w:val="00F7006F"/>
    <w:rsid w:val="00F719F6"/>
    <w:rsid w:val="00F71DB5"/>
    <w:rsid w:val="00F71FF3"/>
    <w:rsid w:val="00F808CF"/>
    <w:rsid w:val="00F80B6E"/>
    <w:rsid w:val="00F83271"/>
    <w:rsid w:val="00F84273"/>
    <w:rsid w:val="00F90D18"/>
    <w:rsid w:val="00F91728"/>
    <w:rsid w:val="00F93EFA"/>
    <w:rsid w:val="00F94EDC"/>
    <w:rsid w:val="00F96B3C"/>
    <w:rsid w:val="00FA03B9"/>
    <w:rsid w:val="00FA1AF9"/>
    <w:rsid w:val="00FA2E33"/>
    <w:rsid w:val="00FA2F10"/>
    <w:rsid w:val="00FB0F83"/>
    <w:rsid w:val="00FB4118"/>
    <w:rsid w:val="00FB60B1"/>
    <w:rsid w:val="00FB772C"/>
    <w:rsid w:val="00FC186E"/>
    <w:rsid w:val="00FC21CF"/>
    <w:rsid w:val="00FC246C"/>
    <w:rsid w:val="00FC4832"/>
    <w:rsid w:val="00FC6E72"/>
    <w:rsid w:val="00FD18C9"/>
    <w:rsid w:val="00FD7C3C"/>
    <w:rsid w:val="00FE1A7B"/>
    <w:rsid w:val="00FE5D1F"/>
    <w:rsid w:val="00FF2BED"/>
    <w:rsid w:val="00FF4DF8"/>
    <w:rsid w:val="00FF53B8"/>
    <w:rsid w:val="00FF604B"/>
    <w:rsid w:val="011D0291"/>
    <w:rsid w:val="01472EB1"/>
    <w:rsid w:val="01FE6438"/>
    <w:rsid w:val="02086FDB"/>
    <w:rsid w:val="02CF0704"/>
    <w:rsid w:val="02F06CF0"/>
    <w:rsid w:val="02F62812"/>
    <w:rsid w:val="03004C72"/>
    <w:rsid w:val="03BC0ECF"/>
    <w:rsid w:val="03CA3F4A"/>
    <w:rsid w:val="03D30608"/>
    <w:rsid w:val="04A87389"/>
    <w:rsid w:val="056265E8"/>
    <w:rsid w:val="05C3130A"/>
    <w:rsid w:val="06110302"/>
    <w:rsid w:val="07287D9E"/>
    <w:rsid w:val="081652B8"/>
    <w:rsid w:val="08241586"/>
    <w:rsid w:val="082661A3"/>
    <w:rsid w:val="08713EC8"/>
    <w:rsid w:val="08A31B5F"/>
    <w:rsid w:val="08AF0A1A"/>
    <w:rsid w:val="092B7F11"/>
    <w:rsid w:val="095709C5"/>
    <w:rsid w:val="0A0847E4"/>
    <w:rsid w:val="0A0D4FB5"/>
    <w:rsid w:val="0A1A0491"/>
    <w:rsid w:val="0A283317"/>
    <w:rsid w:val="0A2F560A"/>
    <w:rsid w:val="0B5E2AFB"/>
    <w:rsid w:val="0BAE596A"/>
    <w:rsid w:val="0BBA4B64"/>
    <w:rsid w:val="0BD717AD"/>
    <w:rsid w:val="0BDA3681"/>
    <w:rsid w:val="0BE052AB"/>
    <w:rsid w:val="0C2F4572"/>
    <w:rsid w:val="0C871CA3"/>
    <w:rsid w:val="0CD00C47"/>
    <w:rsid w:val="0CEB76F5"/>
    <w:rsid w:val="0CFC72D9"/>
    <w:rsid w:val="0D1C7B77"/>
    <w:rsid w:val="0E2A79CF"/>
    <w:rsid w:val="0ECE0FC9"/>
    <w:rsid w:val="0F345045"/>
    <w:rsid w:val="0F4A2322"/>
    <w:rsid w:val="0FA23F7C"/>
    <w:rsid w:val="0FD533E6"/>
    <w:rsid w:val="1000054D"/>
    <w:rsid w:val="10154D11"/>
    <w:rsid w:val="107E1BC2"/>
    <w:rsid w:val="10E1491B"/>
    <w:rsid w:val="111F7B66"/>
    <w:rsid w:val="1146120B"/>
    <w:rsid w:val="11A12707"/>
    <w:rsid w:val="123B4BE1"/>
    <w:rsid w:val="12D1205B"/>
    <w:rsid w:val="132916DC"/>
    <w:rsid w:val="13611E59"/>
    <w:rsid w:val="13AA0C93"/>
    <w:rsid w:val="14185634"/>
    <w:rsid w:val="14297252"/>
    <w:rsid w:val="14AF1D4C"/>
    <w:rsid w:val="14FF3E63"/>
    <w:rsid w:val="15A46E39"/>
    <w:rsid w:val="15A52C26"/>
    <w:rsid w:val="15D053F0"/>
    <w:rsid w:val="15DE0AFC"/>
    <w:rsid w:val="15EA4025"/>
    <w:rsid w:val="16043164"/>
    <w:rsid w:val="16867B6C"/>
    <w:rsid w:val="17473D3D"/>
    <w:rsid w:val="175364F7"/>
    <w:rsid w:val="182A5772"/>
    <w:rsid w:val="18FF630B"/>
    <w:rsid w:val="19656757"/>
    <w:rsid w:val="1A586D8E"/>
    <w:rsid w:val="1A9A3E40"/>
    <w:rsid w:val="1ABA0E6B"/>
    <w:rsid w:val="1ADE2183"/>
    <w:rsid w:val="1B2412E2"/>
    <w:rsid w:val="1BBC01DE"/>
    <w:rsid w:val="1BF2768A"/>
    <w:rsid w:val="1D9E751B"/>
    <w:rsid w:val="1E2F7039"/>
    <w:rsid w:val="1F7807AF"/>
    <w:rsid w:val="20C25B23"/>
    <w:rsid w:val="211B223D"/>
    <w:rsid w:val="219E0135"/>
    <w:rsid w:val="21C66054"/>
    <w:rsid w:val="220A48F7"/>
    <w:rsid w:val="22124372"/>
    <w:rsid w:val="2230610B"/>
    <w:rsid w:val="225A47B5"/>
    <w:rsid w:val="227C20A3"/>
    <w:rsid w:val="22FE4342"/>
    <w:rsid w:val="236E7717"/>
    <w:rsid w:val="239B5859"/>
    <w:rsid w:val="23A53D48"/>
    <w:rsid w:val="23BD1B11"/>
    <w:rsid w:val="24170B58"/>
    <w:rsid w:val="241C39CC"/>
    <w:rsid w:val="244E4801"/>
    <w:rsid w:val="24816F73"/>
    <w:rsid w:val="249677CA"/>
    <w:rsid w:val="24AA08C9"/>
    <w:rsid w:val="25BC1F2B"/>
    <w:rsid w:val="25CF39D2"/>
    <w:rsid w:val="26102F02"/>
    <w:rsid w:val="262F44F4"/>
    <w:rsid w:val="26377674"/>
    <w:rsid w:val="26541E80"/>
    <w:rsid w:val="27360264"/>
    <w:rsid w:val="276273FA"/>
    <w:rsid w:val="277946BD"/>
    <w:rsid w:val="27BE1944"/>
    <w:rsid w:val="27E2700B"/>
    <w:rsid w:val="27F55DBD"/>
    <w:rsid w:val="28042AC0"/>
    <w:rsid w:val="288A1C1A"/>
    <w:rsid w:val="28DF4B99"/>
    <w:rsid w:val="292F7575"/>
    <w:rsid w:val="294A727D"/>
    <w:rsid w:val="29983824"/>
    <w:rsid w:val="29E87CCF"/>
    <w:rsid w:val="2AA53905"/>
    <w:rsid w:val="2B00316F"/>
    <w:rsid w:val="2B5E3E50"/>
    <w:rsid w:val="2B6F5ED7"/>
    <w:rsid w:val="2BD50862"/>
    <w:rsid w:val="2CC03000"/>
    <w:rsid w:val="2CF30BCC"/>
    <w:rsid w:val="2CF61EAB"/>
    <w:rsid w:val="2D0A2CC6"/>
    <w:rsid w:val="2D173E92"/>
    <w:rsid w:val="2D6A0B81"/>
    <w:rsid w:val="2DF5076C"/>
    <w:rsid w:val="2E4F0B5E"/>
    <w:rsid w:val="2E9B3506"/>
    <w:rsid w:val="2F217D4C"/>
    <w:rsid w:val="2F57486E"/>
    <w:rsid w:val="310D0AFC"/>
    <w:rsid w:val="314960E7"/>
    <w:rsid w:val="31642DCC"/>
    <w:rsid w:val="31705181"/>
    <w:rsid w:val="322C4E1C"/>
    <w:rsid w:val="33545F80"/>
    <w:rsid w:val="3388286B"/>
    <w:rsid w:val="341554B2"/>
    <w:rsid w:val="346E0C89"/>
    <w:rsid w:val="34C32256"/>
    <w:rsid w:val="356F0663"/>
    <w:rsid w:val="3600523D"/>
    <w:rsid w:val="36675994"/>
    <w:rsid w:val="36796945"/>
    <w:rsid w:val="36836C23"/>
    <w:rsid w:val="3690515B"/>
    <w:rsid w:val="37230DD4"/>
    <w:rsid w:val="373341A3"/>
    <w:rsid w:val="3736209D"/>
    <w:rsid w:val="383D281C"/>
    <w:rsid w:val="390E1F67"/>
    <w:rsid w:val="39252004"/>
    <w:rsid w:val="3979406B"/>
    <w:rsid w:val="3A047BEB"/>
    <w:rsid w:val="3A7E5861"/>
    <w:rsid w:val="3A7F3C3A"/>
    <w:rsid w:val="3B090829"/>
    <w:rsid w:val="3DD11ECA"/>
    <w:rsid w:val="3EC5172F"/>
    <w:rsid w:val="3EDE0123"/>
    <w:rsid w:val="3F1E1280"/>
    <w:rsid w:val="3F4215A9"/>
    <w:rsid w:val="3F7B3FB4"/>
    <w:rsid w:val="3FE526F8"/>
    <w:rsid w:val="3FF51B86"/>
    <w:rsid w:val="406861E2"/>
    <w:rsid w:val="40D31FE7"/>
    <w:rsid w:val="40E91055"/>
    <w:rsid w:val="414C73AD"/>
    <w:rsid w:val="41714EAC"/>
    <w:rsid w:val="417A64C0"/>
    <w:rsid w:val="41C851A0"/>
    <w:rsid w:val="41C92F8E"/>
    <w:rsid w:val="423A7B51"/>
    <w:rsid w:val="425E0059"/>
    <w:rsid w:val="42930E64"/>
    <w:rsid w:val="42A2658F"/>
    <w:rsid w:val="42B70F03"/>
    <w:rsid w:val="435C580D"/>
    <w:rsid w:val="436B6E12"/>
    <w:rsid w:val="43F11933"/>
    <w:rsid w:val="44C63686"/>
    <w:rsid w:val="450032B1"/>
    <w:rsid w:val="45751371"/>
    <w:rsid w:val="45957B80"/>
    <w:rsid w:val="459F41C9"/>
    <w:rsid w:val="46235FD4"/>
    <w:rsid w:val="466277F0"/>
    <w:rsid w:val="479D4822"/>
    <w:rsid w:val="47E21FBA"/>
    <w:rsid w:val="48184AC8"/>
    <w:rsid w:val="482009BF"/>
    <w:rsid w:val="4843234C"/>
    <w:rsid w:val="485E249F"/>
    <w:rsid w:val="491B1245"/>
    <w:rsid w:val="492E569F"/>
    <w:rsid w:val="49454D46"/>
    <w:rsid w:val="4A982051"/>
    <w:rsid w:val="4ACD0D1C"/>
    <w:rsid w:val="4B166056"/>
    <w:rsid w:val="4B8769A3"/>
    <w:rsid w:val="4BF36C84"/>
    <w:rsid w:val="4C813E55"/>
    <w:rsid w:val="4CDE6411"/>
    <w:rsid w:val="4CF418B5"/>
    <w:rsid w:val="4D542CC4"/>
    <w:rsid w:val="4D7127E0"/>
    <w:rsid w:val="4D7C1C30"/>
    <w:rsid w:val="4DE80860"/>
    <w:rsid w:val="4E98738C"/>
    <w:rsid w:val="4EE7699D"/>
    <w:rsid w:val="4EFC5159"/>
    <w:rsid w:val="4F1C585F"/>
    <w:rsid w:val="4F600A37"/>
    <w:rsid w:val="4FC61FF0"/>
    <w:rsid w:val="4FD15837"/>
    <w:rsid w:val="4FE528A4"/>
    <w:rsid w:val="503F299A"/>
    <w:rsid w:val="50407304"/>
    <w:rsid w:val="505C1A2D"/>
    <w:rsid w:val="506C0491"/>
    <w:rsid w:val="51A53664"/>
    <w:rsid w:val="531E245C"/>
    <w:rsid w:val="532314A8"/>
    <w:rsid w:val="53A00A32"/>
    <w:rsid w:val="53EC6EBC"/>
    <w:rsid w:val="54141354"/>
    <w:rsid w:val="5449689F"/>
    <w:rsid w:val="5520597C"/>
    <w:rsid w:val="55F8CE8A"/>
    <w:rsid w:val="574F4D9F"/>
    <w:rsid w:val="577666E4"/>
    <w:rsid w:val="57905DB9"/>
    <w:rsid w:val="57F8510F"/>
    <w:rsid w:val="58293E36"/>
    <w:rsid w:val="591B58C0"/>
    <w:rsid w:val="59303191"/>
    <w:rsid w:val="595C3110"/>
    <w:rsid w:val="5968126F"/>
    <w:rsid w:val="59AE743C"/>
    <w:rsid w:val="5A5D4B77"/>
    <w:rsid w:val="5A7D1574"/>
    <w:rsid w:val="5AAE7E04"/>
    <w:rsid w:val="5BB37C10"/>
    <w:rsid w:val="5C093449"/>
    <w:rsid w:val="5CC40597"/>
    <w:rsid w:val="5D7F6FD2"/>
    <w:rsid w:val="5DAB4713"/>
    <w:rsid w:val="5E247A28"/>
    <w:rsid w:val="5E253D03"/>
    <w:rsid w:val="5E6957C1"/>
    <w:rsid w:val="5EA90E62"/>
    <w:rsid w:val="5F181D5E"/>
    <w:rsid w:val="606D163F"/>
    <w:rsid w:val="61002EED"/>
    <w:rsid w:val="61057565"/>
    <w:rsid w:val="617C3E5B"/>
    <w:rsid w:val="61A338FA"/>
    <w:rsid w:val="61A96E48"/>
    <w:rsid w:val="62CD5129"/>
    <w:rsid w:val="634F07DE"/>
    <w:rsid w:val="63937C6D"/>
    <w:rsid w:val="63E97377"/>
    <w:rsid w:val="64242AC2"/>
    <w:rsid w:val="64657FC6"/>
    <w:rsid w:val="64765663"/>
    <w:rsid w:val="64981A5E"/>
    <w:rsid w:val="64BF61F1"/>
    <w:rsid w:val="656A26A4"/>
    <w:rsid w:val="66520550"/>
    <w:rsid w:val="671923EC"/>
    <w:rsid w:val="67257FBA"/>
    <w:rsid w:val="672C630C"/>
    <w:rsid w:val="67A0618E"/>
    <w:rsid w:val="68427097"/>
    <w:rsid w:val="68824BF8"/>
    <w:rsid w:val="68CF6880"/>
    <w:rsid w:val="693422F4"/>
    <w:rsid w:val="69A05DBF"/>
    <w:rsid w:val="69C540F9"/>
    <w:rsid w:val="6A5C13AA"/>
    <w:rsid w:val="6AD5421F"/>
    <w:rsid w:val="6AFA32FB"/>
    <w:rsid w:val="6B4D36E5"/>
    <w:rsid w:val="6B6905A6"/>
    <w:rsid w:val="6BBD050C"/>
    <w:rsid w:val="6BC87FD9"/>
    <w:rsid w:val="6C145B96"/>
    <w:rsid w:val="6D5026AC"/>
    <w:rsid w:val="6D7AE735"/>
    <w:rsid w:val="6D8F2CE5"/>
    <w:rsid w:val="6DAF49B0"/>
    <w:rsid w:val="6DB63248"/>
    <w:rsid w:val="6E352D83"/>
    <w:rsid w:val="6EB56FB1"/>
    <w:rsid w:val="6F052A71"/>
    <w:rsid w:val="6F19500B"/>
    <w:rsid w:val="6F575861"/>
    <w:rsid w:val="6F616577"/>
    <w:rsid w:val="6FB15097"/>
    <w:rsid w:val="70634812"/>
    <w:rsid w:val="707A7F72"/>
    <w:rsid w:val="71742F2E"/>
    <w:rsid w:val="71AD0AE0"/>
    <w:rsid w:val="720F3409"/>
    <w:rsid w:val="724A7C50"/>
    <w:rsid w:val="737B3F1C"/>
    <w:rsid w:val="7435766D"/>
    <w:rsid w:val="74753C1E"/>
    <w:rsid w:val="74987D11"/>
    <w:rsid w:val="753E0110"/>
    <w:rsid w:val="75726353"/>
    <w:rsid w:val="75E51455"/>
    <w:rsid w:val="76112549"/>
    <w:rsid w:val="770C59BC"/>
    <w:rsid w:val="771E1D5E"/>
    <w:rsid w:val="772F1249"/>
    <w:rsid w:val="77633096"/>
    <w:rsid w:val="77B4015F"/>
    <w:rsid w:val="788C3D53"/>
    <w:rsid w:val="78EB678C"/>
    <w:rsid w:val="79031303"/>
    <w:rsid w:val="791234FF"/>
    <w:rsid w:val="79ED074D"/>
    <w:rsid w:val="79F91D2C"/>
    <w:rsid w:val="7A1C5763"/>
    <w:rsid w:val="7A871EEF"/>
    <w:rsid w:val="7ADC06FE"/>
    <w:rsid w:val="7B231E11"/>
    <w:rsid w:val="7BA51434"/>
    <w:rsid w:val="7BD9352D"/>
    <w:rsid w:val="7C173517"/>
    <w:rsid w:val="7CA27E1E"/>
    <w:rsid w:val="7CED3003"/>
    <w:rsid w:val="7D153D75"/>
    <w:rsid w:val="7D237C5A"/>
    <w:rsid w:val="7D4A6969"/>
    <w:rsid w:val="7DD57307"/>
    <w:rsid w:val="7E376D0D"/>
    <w:rsid w:val="7E7265E2"/>
    <w:rsid w:val="7EFD6F69"/>
    <w:rsid w:val="7F2C38B2"/>
    <w:rsid w:val="7F2E4837"/>
    <w:rsid w:val="7FA26A84"/>
    <w:rsid w:val="DEEFF093"/>
    <w:rsid w:val="DFFFA9A1"/>
    <w:rsid w:val="FBED4F36"/>
    <w:rsid w:val="FFDD7F5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Times New Roman" w:eastAsia="宋体" w:cs="Times New Roman"/>
      <w:kern w:val="2"/>
      <w:sz w:val="24"/>
      <w:szCs w:val="24"/>
      <w:lang w:val="en-US" w:eastAsia="zh-CN" w:bidi="ar-SA"/>
    </w:rPr>
  </w:style>
  <w:style w:type="paragraph" w:styleId="3">
    <w:name w:val="heading 1"/>
    <w:basedOn w:val="1"/>
    <w:next w:val="1"/>
    <w:link w:val="49"/>
    <w:qFormat/>
    <w:uiPriority w:val="9"/>
    <w:pPr>
      <w:keepNext/>
      <w:keepLines/>
      <w:numPr>
        <w:ilvl w:val="0"/>
        <w:numId w:val="1"/>
      </w:numPr>
      <w:outlineLvl w:val="0"/>
    </w:pPr>
    <w:rPr>
      <w:b/>
      <w:bCs/>
      <w:kern w:val="44"/>
      <w:szCs w:val="44"/>
    </w:rPr>
  </w:style>
  <w:style w:type="paragraph" w:styleId="4">
    <w:name w:val="heading 2"/>
    <w:basedOn w:val="1"/>
    <w:next w:val="1"/>
    <w:link w:val="36"/>
    <w:qFormat/>
    <w:uiPriority w:val="0"/>
    <w:pPr>
      <w:keepNext/>
      <w:keepLines/>
      <w:numPr>
        <w:ilvl w:val="1"/>
        <w:numId w:val="1"/>
      </w:numPr>
      <w:outlineLvl w:val="1"/>
    </w:pPr>
    <w:rPr>
      <w:rFonts w:hAnsi="Arial"/>
      <w:b/>
      <w:bCs/>
      <w:szCs w:val="32"/>
    </w:rPr>
  </w:style>
  <w:style w:type="paragraph" w:styleId="5">
    <w:name w:val="heading 3"/>
    <w:basedOn w:val="1"/>
    <w:next w:val="1"/>
    <w:link w:val="29"/>
    <w:qFormat/>
    <w:uiPriority w:val="9"/>
    <w:pPr>
      <w:keepNext/>
      <w:keepLines/>
      <w:spacing w:before="260" w:after="260" w:line="416" w:lineRule="auto"/>
      <w:outlineLvl w:val="2"/>
    </w:pPr>
    <w:rPr>
      <w:b/>
      <w:bCs/>
      <w:kern w:val="0"/>
      <w:sz w:val="32"/>
      <w:szCs w:val="32"/>
    </w:rPr>
  </w:style>
  <w:style w:type="paragraph" w:styleId="6">
    <w:name w:val="heading 4"/>
    <w:basedOn w:val="7"/>
    <w:next w:val="7"/>
    <w:link w:val="42"/>
    <w:qFormat/>
    <w:uiPriority w:val="9"/>
    <w:pPr>
      <w:keepNext/>
      <w:keepLines/>
      <w:spacing w:before="280" w:after="290" w:line="376" w:lineRule="auto"/>
      <w:outlineLvl w:val="3"/>
    </w:pPr>
    <w:rPr>
      <w:rFonts w:hAnsi="宋体"/>
      <w:bCs/>
      <w:kern w:val="0"/>
      <w:szCs w:val="28"/>
    </w:rPr>
  </w:style>
  <w:style w:type="paragraph" w:styleId="8">
    <w:name w:val="heading 5"/>
    <w:basedOn w:val="1"/>
    <w:next w:val="1"/>
    <w:link w:val="47"/>
    <w:qFormat/>
    <w:uiPriority w:val="9"/>
    <w:pPr>
      <w:keepNext/>
      <w:keepLines/>
      <w:spacing w:before="280" w:after="290" w:line="376" w:lineRule="auto"/>
      <w:outlineLvl w:val="4"/>
    </w:pPr>
    <w:rPr>
      <w:rFonts w:hAnsi="宋体"/>
      <w:b/>
      <w:bCs/>
      <w:kern w:val="0"/>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style>
  <w:style w:type="paragraph" w:customStyle="1" w:styleId="7">
    <w:name w:val="样式2"/>
    <w:basedOn w:val="1"/>
    <w:qFormat/>
    <w:uiPriority w:val="0"/>
    <w:pPr>
      <w:numPr>
        <w:ilvl w:val="3"/>
        <w:numId w:val="1"/>
      </w:numPr>
    </w:pPr>
  </w:style>
  <w:style w:type="paragraph" w:styleId="9">
    <w:name w:val="Normal Indent"/>
    <w:basedOn w:val="1"/>
    <w:link w:val="39"/>
    <w:qFormat/>
    <w:uiPriority w:val="0"/>
    <w:pPr>
      <w:ind w:firstLine="200" w:firstLineChars="200"/>
    </w:pPr>
    <w:rPr>
      <w:rFonts w:ascii="Times New Roman"/>
      <w:kern w:val="0"/>
      <w:szCs w:val="20"/>
    </w:rPr>
  </w:style>
  <w:style w:type="paragraph" w:styleId="10">
    <w:name w:val="Document Map"/>
    <w:basedOn w:val="1"/>
    <w:link w:val="33"/>
    <w:unhideWhenUsed/>
    <w:qFormat/>
    <w:uiPriority w:val="99"/>
    <w:rPr>
      <w:kern w:val="0"/>
      <w:sz w:val="18"/>
      <w:szCs w:val="18"/>
    </w:rPr>
  </w:style>
  <w:style w:type="paragraph" w:styleId="11">
    <w:name w:val="annotation text"/>
    <w:basedOn w:val="1"/>
    <w:unhideWhenUsed/>
    <w:qFormat/>
    <w:uiPriority w:val="99"/>
    <w:pPr>
      <w:jc w:val="left"/>
    </w:pPr>
  </w:style>
  <w:style w:type="paragraph" w:styleId="12">
    <w:name w:val="Body Text Indent"/>
    <w:basedOn w:val="1"/>
    <w:link w:val="48"/>
    <w:qFormat/>
    <w:uiPriority w:val="0"/>
    <w:pPr>
      <w:adjustRightInd w:val="0"/>
      <w:snapToGrid w:val="0"/>
      <w:spacing w:line="300" w:lineRule="auto"/>
    </w:pPr>
    <w:rPr>
      <w:rFonts w:ascii="Times New Roman"/>
      <w:kern w:val="0"/>
      <w:sz w:val="20"/>
      <w:szCs w:val="20"/>
      <w:lang w:eastAsia="zh-TW"/>
    </w:rPr>
  </w:style>
  <w:style w:type="paragraph" w:styleId="13">
    <w:name w:val="toc 3"/>
    <w:basedOn w:val="1"/>
    <w:next w:val="1"/>
    <w:unhideWhenUsed/>
    <w:qFormat/>
    <w:uiPriority w:val="39"/>
    <w:pPr>
      <w:ind w:left="840" w:leftChars="400"/>
    </w:pPr>
  </w:style>
  <w:style w:type="paragraph" w:styleId="14">
    <w:name w:val="Balloon Text"/>
    <w:basedOn w:val="1"/>
    <w:link w:val="35"/>
    <w:unhideWhenUsed/>
    <w:qFormat/>
    <w:uiPriority w:val="99"/>
    <w:pPr>
      <w:spacing w:line="240" w:lineRule="auto"/>
    </w:pPr>
    <w:rPr>
      <w:kern w:val="0"/>
      <w:sz w:val="18"/>
      <w:szCs w:val="18"/>
    </w:rPr>
  </w:style>
  <w:style w:type="paragraph" w:styleId="15">
    <w:name w:val="footer"/>
    <w:basedOn w:val="1"/>
    <w:link w:val="44"/>
    <w:unhideWhenUsed/>
    <w:qFormat/>
    <w:uiPriority w:val="99"/>
    <w:pPr>
      <w:tabs>
        <w:tab w:val="center" w:pos="4153"/>
        <w:tab w:val="right" w:pos="8306"/>
      </w:tabs>
      <w:snapToGrid w:val="0"/>
      <w:jc w:val="left"/>
    </w:pPr>
    <w:rPr>
      <w:rFonts w:ascii="Times New Roman"/>
      <w:kern w:val="0"/>
      <w:sz w:val="18"/>
      <w:szCs w:val="18"/>
    </w:rPr>
  </w:style>
  <w:style w:type="paragraph" w:styleId="16">
    <w:name w:val="header"/>
    <w:basedOn w:val="1"/>
    <w:link w:val="34"/>
    <w:unhideWhenUsed/>
    <w:qFormat/>
    <w:uiPriority w:val="99"/>
    <w:pPr>
      <w:pBdr>
        <w:bottom w:val="single" w:color="auto" w:sz="6" w:space="1"/>
      </w:pBdr>
      <w:tabs>
        <w:tab w:val="center" w:pos="4153"/>
        <w:tab w:val="right" w:pos="8306"/>
      </w:tabs>
      <w:snapToGrid w:val="0"/>
      <w:jc w:val="center"/>
    </w:pPr>
    <w:rPr>
      <w:rFonts w:ascii="Times New Roman"/>
      <w:kern w:val="0"/>
      <w:sz w:val="18"/>
      <w:szCs w:val="18"/>
    </w:rPr>
  </w:style>
  <w:style w:type="paragraph" w:styleId="17">
    <w:name w:val="toc 1"/>
    <w:basedOn w:val="1"/>
    <w:next w:val="1"/>
    <w:qFormat/>
    <w:uiPriority w:val="39"/>
    <w:pPr>
      <w:tabs>
        <w:tab w:val="right" w:leader="dot" w:pos="8296"/>
      </w:tabs>
    </w:pPr>
  </w:style>
  <w:style w:type="paragraph" w:styleId="18">
    <w:name w:val="toc 2"/>
    <w:basedOn w:val="1"/>
    <w:next w:val="1"/>
    <w:qFormat/>
    <w:uiPriority w:val="39"/>
    <w:pPr>
      <w:ind w:left="420" w:leftChars="200"/>
    </w:pPr>
  </w:style>
  <w:style w:type="paragraph" w:styleId="19">
    <w:name w:val="Normal (Web)"/>
    <w:basedOn w:val="1"/>
    <w:semiHidden/>
    <w:unhideWhenUsed/>
    <w:qFormat/>
    <w:uiPriority w:val="99"/>
    <w:pPr>
      <w:spacing w:beforeAutospacing="1" w:afterAutospacing="1"/>
      <w:jc w:val="left"/>
    </w:pPr>
    <w:rPr>
      <w:kern w:val="0"/>
    </w:rPr>
  </w:style>
  <w:style w:type="table" w:styleId="21">
    <w:name w:val="Table Grid"/>
    <w:basedOn w:val="2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
    <w:name w:val="Strong"/>
    <w:basedOn w:val="22"/>
    <w:qFormat/>
    <w:uiPriority w:val="22"/>
    <w:rPr>
      <w:b/>
    </w:rPr>
  </w:style>
  <w:style w:type="character" w:styleId="24">
    <w:name w:val="FollowedHyperlink"/>
    <w:unhideWhenUsed/>
    <w:qFormat/>
    <w:uiPriority w:val="99"/>
    <w:rPr>
      <w:color w:val="800080"/>
      <w:u w:val="none"/>
    </w:rPr>
  </w:style>
  <w:style w:type="character" w:styleId="25">
    <w:name w:val="Hyperlink"/>
    <w:unhideWhenUsed/>
    <w:qFormat/>
    <w:uiPriority w:val="99"/>
    <w:rPr>
      <w:color w:val="0000FF"/>
      <w:u w:val="single"/>
    </w:rPr>
  </w:style>
  <w:style w:type="character" w:styleId="26">
    <w:name w:val="annotation reference"/>
    <w:basedOn w:val="22"/>
    <w:unhideWhenUsed/>
    <w:qFormat/>
    <w:uiPriority w:val="99"/>
    <w:rPr>
      <w:sz w:val="21"/>
      <w:szCs w:val="21"/>
    </w:rPr>
  </w:style>
  <w:style w:type="paragraph" w:customStyle="1" w:styleId="27">
    <w:name w:val="样式1"/>
    <w:basedOn w:val="1"/>
    <w:link w:val="43"/>
    <w:qFormat/>
    <w:uiPriority w:val="0"/>
    <w:pPr>
      <w:numPr>
        <w:ilvl w:val="2"/>
        <w:numId w:val="1"/>
      </w:numPr>
    </w:pPr>
  </w:style>
  <w:style w:type="paragraph" w:customStyle="1" w:styleId="28">
    <w:name w:val="目录 21"/>
    <w:basedOn w:val="1"/>
    <w:next w:val="1"/>
    <w:qFormat/>
    <w:uiPriority w:val="0"/>
    <w:pPr>
      <w:spacing w:before="100" w:beforeAutospacing="1" w:after="100" w:afterAutospacing="1"/>
      <w:ind w:left="420" w:leftChars="200"/>
    </w:pPr>
  </w:style>
  <w:style w:type="character" w:customStyle="1" w:styleId="29">
    <w:name w:val="标题 3 字符"/>
    <w:link w:val="5"/>
    <w:qFormat/>
    <w:uiPriority w:val="9"/>
    <w:rPr>
      <w:rFonts w:ascii="宋体" w:hAnsi="Times New Roman" w:eastAsia="宋体" w:cs="Times New Roman"/>
      <w:b/>
      <w:bCs/>
      <w:sz w:val="32"/>
      <w:szCs w:val="32"/>
    </w:rPr>
  </w:style>
  <w:style w:type="character" w:customStyle="1" w:styleId="30">
    <w:name w:val="正文文本缩进 Char1"/>
    <w:semiHidden/>
    <w:qFormat/>
    <w:uiPriority w:val="99"/>
    <w:rPr>
      <w:rFonts w:ascii="宋体" w:hAnsi="Times New Roman" w:eastAsia="宋体" w:cs="Times New Roman"/>
      <w:sz w:val="24"/>
      <w:szCs w:val="24"/>
    </w:rPr>
  </w:style>
  <w:style w:type="character" w:customStyle="1" w:styleId="31">
    <w:name w:val="正文 小四 首行缩进 Char"/>
    <w:link w:val="32"/>
    <w:qFormat/>
    <w:locked/>
    <w:uiPriority w:val="0"/>
    <w:rPr>
      <w:rFonts w:ascii="Times New Roman" w:hAnsi="Times New Roman" w:eastAsia="宋体" w:cs="Times New Roman"/>
      <w:sz w:val="24"/>
      <w:szCs w:val="20"/>
    </w:rPr>
  </w:style>
  <w:style w:type="paragraph" w:customStyle="1" w:styleId="32">
    <w:name w:val="正文 小四 首行缩进"/>
    <w:basedOn w:val="1"/>
    <w:link w:val="31"/>
    <w:qFormat/>
    <w:uiPriority w:val="0"/>
    <w:pPr>
      <w:ind w:firstLine="420"/>
    </w:pPr>
    <w:rPr>
      <w:rFonts w:ascii="Times New Roman"/>
      <w:kern w:val="0"/>
      <w:szCs w:val="20"/>
    </w:rPr>
  </w:style>
  <w:style w:type="character" w:customStyle="1" w:styleId="33">
    <w:name w:val="文档结构图 字符"/>
    <w:link w:val="10"/>
    <w:semiHidden/>
    <w:qFormat/>
    <w:uiPriority w:val="99"/>
    <w:rPr>
      <w:rFonts w:ascii="宋体" w:hAnsi="Times New Roman" w:eastAsia="宋体" w:cs="Times New Roman"/>
      <w:sz w:val="18"/>
      <w:szCs w:val="18"/>
    </w:rPr>
  </w:style>
  <w:style w:type="character" w:customStyle="1" w:styleId="34">
    <w:name w:val="页眉 字符"/>
    <w:link w:val="16"/>
    <w:qFormat/>
    <w:uiPriority w:val="99"/>
    <w:rPr>
      <w:sz w:val="18"/>
      <w:szCs w:val="18"/>
    </w:rPr>
  </w:style>
  <w:style w:type="character" w:customStyle="1" w:styleId="35">
    <w:name w:val="批注框文本 字符"/>
    <w:link w:val="14"/>
    <w:semiHidden/>
    <w:qFormat/>
    <w:uiPriority w:val="99"/>
    <w:rPr>
      <w:rFonts w:ascii="宋体" w:hAnsi="Times New Roman" w:eastAsia="宋体" w:cs="Times New Roman"/>
      <w:sz w:val="18"/>
      <w:szCs w:val="18"/>
    </w:rPr>
  </w:style>
  <w:style w:type="character" w:customStyle="1" w:styleId="36">
    <w:name w:val="标题 2 字符"/>
    <w:link w:val="4"/>
    <w:qFormat/>
    <w:uiPriority w:val="0"/>
    <w:rPr>
      <w:rFonts w:ascii="宋体" w:hAnsi="Arial"/>
      <w:b/>
      <w:bCs/>
      <w:kern w:val="2"/>
      <w:sz w:val="24"/>
      <w:szCs w:val="32"/>
    </w:rPr>
  </w:style>
  <w:style w:type="character" w:customStyle="1" w:styleId="37">
    <w:name w:val="列出段落 Char"/>
    <w:link w:val="38"/>
    <w:qFormat/>
    <w:uiPriority w:val="0"/>
    <w:rPr>
      <w:szCs w:val="24"/>
    </w:rPr>
  </w:style>
  <w:style w:type="paragraph" w:customStyle="1" w:styleId="38">
    <w:name w:val="列出段落1"/>
    <w:basedOn w:val="1"/>
    <w:link w:val="37"/>
    <w:qFormat/>
    <w:uiPriority w:val="0"/>
    <w:pPr>
      <w:spacing w:line="240" w:lineRule="auto"/>
      <w:ind w:firstLine="420" w:firstLineChars="200"/>
    </w:pPr>
    <w:rPr>
      <w:rFonts w:ascii="Times New Roman"/>
      <w:kern w:val="0"/>
      <w:sz w:val="20"/>
    </w:rPr>
  </w:style>
  <w:style w:type="character" w:customStyle="1" w:styleId="39">
    <w:name w:val="正文缩进 字符"/>
    <w:link w:val="9"/>
    <w:qFormat/>
    <w:uiPriority w:val="0"/>
    <w:rPr>
      <w:sz w:val="24"/>
    </w:rPr>
  </w:style>
  <w:style w:type="character" w:customStyle="1" w:styleId="40">
    <w:name w:val="正文文字样式 Char Char"/>
    <w:link w:val="41"/>
    <w:qFormat/>
    <w:uiPriority w:val="0"/>
    <w:rPr>
      <w:rFonts w:ascii="Times New Roman" w:hAnsi="Times New Roman" w:eastAsia="宋体" w:cs="Times New Roman"/>
      <w:sz w:val="24"/>
      <w:szCs w:val="24"/>
    </w:rPr>
  </w:style>
  <w:style w:type="paragraph" w:customStyle="1" w:styleId="41">
    <w:name w:val="正文文字样式"/>
    <w:basedOn w:val="1"/>
    <w:link w:val="40"/>
    <w:qFormat/>
    <w:uiPriority w:val="0"/>
    <w:pPr>
      <w:spacing w:line="480" w:lineRule="atLeast"/>
      <w:ind w:firstLine="200" w:firstLineChars="200"/>
    </w:pPr>
    <w:rPr>
      <w:rFonts w:ascii="Times New Roman"/>
      <w:kern w:val="0"/>
    </w:rPr>
  </w:style>
  <w:style w:type="character" w:customStyle="1" w:styleId="42">
    <w:name w:val="标题 4 字符"/>
    <w:link w:val="6"/>
    <w:qFormat/>
    <w:uiPriority w:val="9"/>
    <w:rPr>
      <w:rFonts w:ascii="宋体" w:hAnsi="宋体" w:eastAsia="宋体" w:cs="Times New Roman"/>
      <w:bCs/>
      <w:sz w:val="24"/>
      <w:szCs w:val="28"/>
    </w:rPr>
  </w:style>
  <w:style w:type="character" w:customStyle="1" w:styleId="43">
    <w:name w:val="样式1 Char"/>
    <w:link w:val="27"/>
    <w:qFormat/>
    <w:uiPriority w:val="0"/>
    <w:rPr>
      <w:rFonts w:ascii="宋体" w:hAnsi="Times New Roman"/>
      <w:kern w:val="2"/>
      <w:sz w:val="24"/>
      <w:szCs w:val="24"/>
    </w:rPr>
  </w:style>
  <w:style w:type="character" w:customStyle="1" w:styleId="44">
    <w:name w:val="页脚 字符"/>
    <w:link w:val="15"/>
    <w:qFormat/>
    <w:uiPriority w:val="99"/>
    <w:rPr>
      <w:sz w:val="18"/>
      <w:szCs w:val="18"/>
    </w:rPr>
  </w:style>
  <w:style w:type="character" w:customStyle="1" w:styleId="45">
    <w:name w:val="我的正文 Char"/>
    <w:link w:val="46"/>
    <w:qFormat/>
    <w:uiPriority w:val="0"/>
    <w:rPr>
      <w:rFonts w:ascii="Arial" w:hAnsi="Arial"/>
      <w:szCs w:val="24"/>
    </w:rPr>
  </w:style>
  <w:style w:type="paragraph" w:customStyle="1" w:styleId="46">
    <w:name w:val="我的正文"/>
    <w:basedOn w:val="1"/>
    <w:link w:val="45"/>
    <w:qFormat/>
    <w:uiPriority w:val="0"/>
    <w:pPr>
      <w:ind w:firstLine="420"/>
    </w:pPr>
    <w:rPr>
      <w:rFonts w:ascii="Arial" w:hAnsi="Arial"/>
      <w:kern w:val="0"/>
      <w:sz w:val="20"/>
    </w:rPr>
  </w:style>
  <w:style w:type="character" w:customStyle="1" w:styleId="47">
    <w:name w:val="标题 5 字符"/>
    <w:link w:val="8"/>
    <w:qFormat/>
    <w:uiPriority w:val="9"/>
    <w:rPr>
      <w:rFonts w:ascii="宋体" w:hAnsi="宋体" w:eastAsia="宋体" w:cs="Times New Roman"/>
      <w:b/>
      <w:bCs/>
      <w:sz w:val="24"/>
      <w:szCs w:val="28"/>
    </w:rPr>
  </w:style>
  <w:style w:type="character" w:customStyle="1" w:styleId="48">
    <w:name w:val="正文文本缩进 字符"/>
    <w:link w:val="12"/>
    <w:qFormat/>
    <w:uiPriority w:val="0"/>
    <w:rPr>
      <w:lang w:eastAsia="zh-TW"/>
    </w:rPr>
  </w:style>
  <w:style w:type="character" w:customStyle="1" w:styleId="49">
    <w:name w:val="标题 1 字符"/>
    <w:link w:val="3"/>
    <w:qFormat/>
    <w:uiPriority w:val="9"/>
    <w:rPr>
      <w:rFonts w:ascii="宋体" w:hAnsi="Times New Roman"/>
      <w:b/>
      <w:bCs/>
      <w:kern w:val="44"/>
      <w:sz w:val="24"/>
      <w:szCs w:val="44"/>
    </w:rPr>
  </w:style>
  <w:style w:type="paragraph" w:customStyle="1" w:styleId="50">
    <w:name w:val="无间隔1"/>
    <w:qFormat/>
    <w:uiPriority w:val="1"/>
    <w:pPr>
      <w:widowControl w:val="0"/>
      <w:jc w:val="both"/>
    </w:pPr>
    <w:rPr>
      <w:rFonts w:ascii="宋体" w:hAnsi="Times New Roman" w:eastAsia="宋体" w:cs="Times New Roman"/>
      <w:kern w:val="2"/>
      <w:sz w:val="24"/>
      <w:szCs w:val="24"/>
      <w:lang w:val="en-US" w:eastAsia="zh-CN" w:bidi="ar-SA"/>
    </w:rPr>
  </w:style>
  <w:style w:type="paragraph" w:customStyle="1" w:styleId="51">
    <w:name w:val="目录or列表 标题"/>
    <w:basedOn w:val="1"/>
    <w:qFormat/>
    <w:uiPriority w:val="0"/>
    <w:pPr>
      <w:jc w:val="center"/>
    </w:pPr>
    <w:rPr>
      <w:rFonts w:ascii="Times New Roman" w:cs="宋体"/>
      <w:b/>
      <w:szCs w:val="20"/>
    </w:rPr>
  </w:style>
  <w:style w:type="paragraph" w:customStyle="1" w:styleId="52">
    <w:name w:val="修订1"/>
    <w:hidden/>
    <w:unhideWhenUsed/>
    <w:qFormat/>
    <w:uiPriority w:val="99"/>
    <w:rPr>
      <w:rFonts w:ascii="宋体" w:hAnsi="Times New Roman" w:eastAsia="宋体" w:cs="Times New Roman"/>
      <w:kern w:val="2"/>
      <w:sz w:val="24"/>
      <w:szCs w:val="24"/>
      <w:lang w:val="en-US" w:eastAsia="zh-CN" w:bidi="ar-SA"/>
    </w:rPr>
  </w:style>
  <w:style w:type="paragraph" w:customStyle="1" w:styleId="53">
    <w:name w:val="_Style 4"/>
    <w:basedOn w:val="1"/>
    <w:qFormat/>
    <w:uiPriority w:val="34"/>
    <w:pPr>
      <w:ind w:firstLine="420" w:firstLineChars="200"/>
    </w:pPr>
  </w:style>
  <w:style w:type="paragraph" w:customStyle="1" w:styleId="54">
    <w:name w:val="_Style 2"/>
    <w:basedOn w:val="1"/>
    <w:qFormat/>
    <w:uiPriority w:val="34"/>
    <w:pPr>
      <w:ind w:firstLine="420" w:firstLineChars="200"/>
    </w:pPr>
  </w:style>
  <w:style w:type="paragraph" w:styleId="55">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4E417-4581-4A47-A8D6-79E20DC823A2}">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Pages>
  <Words>3022</Words>
  <Characters>3054</Characters>
  <Lines>21</Lines>
  <Paragraphs>6</Paragraphs>
  <TotalTime>1</TotalTime>
  <ScaleCrop>false</ScaleCrop>
  <LinksUpToDate>false</LinksUpToDate>
  <CharactersWithSpaces>3061</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2024-04-16T06:48:00Z</dcterms:created>
  <dc:creator>黄斯旎</dc:creator>
  <cp:lastModifiedBy>NTKO</cp:lastModifiedBy>
  <dcterms:modified xsi:type="dcterms:W3CDTF">2026-01-19T02:34:33Z</dcterms:modified>
  <dc:title>2018-2019年信息维护及修理</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B454BC69A29A45F69742FBCC4C3AD963</vt:lpwstr>
  </property>
  <property fmtid="{D5CDD505-2E9C-101B-9397-08002B2CF9AE}" pid="4" name="KSOTemplateDocerSaveRecord">
    <vt:lpwstr>eyJoZGlkIjoiYjgxODVkYjYwN2VhZWZmMjg1Mjk5OTRiOWIzZjJhNDEiLCJ1c2VySWQiOiI0MzE5NjYxMjQifQ==</vt:lpwstr>
  </property>
</Properties>
</file>