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sz w:val="44"/>
        </w:rPr>
      </w:pPr>
      <w:bookmarkStart w:id="0" w:name="_Toc98920284"/>
    </w:p>
    <w:p>
      <w:pPr>
        <w:jc w:val="center"/>
        <w:rPr>
          <w:rFonts w:hint="eastAsia" w:ascii="宋体" w:hAnsi="宋体" w:cs="仿宋"/>
          <w:b/>
          <w:bCs/>
          <w:sz w:val="48"/>
          <w:szCs w:val="48"/>
        </w:rPr>
      </w:pPr>
      <w:r>
        <w:rPr>
          <w:rFonts w:hint="eastAsia" w:ascii="宋体" w:hAnsi="宋体" w:cs="仿宋"/>
          <w:b/>
          <w:bCs/>
          <w:sz w:val="48"/>
          <w:szCs w:val="48"/>
        </w:rPr>
        <w:t xml:space="preserve"> 202</w:t>
      </w:r>
      <w:r>
        <w:rPr>
          <w:rFonts w:hint="eastAsia" w:ascii="宋体" w:hAnsi="宋体" w:cs="仿宋"/>
          <w:b/>
          <w:bCs/>
          <w:sz w:val="48"/>
          <w:szCs w:val="48"/>
          <w:lang w:val="en-US" w:eastAsia="zh-CN"/>
        </w:rPr>
        <w:t>6</w:t>
      </w:r>
      <w:r>
        <w:rPr>
          <w:rFonts w:hint="eastAsia" w:ascii="宋体" w:hAnsi="宋体" w:cs="仿宋"/>
          <w:b/>
          <w:bCs/>
          <w:sz w:val="48"/>
          <w:szCs w:val="48"/>
        </w:rPr>
        <w:t>年崇左供电局职创项目适用输电线路钢管杆塔大直径螺栓紧固与校验的便携式扭矩扳手</w:t>
      </w:r>
      <w:r>
        <w:rPr>
          <w:rFonts w:hint="eastAsia" w:ascii="宋体" w:hAnsi="宋体" w:cs="仿宋"/>
          <w:b/>
          <w:bCs/>
          <w:sz w:val="48"/>
          <w:szCs w:val="48"/>
          <w:lang w:eastAsia="zh-CN"/>
        </w:rPr>
        <w:t>材料</w:t>
      </w:r>
      <w:r>
        <w:rPr>
          <w:rFonts w:hint="eastAsia" w:ascii="宋体" w:hAnsi="宋体" w:cs="仿宋"/>
          <w:b/>
          <w:bCs/>
          <w:sz w:val="48"/>
          <w:szCs w:val="48"/>
        </w:rPr>
        <w:t>加工服务技术规范书</w:t>
      </w:r>
    </w:p>
    <w:p>
      <w:pPr>
        <w:rPr>
          <w:rFonts w:ascii="宋体" w:hAnsi="宋体" w:cs="宋体"/>
          <w:sz w:val="28"/>
        </w:rPr>
      </w:pPr>
      <w:bookmarkStart w:id="38" w:name="_GoBack"/>
      <w:bookmarkEnd w:id="38"/>
    </w:p>
    <w:p>
      <w:pPr>
        <w:jc w:val="center"/>
        <w:rPr>
          <w:rFonts w:ascii="宋体" w:hAnsi="宋体" w:cs="宋体"/>
          <w:sz w:val="28"/>
        </w:rPr>
      </w:pPr>
    </w:p>
    <w:p>
      <w:pPr>
        <w:ind w:firstLine="560" w:firstLineChars="200"/>
        <w:rPr>
          <w:rFonts w:ascii="宋体" w:hAnsi="宋体" w:cs="宋体"/>
          <w:sz w:val="28"/>
        </w:rPr>
      </w:pPr>
    </w:p>
    <w:p>
      <w:pPr>
        <w:ind w:firstLine="560" w:firstLineChars="200"/>
        <w:rPr>
          <w:rFonts w:ascii="宋体" w:hAnsi="宋体" w:cs="宋体"/>
          <w:sz w:val="28"/>
        </w:rPr>
      </w:pPr>
    </w:p>
    <w:p>
      <w:pPr>
        <w:ind w:firstLine="560" w:firstLineChars="200"/>
        <w:rPr>
          <w:rFonts w:ascii="宋体" w:hAnsi="宋体" w:cs="宋体"/>
          <w:sz w:val="28"/>
        </w:rPr>
      </w:pPr>
    </w:p>
    <w:p>
      <w:pPr>
        <w:pStyle w:val="2"/>
        <w:rPr>
          <w:rFonts w:ascii="宋体" w:hAnsi="宋体" w:cs="宋体"/>
          <w:sz w:val="28"/>
        </w:rPr>
      </w:pPr>
    </w:p>
    <w:p>
      <w:pPr>
        <w:rPr>
          <w:rFonts w:ascii="宋体" w:hAnsi="宋体" w:cs="宋体"/>
          <w:sz w:val="28"/>
        </w:rPr>
      </w:pPr>
    </w:p>
    <w:p>
      <w:pPr>
        <w:jc w:val="center"/>
        <w:rPr>
          <w:rFonts w:ascii="宋体" w:hAnsi="宋体" w:cs="宋体"/>
          <w:sz w:val="44"/>
          <w:szCs w:val="44"/>
        </w:rPr>
      </w:pPr>
      <w:r>
        <w:rPr>
          <w:rFonts w:hint="eastAsia" w:ascii="宋体" w:hAnsi="宋体" w:cs="宋体"/>
          <w:sz w:val="44"/>
          <w:szCs w:val="44"/>
        </w:rPr>
        <w:t>广西电网有限责任公司</w:t>
      </w:r>
    </w:p>
    <w:p>
      <w:pPr>
        <w:jc w:val="center"/>
        <w:rPr>
          <w:rFonts w:ascii="宋体" w:hAnsi="宋体" w:cs="宋体"/>
          <w:sz w:val="44"/>
          <w:szCs w:val="44"/>
        </w:rPr>
      </w:pPr>
      <w:r>
        <w:rPr>
          <w:rFonts w:hint="eastAsia" w:ascii="宋体" w:hAnsi="宋体" w:cs="宋体"/>
          <w:sz w:val="44"/>
          <w:szCs w:val="44"/>
          <w:lang w:val="en-US" w:eastAsia="zh-CN"/>
        </w:rPr>
        <w:t>崇左</w:t>
      </w:r>
      <w:r>
        <w:rPr>
          <w:rFonts w:hint="eastAsia" w:ascii="宋体" w:hAnsi="宋体" w:cs="宋体"/>
          <w:sz w:val="44"/>
          <w:szCs w:val="44"/>
        </w:rPr>
        <w:t>供电局</w:t>
      </w:r>
    </w:p>
    <w:p>
      <w:pPr>
        <w:jc w:val="center"/>
        <w:rPr>
          <w:rFonts w:ascii="宋体" w:hAnsi="宋体" w:cs="宋体"/>
          <w:sz w:val="44"/>
          <w:szCs w:val="44"/>
        </w:rPr>
      </w:pPr>
      <w:r>
        <w:rPr>
          <w:rFonts w:hint="eastAsia" w:ascii="宋体" w:hAnsi="宋体" w:cs="宋体"/>
          <w:sz w:val="44"/>
          <w:szCs w:val="44"/>
        </w:rPr>
        <w:t>2025年10月</w:t>
      </w:r>
    </w:p>
    <w:p>
      <w:pPr>
        <w:pStyle w:val="4"/>
        <w:numPr>
          <w:ilvl w:val="0"/>
          <w:numId w:val="1"/>
        </w:numPr>
        <w:spacing w:before="0" w:after="0" w:line="360" w:lineRule="auto"/>
        <w:rPr>
          <w:rFonts w:ascii="Times New Roman" w:hAnsi="Times New Roman"/>
          <w:color w:val="000000"/>
          <w:sz w:val="28"/>
          <w:szCs w:val="28"/>
        </w:rPr>
      </w:pPr>
      <w:bookmarkStart w:id="1" w:name="_Toc299606277"/>
      <w:bookmarkStart w:id="2" w:name="_Toc353940788"/>
      <w:bookmarkStart w:id="3" w:name="_Toc7566"/>
      <w:bookmarkStart w:id="4" w:name="_Toc444945507"/>
      <w:bookmarkStart w:id="5" w:name="_Toc353939550"/>
      <w:r>
        <w:rPr>
          <w:rFonts w:hint="eastAsia" w:ascii="Times New Roman" w:hAnsi="Times New Roman"/>
          <w:color w:val="000000"/>
          <w:sz w:val="28"/>
          <w:szCs w:val="28"/>
        </w:rPr>
        <w:t>总则</w:t>
      </w:r>
      <w:bookmarkEnd w:id="1"/>
      <w:bookmarkEnd w:id="2"/>
      <w:bookmarkEnd w:id="3"/>
      <w:bookmarkEnd w:id="4"/>
      <w:bookmarkEnd w:id="5"/>
    </w:p>
    <w:p>
      <w:pPr>
        <w:pStyle w:val="5"/>
        <w:numPr>
          <w:ilvl w:val="0"/>
          <w:numId w:val="2"/>
        </w:numPr>
        <w:rPr>
          <w:sz w:val="24"/>
          <w:szCs w:val="22"/>
        </w:rPr>
      </w:pPr>
      <w:bookmarkStart w:id="6" w:name="_Toc318799924"/>
      <w:bookmarkStart w:id="7" w:name="_Toc444945508"/>
      <w:bookmarkStart w:id="8" w:name="_Toc28526"/>
      <w:r>
        <w:rPr>
          <w:rFonts w:hint="eastAsia"/>
          <w:sz w:val="24"/>
          <w:szCs w:val="22"/>
        </w:rPr>
        <w:t>一般要求</w:t>
      </w:r>
      <w:bookmarkEnd w:id="6"/>
      <w:bookmarkEnd w:id="7"/>
      <w:bookmarkEnd w:id="8"/>
    </w:p>
    <w:p>
      <w:pPr>
        <w:numPr>
          <w:ilvl w:val="0"/>
          <w:numId w:val="3"/>
        </w:numPr>
        <w:adjustRightInd w:val="0"/>
        <w:snapToGrid w:val="0"/>
        <w:spacing w:before="0" w:beforeAutospacing="0" w:after="0" w:afterAutospacing="0"/>
        <w:rPr>
          <w:rFonts w:ascii="宋体" w:hAnsi="宋体"/>
        </w:rPr>
      </w:pPr>
      <w:r>
        <w:rPr>
          <w:rFonts w:hint="eastAsia" w:ascii="宋体" w:hAnsi="宋体" w:cs="宋体"/>
        </w:rPr>
        <w:t>本技术规范适用于</w:t>
      </w:r>
      <w:r>
        <w:rPr>
          <w:rFonts w:hint="eastAsia" w:ascii="宋体" w:hAnsi="宋体" w:cs="仿宋"/>
          <w:bCs/>
          <w:szCs w:val="21"/>
          <w:lang w:eastAsia="zh-CN"/>
        </w:rPr>
        <w:t>适用输电线路钢管杆塔大直径螺栓紧固与校验的便携式扭矩扳手研制</w:t>
      </w:r>
      <w:r>
        <w:rPr>
          <w:rFonts w:hint="eastAsia" w:ascii="宋体" w:hAnsi="宋体" w:cs="宋体"/>
          <w:szCs w:val="24"/>
        </w:rPr>
        <w:t>，</w:t>
      </w:r>
      <w:r>
        <w:rPr>
          <w:rFonts w:hint="eastAsia" w:ascii="宋体" w:hAnsi="宋体" w:cs="宋体"/>
        </w:rPr>
        <w:t>它提出了该设备最基本的功能、结构、性能的技术要求。</w:t>
      </w:r>
    </w:p>
    <w:p>
      <w:pPr>
        <w:numPr>
          <w:ilvl w:val="0"/>
          <w:numId w:val="3"/>
        </w:numPr>
        <w:rPr>
          <w:rFonts w:hint="eastAsia" w:asciiTheme="minorEastAsia" w:hAnsiTheme="minorEastAsia" w:eastAsiaTheme="minorEastAsia" w:cstheme="minorEastAsia"/>
        </w:rPr>
      </w:pPr>
      <w:bookmarkStart w:id="9" w:name="_Toc252485428"/>
      <w:bookmarkStart w:id="10" w:name="_Toc222711875"/>
      <w:bookmarkStart w:id="11" w:name="_Toc255894290"/>
      <w:bookmarkStart w:id="12" w:name="_Toc445194080"/>
      <w:bookmarkStart w:id="13" w:name="_Toc582"/>
      <w:bookmarkStart w:id="14" w:name="_Toc261810243"/>
      <w:bookmarkStart w:id="15" w:name="_Toc293665071"/>
      <w:bookmarkStart w:id="16" w:name="_Toc252486971"/>
      <w:bookmarkStart w:id="17" w:name="_Toc23193"/>
      <w:r>
        <w:rPr>
          <w:rFonts w:hint="eastAsia" w:asciiTheme="minorEastAsia" w:hAnsiTheme="minorEastAsia" w:eastAsiaTheme="minorEastAsia" w:cstheme="minorEastAsia"/>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本规范书指标要求中，凡标有下划线或加“★”的地方均被视为重要的技术指标要求或性能要求。投标方要特别加以注意，必须完全满足这些要求。</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如果投标方认为本技术条款所描述技术要求等存在不合理性或不明白的，可在响应原要求后陈述相关建议。</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投标方也可提出满足本技术规范书要求，且技术先进、成熟、价格合理的其他建议，供招标方选择。</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投标方应提供满足本技术规范书要求的完整的服务、工作产品，满足国家及用户提出的有关质量标准要求。所有工作产品必须具有在中国境内的合法使用权。</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本技术规范书所使用的标准如与投标方所执行的标准不一致，按较高标准执行。</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如果因为无法提供的原因而提供其他产品、服务，投标方应明确说明并提出质量保证承诺。</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投标方应保证为今后招标方开发的或招标方委托第三方开发的其他工作产品提供可靠的性能和兼容性。</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投标方应对本次投标所有文件保密，不得向其他单位公布或泄漏招标项目的有关信息。</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招标方保留技术规范书修改的权利，可以提出变更的意见和建议，最终签订的技术协议与合同具有同等效力。</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在不超出本技术规范书要求的情况下，投标方应对招标方提出的所有细化要求予以满足。</w:t>
      </w:r>
    </w:p>
    <w:p>
      <w:pPr>
        <w:numPr>
          <w:ilvl w:val="0"/>
          <w:numId w:val="3"/>
        </w:num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有文件、图纸、通信的均使用中文。所有计算、说明、图纸文件、手册等使用国际单位制。</w:t>
      </w:r>
    </w:p>
    <w:p>
      <w:pPr>
        <w:pStyle w:val="5"/>
        <w:numPr>
          <w:ilvl w:val="0"/>
          <w:numId w:val="2"/>
        </w:numPr>
        <w:rPr>
          <w:sz w:val="24"/>
          <w:szCs w:val="22"/>
        </w:rPr>
      </w:pPr>
      <w:r>
        <w:rPr>
          <w:rFonts w:hint="eastAsia"/>
          <w:sz w:val="24"/>
          <w:szCs w:val="22"/>
        </w:rPr>
        <w:t>标准和规范</w:t>
      </w:r>
      <w:bookmarkEnd w:id="9"/>
      <w:bookmarkEnd w:id="10"/>
      <w:bookmarkEnd w:id="11"/>
      <w:bookmarkEnd w:id="12"/>
      <w:bookmarkEnd w:id="13"/>
      <w:bookmarkEnd w:id="14"/>
      <w:bookmarkEnd w:id="15"/>
      <w:bookmarkEnd w:id="16"/>
      <w:bookmarkEnd w:id="17"/>
    </w:p>
    <w:p>
      <w:pPr>
        <w:numPr>
          <w:ilvl w:val="0"/>
          <w:numId w:val="4"/>
        </w:numPr>
        <w:rPr>
          <w:rFonts w:ascii="宋体" w:hAnsi="宋体"/>
        </w:rPr>
      </w:pPr>
      <w:bookmarkStart w:id="18" w:name="_Toc205543260"/>
      <w:r>
        <w:rPr>
          <w:rFonts w:ascii="宋体" w:hAnsi="宋体"/>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numPr>
          <w:ilvl w:val="0"/>
          <w:numId w:val="4"/>
        </w:numPr>
        <w:rPr>
          <w:rFonts w:ascii="宋体" w:hAnsi="宋体"/>
        </w:rPr>
      </w:pPr>
      <w:r>
        <w:rPr>
          <w:rFonts w:hint="eastAsia" w:ascii="宋体" w:hAnsi="宋体"/>
        </w:rPr>
        <w:t>如供方没有以书面形式对本规范书的条款提出异议，则意味着供方提供的设备完全满足本规范书的要求。如有异议，不管多么微小，都应在投标书相应的专门章节中加以详细描述。</w:t>
      </w:r>
    </w:p>
    <w:p>
      <w:pPr>
        <w:numPr>
          <w:ilvl w:val="0"/>
          <w:numId w:val="4"/>
        </w:numPr>
        <w:rPr>
          <w:rFonts w:ascii="宋体" w:hAnsi="宋体"/>
        </w:rPr>
      </w:pPr>
      <w:r>
        <w:rPr>
          <w:rFonts w:hint="eastAsia" w:ascii="宋体" w:hAnsi="宋体"/>
        </w:rPr>
        <w:t>本设备技术规范书经需供双方确认后作为订货合同的技术附件，与合同正文具有同等的法律效力。</w:t>
      </w:r>
    </w:p>
    <w:p>
      <w:pPr>
        <w:numPr>
          <w:ilvl w:val="0"/>
          <w:numId w:val="4"/>
        </w:numPr>
        <w:rPr>
          <w:rFonts w:ascii="宋体" w:hAnsi="宋体"/>
        </w:rPr>
      </w:pPr>
      <w:r>
        <w:rPr>
          <w:rFonts w:hint="eastAsia" w:ascii="宋体" w:hAnsi="宋体"/>
        </w:rPr>
        <w:t>供方须执行现行国家标准和行业标准。应遵循的主要现行标准如下。下列标准所包含的条文，通过在本技术规范中引用而构成为本技术规范的条文。本技术规范确定时，所示版本均为有效。所有标准都会被修订，供需双方应探讨使用下列标准最新版本的可能性。有矛盾时，按现行的技术要求较高的标准执行。</w:t>
      </w:r>
    </w:p>
    <w:p>
      <w:pPr>
        <w:numPr>
          <w:ilvl w:val="0"/>
          <w:numId w:val="4"/>
        </w:numPr>
        <w:rPr>
          <w:rFonts w:ascii="宋体" w:hAnsi="宋体"/>
        </w:rPr>
      </w:pPr>
      <w:r>
        <w:rPr>
          <w:rFonts w:hint="eastAsia" w:ascii="宋体" w:hAnsi="宋体"/>
        </w:rPr>
        <w:t>本设备技术规范书未尽事宜，由需供双方协商确定。</w:t>
      </w:r>
    </w:p>
    <w:p>
      <w:pPr>
        <w:pStyle w:val="4"/>
        <w:numPr>
          <w:ilvl w:val="0"/>
          <w:numId w:val="1"/>
        </w:numPr>
        <w:spacing w:before="0" w:after="0" w:line="360" w:lineRule="auto"/>
        <w:rPr>
          <w:rFonts w:ascii="Times New Roman" w:hAnsi="Times New Roman"/>
          <w:color w:val="000000"/>
          <w:sz w:val="28"/>
          <w:szCs w:val="28"/>
        </w:rPr>
      </w:pPr>
      <w:bookmarkStart w:id="19" w:name="_Toc22626"/>
      <w:bookmarkStart w:id="20" w:name="_Toc444945516"/>
      <w:r>
        <w:rPr>
          <w:rFonts w:hint="eastAsia" w:ascii="Times New Roman" w:hAnsi="Times New Roman"/>
          <w:color w:val="000000"/>
          <w:sz w:val="28"/>
          <w:szCs w:val="28"/>
        </w:rPr>
        <w:t>技术要求</w:t>
      </w:r>
      <w:bookmarkEnd w:id="19"/>
      <w:bookmarkEnd w:id="20"/>
    </w:p>
    <w:p>
      <w:pPr>
        <w:pStyle w:val="5"/>
        <w:numPr>
          <w:ilvl w:val="0"/>
          <w:numId w:val="5"/>
        </w:numPr>
      </w:pPr>
      <w:bookmarkStart w:id="21" w:name="_Toc444945518"/>
      <w:bookmarkStart w:id="22" w:name="_Toc437603901"/>
      <w:bookmarkStart w:id="23" w:name="_Toc26863"/>
      <w:bookmarkStart w:id="24" w:name="_Toc480800900"/>
      <w:bookmarkStart w:id="25" w:name="_Toc23830"/>
      <w:r>
        <w:rPr>
          <w:rFonts w:hint="eastAsia"/>
        </w:rPr>
        <w:t>项目研究内容</w:t>
      </w:r>
      <w:bookmarkEnd w:id="21"/>
      <w:bookmarkEnd w:id="22"/>
      <w:bookmarkEnd w:id="23"/>
    </w:p>
    <w:p>
      <w:pPr>
        <w:pStyle w:val="2"/>
        <w:ind w:firstLine="480" w:firstLineChars="200"/>
        <w:rPr>
          <w:rFonts w:ascii="宋体" w:hAnsi="宋体"/>
        </w:rPr>
      </w:pPr>
      <w:bookmarkStart w:id="26" w:name="_Toc19695"/>
      <w:r>
        <w:rPr>
          <w:rFonts w:hint="eastAsia" w:hAnsi="宋体"/>
        </w:rPr>
        <w:t>本项目为</w:t>
      </w:r>
      <w:r>
        <w:rPr>
          <w:rFonts w:hint="eastAsia" w:hAnsi="宋体"/>
          <w:lang w:eastAsia="zh-CN"/>
        </w:rPr>
        <w:t>崇左</w:t>
      </w:r>
      <w:r>
        <w:rPr>
          <w:rFonts w:hint="eastAsia" w:hAnsi="宋体"/>
        </w:rPr>
        <w:t>供电局研制、加工</w:t>
      </w:r>
      <w:r>
        <w:rPr>
          <w:rFonts w:hint="eastAsia" w:ascii="宋体" w:hAnsi="宋体"/>
        </w:rPr>
        <w:t>一套</w:t>
      </w:r>
      <w:r>
        <w:rPr>
          <w:rFonts w:hint="eastAsia" w:ascii="宋体" w:hAnsi="宋体"/>
          <w:lang w:eastAsia="zh-CN"/>
        </w:rPr>
        <w:t>适用输电线路钢管杆塔大直径螺栓紧固与校验的便携式扭矩扳手</w:t>
      </w:r>
      <w:r>
        <w:rPr>
          <w:rFonts w:hint="eastAsia" w:ascii="宋体" w:hAnsi="宋体"/>
        </w:rPr>
        <w:t>，项目聚焦输电线路钢管杆塔大直径螺栓在高空作业场景下的紧固与校验难题，旨在研发一套轻量化、高精度、无动力依赖的专用工具，解决传统液压/电动工具因重量大、依赖稳定动力源、无法适配狭窄高空空间等问题。通过研制便携式手动扭矩扳手，实现人工输入力矩的机械放大，适配M36-M42螺栓规格，降低工具坠落风险70%、减少人力消耗50%，提升高压线路运维安全性与检修效率。</w:t>
      </w:r>
    </w:p>
    <w:p>
      <w:pPr>
        <w:pStyle w:val="5"/>
        <w:numPr>
          <w:ilvl w:val="0"/>
          <w:numId w:val="5"/>
        </w:numPr>
      </w:pPr>
      <w:r>
        <w:rPr>
          <w:rFonts w:hint="eastAsia"/>
        </w:rPr>
        <w:t>技术指标要求</w:t>
      </w:r>
      <w:bookmarkEnd w:id="26"/>
    </w:p>
    <w:p>
      <w:pPr>
        <w:pStyle w:val="2"/>
      </w:pPr>
      <w:r>
        <w:rPr>
          <w:rFonts w:hint="eastAsia"/>
        </w:rPr>
        <w:t>★1.技术参数要求</w:t>
      </w:r>
    </w:p>
    <w:tbl>
      <w:tblPr>
        <w:tblStyle w:val="9"/>
        <w:tblW w:w="921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5"/>
        <w:gridCol w:w="6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2835" w:type="dxa"/>
            <w:tcBorders>
              <w:top w:val="single" w:color="auto" w:sz="4" w:space="0"/>
              <w:left w:val="single" w:color="auto" w:sz="4" w:space="0"/>
              <w:bottom w:val="single" w:color="auto" w:sz="4" w:space="0"/>
              <w:right w:val="single" w:color="auto" w:sz="4" w:space="0"/>
            </w:tcBorders>
            <w:vAlign w:val="center"/>
          </w:tcPr>
          <w:p>
            <w:pPr>
              <w:widowControl w:val="0"/>
              <w:ind w:left="482"/>
              <w:jc w:val="both"/>
              <w:rPr>
                <w:rFonts w:ascii="宋体" w:hAnsi="宋体"/>
                <w:b/>
                <w:bCs/>
                <w:kern w:val="2"/>
                <w:szCs w:val="24"/>
              </w:rPr>
            </w:pPr>
            <w:r>
              <w:rPr>
                <w:rFonts w:hint="eastAsia" w:ascii="宋体" w:hAnsi="宋体"/>
                <w:b/>
                <w:bCs/>
              </w:rPr>
              <w:t>项    目</w:t>
            </w:r>
          </w:p>
        </w:tc>
        <w:tc>
          <w:tcPr>
            <w:tcW w:w="6379" w:type="dxa"/>
            <w:tcBorders>
              <w:top w:val="single" w:color="auto" w:sz="4" w:space="0"/>
              <w:left w:val="single" w:color="auto" w:sz="4" w:space="0"/>
              <w:bottom w:val="single" w:color="auto" w:sz="4" w:space="0"/>
              <w:right w:val="single" w:color="auto" w:sz="4" w:space="0"/>
            </w:tcBorders>
            <w:vAlign w:val="center"/>
          </w:tcPr>
          <w:p>
            <w:pPr>
              <w:widowControl w:val="0"/>
              <w:ind w:left="482"/>
              <w:jc w:val="center"/>
              <w:rPr>
                <w:rFonts w:ascii="宋体" w:hAnsi="宋体"/>
                <w:b/>
                <w:bCs/>
                <w:kern w:val="2"/>
                <w:szCs w:val="24"/>
              </w:rPr>
            </w:pPr>
            <w:r>
              <w:rPr>
                <w:rFonts w:hint="eastAsia" w:ascii="宋体" w:hAnsi="宋体"/>
                <w:b/>
                <w:bCs/>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283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eastAsia"/>
              </w:rPr>
              <w:t>★</w:t>
            </w:r>
            <w:r>
              <w:rPr>
                <w:rFonts w:hint="default" w:ascii="宋体" w:hAnsi="宋体" w:eastAsia="宋体" w:cs="Times New Roman"/>
                <w:lang w:val="en-US" w:eastAsia="zh-CN"/>
              </w:rPr>
              <w:t>适用螺栓规格</w:t>
            </w:r>
          </w:p>
        </w:tc>
        <w:tc>
          <w:tcPr>
            <w:tcW w:w="6379"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M36</w:t>
            </w:r>
            <w:r>
              <w:rPr>
                <w:rFonts w:hint="eastAsia" w:ascii="宋体" w:hAnsi="宋体" w:eastAsia="宋体" w:cs="宋体"/>
                <w:lang w:val="en-US" w:eastAsia="zh-CN"/>
              </w:rPr>
              <w:t>～</w:t>
            </w:r>
            <w:r>
              <w:rPr>
                <w:rFonts w:hint="default" w:ascii="宋体" w:hAnsi="宋体" w:eastAsia="宋体" w:cs="Times New Roman"/>
                <w:lang w:val="en-US" w:eastAsia="zh-CN"/>
              </w:rPr>
              <w:t>M42（可扩展至其他大直径螺栓）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283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eastAsia"/>
              </w:rPr>
              <w:t>★</w:t>
            </w:r>
            <w:r>
              <w:rPr>
                <w:rFonts w:hint="default" w:ascii="宋体" w:hAnsi="宋体" w:eastAsia="宋体" w:cs="Times New Roman"/>
                <w:lang w:val="en-US" w:eastAsia="zh-CN"/>
              </w:rPr>
              <w:t>最大输出扭矩</w:t>
            </w:r>
          </w:p>
        </w:tc>
        <w:tc>
          <w:tcPr>
            <w:tcW w:w="6379"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≥2000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283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eastAsia"/>
              </w:rPr>
              <w:t>★</w:t>
            </w:r>
            <w:r>
              <w:rPr>
                <w:rFonts w:hint="default" w:ascii="宋体" w:hAnsi="宋体" w:eastAsia="宋体" w:cs="Times New Roman"/>
                <w:lang w:val="en-US" w:eastAsia="zh-CN"/>
              </w:rPr>
              <w:t>人工输入力矩</w:t>
            </w:r>
          </w:p>
        </w:tc>
        <w:tc>
          <w:tcPr>
            <w:tcW w:w="6379"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≤70 N·m（通过传动机构放大）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283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传动比</w:t>
            </w:r>
          </w:p>
        </w:tc>
        <w:tc>
          <w:tcPr>
            <w:tcW w:w="6379"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≥1:30（三级传动结构）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283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整机重量</w:t>
            </w:r>
          </w:p>
        </w:tc>
        <w:tc>
          <w:tcPr>
            <w:tcW w:w="6379"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≤1</w:t>
            </w:r>
            <w:r>
              <w:rPr>
                <w:rFonts w:hint="eastAsia" w:ascii="宋体" w:hAnsi="宋体" w:eastAsia="宋体" w:cs="Times New Roman"/>
                <w:lang w:val="en-US" w:eastAsia="zh-CN"/>
              </w:rPr>
              <w:t>2</w:t>
            </w:r>
            <w:r>
              <w:rPr>
                <w:rFonts w:hint="default" w:ascii="宋体" w:hAnsi="宋体" w:eastAsia="宋体" w:cs="Times New Roman"/>
                <w:lang w:val="en-US" w:eastAsia="zh-CN"/>
              </w:rPr>
              <w:t xml:space="preserve"> kg（轻量化）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283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套筒材料</w:t>
            </w:r>
          </w:p>
        </w:tc>
        <w:tc>
          <w:tcPr>
            <w:tcW w:w="6379"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渗氮钢表面处理，耐磨性提升，适配快换接口与自锁卡扣结构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2835" w:type="dxa"/>
            <w:tcBorders>
              <w:top w:val="single" w:color="auto" w:sz="4" w:space="0"/>
              <w:left w:val="single" w:color="auto" w:sz="4" w:space="0"/>
              <w:bottom w:val="single" w:color="auto" w:sz="4" w:space="0"/>
              <w:right w:val="single" w:color="auto" w:sz="4" w:space="0"/>
            </w:tcBorders>
            <w:vAlign w:val="center"/>
          </w:tcPr>
          <w:p>
            <w:pPr>
              <w:widowControl w:val="0"/>
              <w:ind w:firstLine="720" w:firstLineChars="300"/>
              <w:jc w:val="both"/>
              <w:rPr>
                <w:rFonts w:hint="eastAsia" w:ascii="宋体" w:hAnsi="宋体" w:eastAsia="宋体" w:cs="Times New Roman"/>
              </w:rPr>
            </w:pPr>
            <w:r>
              <w:rPr>
                <w:rFonts w:hint="eastAsia"/>
              </w:rPr>
              <w:t>★</w:t>
            </w:r>
            <w:r>
              <w:rPr>
                <w:rFonts w:hint="default" w:ascii="宋体" w:hAnsi="宋体" w:eastAsia="宋体" w:cs="Times New Roman"/>
                <w:lang w:val="en-US" w:eastAsia="zh-CN"/>
              </w:rPr>
              <w:t>扭矩精度</w:t>
            </w:r>
          </w:p>
        </w:tc>
        <w:tc>
          <w:tcPr>
            <w:tcW w:w="6379"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≤±3%（集成应变片式传感器实现预设与校验）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283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抗风振性能</w:t>
            </w:r>
          </w:p>
        </w:tc>
        <w:tc>
          <w:tcPr>
            <w:tcW w:w="6379"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满足高空六级风载下稳定作业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283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防脱落设计</w:t>
            </w:r>
          </w:p>
        </w:tc>
        <w:tc>
          <w:tcPr>
            <w:tcW w:w="6379"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套筒配备保险机构，确保高空作业零配件防脱落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283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环境适应性</w:t>
            </w:r>
          </w:p>
        </w:tc>
        <w:tc>
          <w:tcPr>
            <w:tcW w:w="6379"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-30℃~50℃温度范围，防锈蚀处理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283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安全性</w:t>
            </w:r>
          </w:p>
        </w:tc>
        <w:tc>
          <w:tcPr>
            <w:tcW w:w="6379"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宋体" w:hAnsi="宋体" w:eastAsia="宋体" w:cs="Times New Roman"/>
              </w:rPr>
            </w:pPr>
            <w:r>
              <w:rPr>
                <w:rFonts w:hint="default" w:ascii="宋体" w:hAnsi="宋体" w:eastAsia="宋体" w:cs="Times New Roman"/>
                <w:lang w:val="en-US" w:eastAsia="zh-CN"/>
              </w:rPr>
              <w:t>具备过载保护</w:t>
            </w:r>
          </w:p>
        </w:tc>
      </w:tr>
    </w:tbl>
    <w:p>
      <w:pPr>
        <w:adjustRightInd w:val="0"/>
        <w:snapToGrid w:val="0"/>
        <w:spacing w:before="0" w:beforeAutospacing="0" w:after="0" w:afterAutospacing="0"/>
        <w:ind w:firstLine="240" w:firstLineChars="100"/>
        <w:rPr>
          <w:rFonts w:asciiTheme="minorEastAsia" w:hAnsiTheme="minorEastAsia" w:eastAsiaTheme="minorEastAsia"/>
          <w:szCs w:val="24"/>
        </w:rPr>
      </w:pPr>
    </w:p>
    <w:p>
      <w:pPr>
        <w:adjustRightInd w:val="0"/>
        <w:snapToGrid w:val="0"/>
        <w:spacing w:before="0" w:beforeAutospacing="0" w:after="0" w:afterAutospacing="0"/>
        <w:ind w:firstLine="240" w:firstLineChars="100"/>
        <w:rPr>
          <w:rFonts w:ascii="宋体" w:hAnsi="宋体" w:cs="Arial"/>
          <w:bCs/>
        </w:rPr>
      </w:pPr>
      <w:r>
        <w:rPr>
          <w:rFonts w:hint="eastAsia" w:asciiTheme="minorEastAsia" w:hAnsiTheme="minorEastAsia" w:eastAsiaTheme="minorEastAsia"/>
          <w:szCs w:val="24"/>
        </w:rPr>
        <w:t>★2.</w:t>
      </w:r>
      <w:r>
        <w:rPr>
          <w:rFonts w:hint="eastAsia" w:ascii="宋体" w:hAnsi="宋体" w:cs="Arial"/>
          <w:bCs/>
        </w:rPr>
        <w:t xml:space="preserve"> 功能要求</w:t>
      </w:r>
    </w:p>
    <w:p>
      <w:pPr>
        <w:pStyle w:val="13"/>
        <w:adjustRightInd w:val="0"/>
        <w:snapToGrid w:val="0"/>
        <w:spacing w:before="0" w:beforeAutospacing="0" w:after="0" w:afterAutospacing="0"/>
        <w:ind w:firstLine="0" w:firstLineChars="0"/>
        <w:rPr>
          <w:rFonts w:hint="eastAsia" w:ascii="宋体" w:hAnsi="宋体" w:cs="Arial"/>
          <w:bCs/>
        </w:rPr>
      </w:pPr>
      <w:r>
        <w:rPr>
          <w:rFonts w:hint="eastAsia" w:ascii="宋体" w:hAnsi="宋体" w:cs="Arial"/>
          <w:bCs/>
        </w:rPr>
        <w:t>（1）</w:t>
      </w:r>
      <w:bookmarkStart w:id="27" w:name="_Toc296345829"/>
      <w:bookmarkStart w:id="28" w:name="_Toc533162582"/>
      <w:bookmarkStart w:id="29" w:name="_Toc533162600"/>
      <w:bookmarkStart w:id="30" w:name="_Toc294771959"/>
      <w:r>
        <w:rPr>
          <w:rFonts w:hint="eastAsia" w:ascii="宋体" w:hAnsi="宋体" w:cs="Arial"/>
          <w:bCs/>
        </w:rPr>
        <w:t>大扭矩手动输出功能‌</w:t>
      </w:r>
    </w:p>
    <w:p>
      <w:pPr>
        <w:pStyle w:val="13"/>
        <w:adjustRightInd w:val="0"/>
        <w:snapToGrid w:val="0"/>
        <w:spacing w:before="0" w:beforeAutospacing="0" w:after="0" w:afterAutospacing="0"/>
        <w:ind w:firstLine="480" w:firstLineChars="200"/>
        <w:rPr>
          <w:rFonts w:hint="eastAsia" w:ascii="宋体" w:hAnsi="宋体" w:cs="Arial"/>
          <w:bCs/>
        </w:rPr>
      </w:pPr>
      <w:r>
        <w:rPr>
          <w:rFonts w:hint="eastAsia" w:ascii="宋体" w:hAnsi="宋体" w:cs="Arial"/>
          <w:bCs/>
        </w:rPr>
        <w:t>基于齿轮组与行星轮系复合传动，实现“手动施力+机械增力”双模驱动，无需外部电源或液压源即可输出≥2000 N·m扭矩。</w:t>
      </w:r>
    </w:p>
    <w:p>
      <w:pPr>
        <w:pStyle w:val="13"/>
        <w:adjustRightInd w:val="0"/>
        <w:snapToGrid w:val="0"/>
        <w:spacing w:before="0" w:beforeAutospacing="0" w:after="0" w:afterAutospacing="0"/>
        <w:ind w:firstLine="0" w:firstLineChars="0"/>
        <w:rPr>
          <w:rFonts w:hint="eastAsia" w:ascii="宋体" w:hAnsi="宋体" w:cs="Arial"/>
          <w:bCs/>
        </w:rPr>
      </w:pPr>
      <w:r>
        <w:rPr>
          <w:rFonts w:hint="eastAsia" w:ascii="宋体" w:hAnsi="宋体" w:cs="Arial"/>
          <w:bCs/>
        </w:rPr>
        <w:t>（</w:t>
      </w:r>
      <w:r>
        <w:rPr>
          <w:rFonts w:hint="eastAsia" w:ascii="宋体" w:hAnsi="宋体" w:cs="Arial"/>
          <w:bCs/>
          <w:lang w:val="en-US" w:eastAsia="zh-CN"/>
        </w:rPr>
        <w:t>2</w:t>
      </w:r>
      <w:r>
        <w:rPr>
          <w:rFonts w:hint="eastAsia" w:ascii="宋体" w:hAnsi="宋体" w:cs="Arial"/>
          <w:bCs/>
        </w:rPr>
        <w:t>）‌扭矩预设与校验一体化功能‌</w:t>
      </w:r>
    </w:p>
    <w:p>
      <w:pPr>
        <w:pStyle w:val="13"/>
        <w:adjustRightInd w:val="0"/>
        <w:snapToGrid w:val="0"/>
        <w:spacing w:before="0" w:beforeAutospacing="0" w:after="0" w:afterAutospacing="0"/>
        <w:ind w:firstLine="480" w:firstLineChars="200"/>
        <w:rPr>
          <w:rFonts w:hint="eastAsia" w:ascii="宋体" w:hAnsi="宋体" w:cs="Arial"/>
          <w:bCs/>
        </w:rPr>
      </w:pPr>
      <w:r>
        <w:rPr>
          <w:rFonts w:hint="eastAsia" w:ascii="宋体" w:hAnsi="宋体" w:cs="Arial"/>
          <w:bCs/>
        </w:rPr>
        <w:t>集成应变片式传感器与标定模块，支持预设扭矩值，在紧固过程中同步完成校验，替代传统分步操作流程。</w:t>
      </w:r>
    </w:p>
    <w:p>
      <w:pPr>
        <w:pStyle w:val="13"/>
        <w:adjustRightInd w:val="0"/>
        <w:snapToGrid w:val="0"/>
        <w:spacing w:before="0" w:beforeAutospacing="0" w:after="0" w:afterAutospacing="0"/>
        <w:ind w:firstLine="0" w:firstLineChars="0"/>
        <w:rPr>
          <w:rFonts w:hint="eastAsia" w:ascii="宋体" w:hAnsi="宋体" w:cs="Arial"/>
          <w:bCs/>
        </w:rPr>
      </w:pPr>
      <w:r>
        <w:rPr>
          <w:rFonts w:hint="eastAsia" w:ascii="宋体" w:hAnsi="宋体" w:cs="Arial"/>
          <w:bCs/>
          <w:lang w:eastAsia="zh-CN"/>
        </w:rPr>
        <w:t>（</w:t>
      </w:r>
      <w:r>
        <w:rPr>
          <w:rFonts w:hint="eastAsia" w:ascii="宋体" w:hAnsi="宋体" w:cs="Arial"/>
          <w:bCs/>
          <w:lang w:val="en-US" w:eastAsia="zh-CN"/>
        </w:rPr>
        <w:t>3</w:t>
      </w:r>
      <w:r>
        <w:rPr>
          <w:rFonts w:hint="eastAsia" w:ascii="宋体" w:hAnsi="宋体" w:cs="Arial"/>
          <w:bCs/>
          <w:lang w:eastAsia="zh-CN"/>
        </w:rPr>
        <w:t>）</w:t>
      </w:r>
      <w:r>
        <w:rPr>
          <w:rFonts w:hint="eastAsia" w:ascii="宋体" w:hAnsi="宋体" w:cs="Arial"/>
          <w:bCs/>
        </w:rPr>
        <w:t>‌模块化快速适配功能‌</w:t>
      </w:r>
    </w:p>
    <w:p>
      <w:pPr>
        <w:pStyle w:val="13"/>
        <w:adjustRightInd w:val="0"/>
        <w:snapToGrid w:val="0"/>
        <w:spacing w:before="0" w:beforeAutospacing="0" w:after="0" w:afterAutospacing="0"/>
        <w:ind w:firstLine="0" w:firstLineChars="0"/>
        <w:rPr>
          <w:rFonts w:hint="eastAsia" w:ascii="宋体" w:hAnsi="宋体" w:cs="Arial"/>
          <w:bCs/>
        </w:rPr>
      </w:pPr>
    </w:p>
    <w:p>
      <w:pPr>
        <w:pStyle w:val="13"/>
        <w:adjustRightInd w:val="0"/>
        <w:snapToGrid w:val="0"/>
        <w:spacing w:before="0" w:beforeAutospacing="0" w:after="0" w:afterAutospacing="0"/>
        <w:ind w:firstLine="480" w:firstLineChars="200"/>
        <w:rPr>
          <w:rFonts w:hint="eastAsia" w:ascii="宋体" w:hAnsi="宋体" w:cs="Arial"/>
          <w:bCs/>
        </w:rPr>
      </w:pPr>
      <w:r>
        <w:rPr>
          <w:rFonts w:hint="eastAsia" w:ascii="宋体" w:hAnsi="宋体" w:cs="Arial"/>
          <w:bCs/>
        </w:rPr>
        <w:t>套筒装置采用快换接口与自锁式卡扣结构，支持M36-M42螺栓规格快速切换，套筒经渗氮处理提升耐磨性与寿命。</w:t>
      </w:r>
    </w:p>
    <w:p>
      <w:pPr>
        <w:pStyle w:val="13"/>
        <w:adjustRightInd w:val="0"/>
        <w:snapToGrid w:val="0"/>
        <w:spacing w:before="0" w:beforeAutospacing="0" w:after="0" w:afterAutospacing="0"/>
        <w:ind w:firstLine="0" w:firstLineChars="0"/>
        <w:rPr>
          <w:rFonts w:hint="eastAsia" w:ascii="宋体" w:hAnsi="宋体" w:cs="Arial"/>
          <w:bCs/>
        </w:rPr>
      </w:pPr>
      <w:r>
        <w:rPr>
          <w:rFonts w:hint="eastAsia" w:ascii="宋体" w:hAnsi="宋体" w:cs="Arial"/>
          <w:bCs/>
        </w:rPr>
        <w:t>（</w:t>
      </w:r>
      <w:r>
        <w:rPr>
          <w:rFonts w:hint="eastAsia" w:ascii="宋体" w:hAnsi="宋体" w:cs="Arial"/>
          <w:bCs/>
          <w:lang w:val="en-US" w:eastAsia="zh-CN"/>
        </w:rPr>
        <w:t>4</w:t>
      </w:r>
      <w:r>
        <w:rPr>
          <w:rFonts w:hint="eastAsia" w:ascii="宋体" w:hAnsi="宋体" w:cs="Arial"/>
          <w:bCs/>
        </w:rPr>
        <w:t>）‌轻量化与便携功能‌</w:t>
      </w:r>
    </w:p>
    <w:p>
      <w:pPr>
        <w:pStyle w:val="13"/>
        <w:adjustRightInd w:val="0"/>
        <w:snapToGrid w:val="0"/>
        <w:spacing w:before="0" w:beforeAutospacing="0" w:after="0" w:afterAutospacing="0"/>
        <w:ind w:firstLine="480" w:firstLineChars="200"/>
        <w:rPr>
          <w:rFonts w:hint="eastAsia" w:ascii="宋体" w:hAnsi="宋体" w:cs="Arial"/>
          <w:bCs/>
        </w:rPr>
      </w:pPr>
      <w:r>
        <w:rPr>
          <w:rFonts w:hint="eastAsia" w:ascii="宋体" w:hAnsi="宋体" w:cs="Arial"/>
          <w:bCs/>
        </w:rPr>
        <w:t>主体结构采用航空铝合金结合拓扑优化算法减重，整机重量≤12kg，便于高空攀爬携带，降低作业负荷。</w:t>
      </w:r>
    </w:p>
    <w:p>
      <w:pPr>
        <w:pStyle w:val="13"/>
        <w:adjustRightInd w:val="0"/>
        <w:snapToGrid w:val="0"/>
        <w:spacing w:before="0" w:beforeAutospacing="0" w:after="0" w:afterAutospacing="0"/>
        <w:ind w:firstLine="0" w:firstLineChars="0"/>
        <w:rPr>
          <w:rFonts w:hint="eastAsia" w:ascii="宋体" w:hAnsi="宋体" w:cs="Arial"/>
          <w:bCs/>
        </w:rPr>
      </w:pPr>
      <w:r>
        <w:rPr>
          <w:rFonts w:hint="eastAsia" w:ascii="宋体" w:hAnsi="宋体" w:cs="Arial"/>
          <w:bCs/>
        </w:rPr>
        <w:t>（</w:t>
      </w:r>
      <w:r>
        <w:rPr>
          <w:rFonts w:hint="eastAsia" w:ascii="宋体" w:hAnsi="宋体" w:cs="Arial"/>
          <w:bCs/>
          <w:lang w:val="en-US" w:eastAsia="zh-CN"/>
        </w:rPr>
        <w:t>5</w:t>
      </w:r>
      <w:r>
        <w:rPr>
          <w:rFonts w:hint="eastAsia" w:ascii="宋体" w:hAnsi="宋体" w:cs="Arial"/>
          <w:bCs/>
        </w:rPr>
        <w:t>）‌高空作业安全防护功能‌</w:t>
      </w:r>
    </w:p>
    <w:p>
      <w:pPr>
        <w:pStyle w:val="13"/>
        <w:adjustRightInd w:val="0"/>
        <w:snapToGrid w:val="0"/>
        <w:spacing w:before="0" w:beforeAutospacing="0" w:after="0" w:afterAutospacing="0"/>
        <w:ind w:firstLine="480" w:firstLineChars="200"/>
        <w:rPr>
          <w:rFonts w:hint="eastAsia" w:ascii="宋体" w:hAnsi="宋体" w:cs="Arial"/>
          <w:bCs/>
        </w:rPr>
      </w:pPr>
      <w:r>
        <w:rPr>
          <w:rFonts w:hint="eastAsia" w:ascii="宋体" w:hAnsi="宋体" w:cs="Arial"/>
          <w:bCs/>
        </w:rPr>
        <w:t>配备防脱落保险机构，防止套筒等零配件高空坠落；框架满足抗风振、抗冲击需求，确保强风环境下稳定操作。</w:t>
      </w:r>
    </w:p>
    <w:p>
      <w:pPr>
        <w:pStyle w:val="13"/>
        <w:adjustRightInd w:val="0"/>
        <w:snapToGrid w:val="0"/>
        <w:spacing w:before="0" w:beforeAutospacing="0" w:after="0" w:afterAutospacing="0"/>
        <w:ind w:firstLine="0" w:firstLineChars="0"/>
        <w:rPr>
          <w:rFonts w:hint="eastAsia" w:ascii="宋体" w:hAnsi="宋体" w:cs="Arial"/>
          <w:bCs/>
        </w:rPr>
      </w:pPr>
      <w:r>
        <w:rPr>
          <w:rFonts w:hint="eastAsia" w:ascii="宋体" w:hAnsi="宋体" w:cs="Arial"/>
          <w:bCs/>
        </w:rPr>
        <w:t>（</w:t>
      </w:r>
      <w:r>
        <w:rPr>
          <w:rFonts w:hint="eastAsia" w:ascii="宋体" w:hAnsi="宋体" w:cs="Arial"/>
          <w:bCs/>
          <w:lang w:val="en-US" w:eastAsia="zh-CN"/>
        </w:rPr>
        <w:t>6</w:t>
      </w:r>
      <w:r>
        <w:rPr>
          <w:rFonts w:hint="eastAsia" w:ascii="宋体" w:hAnsi="宋体" w:cs="Arial"/>
          <w:bCs/>
        </w:rPr>
        <w:t>）‌人机工程优化功能‌</w:t>
      </w:r>
    </w:p>
    <w:p>
      <w:pPr>
        <w:pStyle w:val="13"/>
        <w:adjustRightInd w:val="0"/>
        <w:snapToGrid w:val="0"/>
        <w:spacing w:before="0" w:beforeAutospacing="0" w:after="0" w:afterAutospacing="0"/>
        <w:ind w:firstLine="480" w:firstLineChars="200"/>
        <w:rPr>
          <w:rFonts w:hint="eastAsia" w:ascii="宋体" w:hAnsi="宋体" w:cs="Arial"/>
          <w:bCs/>
        </w:rPr>
      </w:pPr>
      <w:r>
        <w:rPr>
          <w:rFonts w:hint="eastAsia" w:ascii="宋体" w:hAnsi="宋体" w:cs="Arial"/>
          <w:bCs/>
        </w:rPr>
        <w:t>操作手柄符合人体工学，减少长时间作业疲劳；设置清晰扭矩刻度，提升操作精准度。</w:t>
      </w:r>
    </w:p>
    <w:p>
      <w:pPr>
        <w:pStyle w:val="13"/>
        <w:adjustRightInd w:val="0"/>
        <w:snapToGrid w:val="0"/>
        <w:spacing w:before="0" w:beforeAutospacing="0" w:after="0" w:afterAutospacing="0"/>
        <w:ind w:firstLine="0" w:firstLineChars="0"/>
        <w:rPr>
          <w:rFonts w:hint="eastAsia" w:ascii="宋体" w:hAnsi="宋体" w:cs="Arial"/>
          <w:bCs/>
        </w:rPr>
      </w:pPr>
      <w:r>
        <w:rPr>
          <w:rFonts w:hint="eastAsia" w:ascii="宋体" w:hAnsi="宋体" w:cs="Arial"/>
          <w:bCs/>
        </w:rPr>
        <w:t>（</w:t>
      </w:r>
      <w:r>
        <w:rPr>
          <w:rFonts w:hint="eastAsia" w:ascii="宋体" w:hAnsi="宋体" w:cs="Arial"/>
          <w:bCs/>
          <w:lang w:val="en-US" w:eastAsia="zh-CN"/>
        </w:rPr>
        <w:t>7</w:t>
      </w:r>
      <w:r>
        <w:rPr>
          <w:rFonts w:hint="eastAsia" w:ascii="宋体" w:hAnsi="宋体" w:cs="Arial"/>
          <w:bCs/>
        </w:rPr>
        <w:t>）‌环境适应性功能‌</w:t>
      </w:r>
    </w:p>
    <w:p>
      <w:pPr>
        <w:pStyle w:val="13"/>
        <w:adjustRightInd w:val="0"/>
        <w:snapToGrid w:val="0"/>
        <w:spacing w:before="0" w:beforeAutospacing="0" w:after="0" w:afterAutospacing="0"/>
        <w:ind w:firstLine="480" w:firstLineChars="200"/>
        <w:rPr>
          <w:rFonts w:hint="eastAsia" w:ascii="宋体" w:hAnsi="宋体" w:cs="Arial"/>
          <w:bCs/>
        </w:rPr>
      </w:pPr>
      <w:r>
        <w:rPr>
          <w:rFonts w:hint="eastAsia" w:ascii="宋体" w:hAnsi="宋体" w:cs="Arial"/>
          <w:bCs/>
        </w:rPr>
        <w:t>表面进行防锈蚀处理，适应野外潮湿、高低温（-30℃~50℃）及粉尘环境，保障工具长期可靠性。</w:t>
      </w:r>
    </w:p>
    <w:bookmarkEnd w:id="27"/>
    <w:bookmarkEnd w:id="28"/>
    <w:bookmarkEnd w:id="29"/>
    <w:bookmarkEnd w:id="30"/>
    <w:p>
      <w:pPr>
        <w:pStyle w:val="4"/>
        <w:numPr>
          <w:ilvl w:val="0"/>
          <w:numId w:val="1"/>
        </w:numPr>
        <w:spacing w:before="0" w:after="0" w:line="360" w:lineRule="auto"/>
        <w:rPr>
          <w:rFonts w:ascii="Times New Roman" w:hAnsi="Times New Roman"/>
          <w:color w:val="000000"/>
          <w:sz w:val="28"/>
          <w:szCs w:val="28"/>
        </w:rPr>
      </w:pPr>
      <w:r>
        <w:rPr>
          <w:rFonts w:hint="eastAsia" w:ascii="Times New Roman" w:hAnsi="Times New Roman"/>
          <w:color w:val="000000"/>
          <w:sz w:val="28"/>
          <w:szCs w:val="28"/>
        </w:rPr>
        <w:t>研究开发成果交付</w:t>
      </w:r>
      <w:bookmarkEnd w:id="24"/>
      <w:r>
        <w:rPr>
          <w:rFonts w:hint="eastAsia" w:ascii="Times New Roman" w:hAnsi="Times New Roman"/>
          <w:color w:val="000000"/>
          <w:sz w:val="28"/>
          <w:szCs w:val="28"/>
        </w:rPr>
        <w:t>物</w:t>
      </w:r>
      <w:bookmarkEnd w:id="25"/>
    </w:p>
    <w:p>
      <w:pPr>
        <w:ind w:firstLine="480"/>
        <w:jc w:val="center"/>
        <w:rPr>
          <w:rFonts w:ascii="宋体" w:hAnsi="宋体"/>
        </w:rPr>
      </w:pPr>
      <w:bookmarkStart w:id="31" w:name="_Toc480800901"/>
      <w:r>
        <w:rPr>
          <w:rFonts w:hint="eastAsia" w:ascii="宋体" w:hAnsi="宋体"/>
        </w:rPr>
        <w:t>表1 研究开发成果交付的形式和数量</w:t>
      </w:r>
      <w:bookmarkEnd w:id="31"/>
    </w:p>
    <w:tbl>
      <w:tblPr>
        <w:tblStyle w:val="9"/>
        <w:tblW w:w="9095" w:type="dxa"/>
        <w:tblInd w:w="-5" w:type="dxa"/>
        <w:tblLayout w:type="fixed"/>
        <w:tblCellMar>
          <w:top w:w="0" w:type="dxa"/>
          <w:left w:w="0" w:type="dxa"/>
          <w:bottom w:w="0" w:type="dxa"/>
          <w:right w:w="0" w:type="dxa"/>
        </w:tblCellMar>
      </w:tblPr>
      <w:tblGrid>
        <w:gridCol w:w="645"/>
        <w:gridCol w:w="2465"/>
        <w:gridCol w:w="1016"/>
        <w:gridCol w:w="856"/>
        <w:gridCol w:w="1366"/>
        <w:gridCol w:w="2747"/>
      </w:tblGrid>
      <w:tr>
        <w:tblPrEx>
          <w:tblLayout w:type="fixed"/>
          <w:tblCellMar>
            <w:top w:w="0" w:type="dxa"/>
            <w:left w:w="0" w:type="dxa"/>
            <w:bottom w:w="0" w:type="dxa"/>
            <w:right w:w="0" w:type="dxa"/>
          </w:tblCellMar>
        </w:tblPrEx>
        <w:trPr>
          <w:trHeight w:val="535" w:hRule="atLeast"/>
          <w:tblHeader/>
        </w:trPr>
        <w:tc>
          <w:tcPr>
            <w:tcW w:w="645" w:type="dxa"/>
            <w:tcBorders>
              <w:top w:val="single" w:color="auto" w:sz="4" w:space="0"/>
              <w:left w:val="single" w:color="auto" w:sz="4" w:space="0"/>
              <w:bottom w:val="single" w:color="auto" w:sz="4" w:space="0"/>
              <w:right w:val="single" w:color="000000" w:sz="4" w:space="0"/>
            </w:tcBorders>
            <w:vAlign w:val="center"/>
          </w:tcPr>
          <w:p>
            <w:pPr>
              <w:jc w:val="center"/>
              <w:rPr>
                <w:rFonts w:ascii="宋体" w:hAnsi="宋体" w:cs="宋体"/>
                <w:szCs w:val="24"/>
              </w:rPr>
            </w:pPr>
            <w:r>
              <w:rPr>
                <w:rFonts w:hint="eastAsia" w:ascii="宋体" w:hAnsi="宋体" w:cs="宋体"/>
                <w:szCs w:val="24"/>
              </w:rPr>
              <w:t>序号</w:t>
            </w:r>
          </w:p>
        </w:tc>
        <w:tc>
          <w:tcPr>
            <w:tcW w:w="2465" w:type="dxa"/>
            <w:tcBorders>
              <w:top w:val="single" w:color="000000" w:sz="4" w:space="0"/>
              <w:left w:val="nil"/>
              <w:bottom w:val="single" w:color="auto" w:sz="4" w:space="0"/>
              <w:right w:val="single" w:color="000000" w:sz="4" w:space="0"/>
            </w:tcBorders>
            <w:vAlign w:val="center"/>
          </w:tcPr>
          <w:p>
            <w:pPr>
              <w:jc w:val="center"/>
              <w:rPr>
                <w:rFonts w:ascii="宋体" w:hAnsi="宋体" w:cs="宋体"/>
                <w:szCs w:val="24"/>
              </w:rPr>
            </w:pPr>
            <w:r>
              <w:rPr>
                <w:rFonts w:hint="eastAsia" w:ascii="宋体" w:hAnsi="宋体" w:cs="宋体"/>
                <w:szCs w:val="24"/>
              </w:rPr>
              <w:t>成果名称</w:t>
            </w:r>
          </w:p>
        </w:tc>
        <w:tc>
          <w:tcPr>
            <w:tcW w:w="1016" w:type="dxa"/>
            <w:tcBorders>
              <w:top w:val="single" w:color="000000" w:sz="4" w:space="0"/>
              <w:left w:val="single" w:color="auto" w:sz="4" w:space="0"/>
              <w:bottom w:val="single" w:color="auto" w:sz="4" w:space="0"/>
              <w:right w:val="nil"/>
            </w:tcBorders>
            <w:vAlign w:val="center"/>
          </w:tcPr>
          <w:p>
            <w:pPr>
              <w:jc w:val="center"/>
              <w:rPr>
                <w:rFonts w:ascii="宋体" w:hAnsi="宋体" w:cs="宋体"/>
                <w:szCs w:val="24"/>
              </w:rPr>
            </w:pPr>
            <w:r>
              <w:rPr>
                <w:rFonts w:hint="eastAsia" w:ascii="宋体" w:hAnsi="宋体" w:cs="宋体"/>
                <w:szCs w:val="24"/>
              </w:rPr>
              <w:t>型号规格</w:t>
            </w:r>
          </w:p>
          <w:p>
            <w:pPr>
              <w:jc w:val="center"/>
              <w:rPr>
                <w:rFonts w:ascii="宋体" w:hAnsi="宋体" w:cs="宋体"/>
                <w:szCs w:val="24"/>
              </w:rPr>
            </w:pPr>
            <w:r>
              <w:rPr>
                <w:rFonts w:hint="eastAsia" w:ascii="宋体" w:hAnsi="宋体" w:cs="宋体"/>
                <w:szCs w:val="24"/>
              </w:rPr>
              <w:t>（如有）</w:t>
            </w:r>
          </w:p>
        </w:tc>
        <w:tc>
          <w:tcPr>
            <w:tcW w:w="8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4"/>
              </w:rPr>
            </w:pPr>
            <w:r>
              <w:rPr>
                <w:rFonts w:hint="eastAsia" w:ascii="宋体" w:hAnsi="宋体" w:cs="宋体"/>
                <w:szCs w:val="24"/>
              </w:rPr>
              <w:t>数量</w:t>
            </w:r>
          </w:p>
        </w:tc>
        <w:tc>
          <w:tcPr>
            <w:tcW w:w="136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4"/>
              </w:rPr>
            </w:pPr>
            <w:r>
              <w:rPr>
                <w:rFonts w:hint="eastAsia" w:ascii="宋体" w:hAnsi="宋体" w:cs="宋体"/>
                <w:szCs w:val="24"/>
              </w:rPr>
              <w:t>交付地点</w:t>
            </w:r>
          </w:p>
        </w:tc>
        <w:tc>
          <w:tcPr>
            <w:tcW w:w="274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4"/>
              </w:rPr>
            </w:pPr>
            <w:r>
              <w:rPr>
                <w:rFonts w:hint="eastAsia" w:ascii="宋体" w:hAnsi="宋体" w:cs="宋体"/>
                <w:szCs w:val="24"/>
              </w:rPr>
              <w:t>备注</w:t>
            </w:r>
          </w:p>
        </w:tc>
      </w:tr>
      <w:tr>
        <w:tblPrEx>
          <w:tblLayout w:type="fixed"/>
          <w:tblCellMar>
            <w:top w:w="0" w:type="dxa"/>
            <w:left w:w="0" w:type="dxa"/>
            <w:bottom w:w="0" w:type="dxa"/>
            <w:right w:w="0" w:type="dxa"/>
          </w:tblCellMar>
        </w:tblPrEx>
        <w:trPr>
          <w:cantSplit/>
          <w:trHeight w:val="1695" w:hRule="atLeast"/>
        </w:trPr>
        <w:tc>
          <w:tcPr>
            <w:tcW w:w="64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4"/>
              </w:rPr>
            </w:pPr>
            <w:r>
              <w:rPr>
                <w:rFonts w:hint="eastAsia" w:ascii="宋体" w:hAnsi="宋体" w:cs="宋体"/>
                <w:szCs w:val="24"/>
              </w:rPr>
              <w:t>1</w:t>
            </w:r>
          </w:p>
        </w:tc>
        <w:tc>
          <w:tcPr>
            <w:tcW w:w="246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Cs w:val="24"/>
                <w:lang w:eastAsia="zh-CN"/>
              </w:rPr>
            </w:pPr>
            <w:r>
              <w:rPr>
                <w:rFonts w:hint="eastAsia" w:ascii="宋体" w:hAnsi="宋体"/>
                <w:lang w:eastAsia="zh-CN"/>
              </w:rPr>
              <w:t>适用输电线路钢管杆塔大直径螺栓紧固与校验的便携式扭矩扳手研制</w:t>
            </w:r>
          </w:p>
        </w:tc>
        <w:tc>
          <w:tcPr>
            <w:tcW w:w="101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4"/>
              </w:rPr>
            </w:pPr>
          </w:p>
        </w:tc>
        <w:tc>
          <w:tcPr>
            <w:tcW w:w="8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4"/>
              </w:rPr>
            </w:pPr>
            <w:r>
              <w:rPr>
                <w:rFonts w:hint="eastAsia" w:ascii="宋体" w:hAnsi="宋体" w:cs="宋体"/>
                <w:szCs w:val="24"/>
              </w:rPr>
              <w:t>1套</w:t>
            </w:r>
          </w:p>
        </w:tc>
        <w:tc>
          <w:tcPr>
            <w:tcW w:w="136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Cs w:val="24"/>
                <w:lang w:eastAsia="zh-CN"/>
              </w:rPr>
            </w:pPr>
            <w:r>
              <w:rPr>
                <w:rFonts w:hint="eastAsia" w:ascii="宋体" w:hAnsi="宋体" w:cs="宋体"/>
                <w:szCs w:val="24"/>
              </w:rPr>
              <w:t>广西</w:t>
            </w:r>
            <w:r>
              <w:rPr>
                <w:rFonts w:hint="eastAsia" w:ascii="宋体" w:hAnsi="宋体" w:cs="宋体"/>
                <w:szCs w:val="24"/>
                <w:lang w:eastAsia="zh-CN"/>
              </w:rPr>
              <w:t>崇左</w:t>
            </w:r>
          </w:p>
        </w:tc>
        <w:tc>
          <w:tcPr>
            <w:tcW w:w="2747"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符合技术指标要求</w:t>
            </w:r>
          </w:p>
        </w:tc>
      </w:tr>
      <w:tr>
        <w:tblPrEx>
          <w:tblLayout w:type="fixed"/>
          <w:tblCellMar>
            <w:top w:w="0" w:type="dxa"/>
            <w:left w:w="0" w:type="dxa"/>
            <w:bottom w:w="0" w:type="dxa"/>
            <w:right w:w="0" w:type="dxa"/>
          </w:tblCellMar>
        </w:tblPrEx>
        <w:trPr>
          <w:cantSplit/>
          <w:trHeight w:val="1695" w:hRule="atLeast"/>
        </w:trPr>
        <w:tc>
          <w:tcPr>
            <w:tcW w:w="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Cs w:val="24"/>
                <w:lang w:val="en-US" w:eastAsia="zh-CN"/>
              </w:rPr>
            </w:pPr>
            <w:bookmarkStart w:id="32" w:name="_Toc12132_WPSOffice_Level1"/>
            <w:bookmarkStart w:id="33" w:name="_Toc509005146"/>
            <w:bookmarkStart w:id="34" w:name="_Toc14965"/>
            <w:r>
              <w:rPr>
                <w:rFonts w:hint="eastAsia" w:ascii="宋体" w:hAnsi="宋体" w:cs="宋体"/>
                <w:szCs w:val="24"/>
                <w:lang w:val="en-US" w:eastAsia="zh-CN"/>
              </w:rPr>
              <w:t>2</w:t>
            </w:r>
          </w:p>
        </w:tc>
        <w:tc>
          <w:tcPr>
            <w:tcW w:w="2465"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lang w:val="en-US" w:eastAsia="zh-CN"/>
              </w:rPr>
            </w:pPr>
            <w:r>
              <w:rPr>
                <w:rFonts w:hint="eastAsia" w:ascii="宋体" w:hAnsi="宋体"/>
                <w:lang w:val="en-US" w:eastAsia="zh-CN"/>
              </w:rPr>
              <w:t>申请发明专利</w:t>
            </w:r>
          </w:p>
        </w:tc>
        <w:tc>
          <w:tcPr>
            <w:tcW w:w="101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4"/>
              </w:rPr>
            </w:pPr>
          </w:p>
        </w:tc>
        <w:tc>
          <w:tcPr>
            <w:tcW w:w="856"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szCs w:val="24"/>
                <w:lang w:val="en-US" w:eastAsia="zh-CN"/>
              </w:rPr>
            </w:pPr>
            <w:r>
              <w:rPr>
                <w:rFonts w:hint="eastAsia" w:ascii="宋体" w:hAnsi="宋体" w:cs="宋体"/>
                <w:szCs w:val="24"/>
                <w:lang w:val="en-US" w:eastAsia="zh-CN"/>
              </w:rPr>
              <w:t>1项</w:t>
            </w:r>
          </w:p>
        </w:tc>
        <w:tc>
          <w:tcPr>
            <w:tcW w:w="13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sz w:val="24"/>
                <w:szCs w:val="24"/>
                <w:lang w:val="en-US" w:eastAsia="zh-CN" w:bidi="ar-SA"/>
              </w:rPr>
            </w:pPr>
            <w:r>
              <w:rPr>
                <w:rFonts w:hint="eastAsia" w:ascii="宋体" w:hAnsi="宋体" w:cs="宋体"/>
                <w:szCs w:val="24"/>
              </w:rPr>
              <w:t>广西</w:t>
            </w:r>
            <w:r>
              <w:rPr>
                <w:rFonts w:hint="eastAsia" w:ascii="宋体" w:hAnsi="宋体" w:cs="宋体"/>
                <w:szCs w:val="24"/>
                <w:lang w:eastAsia="zh-CN"/>
              </w:rPr>
              <w:t>崇左</w:t>
            </w:r>
          </w:p>
        </w:tc>
        <w:tc>
          <w:tcPr>
            <w:tcW w:w="274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Book Antiqua" w:hAnsi="Book Antiqua" w:eastAsia="宋体" w:cs="Times New Roman"/>
                <w:sz w:val="24"/>
                <w:lang w:val="en-US" w:eastAsia="zh-CN" w:bidi="ar-SA"/>
              </w:rPr>
            </w:pPr>
            <w:r>
              <w:rPr>
                <w:rFonts w:hint="eastAsia" w:cs="Times New Roman"/>
                <w:sz w:val="24"/>
                <w:lang w:val="en-US" w:eastAsia="zh-CN" w:bidi="ar-SA"/>
              </w:rPr>
              <w:t>交付受理通知书</w:t>
            </w:r>
          </w:p>
        </w:tc>
      </w:tr>
    </w:tbl>
    <w:p>
      <w:pPr>
        <w:pStyle w:val="4"/>
        <w:numPr>
          <w:ilvl w:val="0"/>
          <w:numId w:val="1"/>
        </w:numPr>
        <w:spacing w:before="0" w:after="0" w:line="360" w:lineRule="auto"/>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rPr>
        <w:t>其他要求</w:t>
      </w:r>
      <w:bookmarkEnd w:id="32"/>
      <w:bookmarkEnd w:id="33"/>
    </w:p>
    <w:p>
      <w:pPr>
        <w:pStyle w:val="16"/>
        <w:numPr>
          <w:ilvl w:val="1"/>
          <w:numId w:val="0"/>
        </w:numPr>
        <w:ind w:left="0" w:leftChars="0" w:firstLine="562" w:firstLineChars="0"/>
        <w:outlineLvl w:val="1"/>
        <w:rPr>
          <w:b/>
          <w:sz w:val="28"/>
        </w:rPr>
      </w:pPr>
      <w:r>
        <w:rPr>
          <w:rFonts w:hint="eastAsia" w:eastAsia="新宋体" w:cs="Times New Roman"/>
          <w:b/>
          <w:i w:val="0"/>
          <w:caps w:val="0"/>
          <w:strike w:val="0"/>
          <w:dstrike w:val="0"/>
          <w:vanish w:val="0"/>
          <w:sz w:val="28"/>
          <w:szCs w:val="24"/>
          <w:u w:val="none"/>
          <w:vertAlign w:val="baseline"/>
          <w:lang w:val="en-US" w:eastAsia="zh-CN" w:bidi="ar-SA"/>
        </w:rPr>
        <w:t>4</w:t>
      </w:r>
      <w:r>
        <w:rPr>
          <w:rFonts w:hint="eastAsia" w:ascii="宋体" w:hAnsi="Book Antiqua" w:eastAsia="新宋体" w:cs="Times New Roman"/>
          <w:b/>
          <w:i w:val="0"/>
          <w:caps w:val="0"/>
          <w:strike w:val="0"/>
          <w:dstrike w:val="0"/>
          <w:vanish w:val="0"/>
          <w:sz w:val="28"/>
          <w:szCs w:val="24"/>
          <w:u w:val="none"/>
          <w:vertAlign w:val="baseline"/>
          <w:lang w:val="en-US" w:eastAsia="zh-CN" w:bidi="ar-SA"/>
        </w:rPr>
        <w:t>.1</w:t>
      </w:r>
      <w:r>
        <w:rPr>
          <w:rFonts w:hint="eastAsia"/>
          <w:b/>
          <w:sz w:val="28"/>
        </w:rPr>
        <w:t>项目进度</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.1.1</w:t>
      </w:r>
      <w:r>
        <w:rPr>
          <w:rFonts w:hint="eastAsia" w:ascii="宋体"/>
          <w:sz w:val="24"/>
          <w:szCs w:val="24"/>
        </w:rPr>
        <w:t>投标方必须响应并承诺下列要求：投标方应在建议书中根据招标方要求的服务、产品交付日期，提出详细的项目进度表及工作组织安排，合同签订时将在此基础上确定最终进度。投标方应明确对最短可行项目进度的承诺。</w:t>
      </w:r>
    </w:p>
    <w:p>
      <w:pPr>
        <w:pStyle w:val="16"/>
        <w:numPr>
          <w:ilvl w:val="1"/>
          <w:numId w:val="0"/>
        </w:numPr>
        <w:ind w:left="0" w:leftChars="0" w:firstLine="562" w:firstLineChars="0"/>
        <w:outlineLvl w:val="1"/>
        <w:rPr>
          <w:b/>
          <w:sz w:val="28"/>
        </w:rPr>
      </w:pPr>
      <w:r>
        <w:rPr>
          <w:rFonts w:hint="eastAsia" w:eastAsia="新宋体" w:cs="Times New Roman"/>
          <w:b/>
          <w:i w:val="0"/>
          <w:caps w:val="0"/>
          <w:strike w:val="0"/>
          <w:dstrike w:val="0"/>
          <w:vanish w:val="0"/>
          <w:sz w:val="28"/>
          <w:szCs w:val="24"/>
          <w:u w:val="none"/>
          <w:vertAlign w:val="baseline"/>
          <w:lang w:val="en-US" w:eastAsia="zh-CN" w:bidi="ar-SA"/>
        </w:rPr>
        <w:t>4</w:t>
      </w:r>
      <w:r>
        <w:rPr>
          <w:rFonts w:hint="eastAsia" w:ascii="宋体" w:hAnsi="Book Antiqua" w:eastAsia="新宋体" w:cs="Times New Roman"/>
          <w:b/>
          <w:i w:val="0"/>
          <w:caps w:val="0"/>
          <w:strike w:val="0"/>
          <w:dstrike w:val="0"/>
          <w:vanish w:val="0"/>
          <w:sz w:val="28"/>
          <w:szCs w:val="24"/>
          <w:u w:val="none"/>
          <w:vertAlign w:val="baseline"/>
          <w:lang w:val="en-US" w:eastAsia="zh-CN" w:bidi="ar-SA"/>
        </w:rPr>
        <w:t>.2</w:t>
      </w:r>
      <w:r>
        <w:rPr>
          <w:rFonts w:hint="eastAsia"/>
          <w:b/>
          <w:sz w:val="28"/>
        </w:rPr>
        <w:t>项目联络</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.2.1</w:t>
      </w:r>
      <w:r>
        <w:rPr>
          <w:rFonts w:hint="eastAsia" w:ascii="宋体"/>
          <w:sz w:val="24"/>
          <w:szCs w:val="24"/>
        </w:rPr>
        <w:t>为审查和确认本项目的工作方案，便于合同按期执行，在项目实施中按需召开联络会，可进行多次，也可不召开。</w:t>
      </w:r>
    </w:p>
    <w:p>
      <w:pPr>
        <w:spacing w:line="360" w:lineRule="auto"/>
        <w:ind w:firstLine="480"/>
        <w:rPr>
          <w:rFonts w:ascii="宋体"/>
          <w:sz w:val="24"/>
          <w:szCs w:val="24"/>
        </w:rPr>
      </w:pPr>
      <w:r>
        <w:rPr>
          <w:rFonts w:hint="eastAsia" w:ascii="宋体"/>
          <w:sz w:val="24"/>
          <w:szCs w:val="24"/>
        </w:rPr>
        <w:t>联络会的内容如下：</w:t>
      </w:r>
    </w:p>
    <w:p>
      <w:pPr>
        <w:numPr>
          <w:ilvl w:val="0"/>
          <w:numId w:val="6"/>
        </w:numPr>
        <w:tabs>
          <w:tab w:val="left" w:pos="900"/>
        </w:tabs>
        <w:spacing w:line="360" w:lineRule="auto"/>
        <w:ind w:leftChars="200" w:firstLine="480"/>
        <w:rPr>
          <w:rFonts w:ascii="宋体"/>
          <w:sz w:val="24"/>
          <w:szCs w:val="24"/>
        </w:rPr>
      </w:pPr>
      <w:r>
        <w:rPr>
          <w:rFonts w:hint="eastAsia" w:ascii="宋体"/>
          <w:sz w:val="24"/>
          <w:szCs w:val="24"/>
        </w:rPr>
        <w:t>确认项目实施</w:t>
      </w:r>
      <w:r>
        <w:rPr>
          <w:rFonts w:ascii="宋体"/>
          <w:sz w:val="24"/>
          <w:szCs w:val="24"/>
        </w:rPr>
        <w:t>方案</w:t>
      </w:r>
      <w:r>
        <w:rPr>
          <w:rFonts w:hint="eastAsia" w:ascii="宋体"/>
          <w:sz w:val="24"/>
          <w:szCs w:val="24"/>
        </w:rPr>
        <w:t>；</w:t>
      </w:r>
    </w:p>
    <w:p>
      <w:pPr>
        <w:numPr>
          <w:ilvl w:val="0"/>
          <w:numId w:val="6"/>
        </w:numPr>
        <w:tabs>
          <w:tab w:val="left" w:pos="900"/>
        </w:tabs>
        <w:spacing w:line="360" w:lineRule="auto"/>
        <w:ind w:leftChars="200" w:firstLine="480"/>
        <w:rPr>
          <w:rFonts w:ascii="宋体"/>
          <w:sz w:val="24"/>
          <w:szCs w:val="24"/>
        </w:rPr>
      </w:pPr>
      <w:r>
        <w:rPr>
          <w:rFonts w:hint="eastAsia" w:ascii="宋体"/>
          <w:sz w:val="24"/>
          <w:szCs w:val="24"/>
        </w:rPr>
        <w:t>确认项目进度</w:t>
      </w:r>
      <w:r>
        <w:rPr>
          <w:rFonts w:ascii="宋体"/>
          <w:sz w:val="24"/>
          <w:szCs w:val="24"/>
        </w:rPr>
        <w:t>计划和关键里程碑；</w:t>
      </w:r>
    </w:p>
    <w:p>
      <w:pPr>
        <w:numPr>
          <w:ilvl w:val="0"/>
          <w:numId w:val="6"/>
        </w:numPr>
        <w:tabs>
          <w:tab w:val="left" w:pos="900"/>
        </w:tabs>
        <w:spacing w:line="360" w:lineRule="auto"/>
        <w:ind w:leftChars="200" w:firstLine="480"/>
        <w:rPr>
          <w:rFonts w:ascii="宋体"/>
          <w:sz w:val="24"/>
          <w:szCs w:val="24"/>
        </w:rPr>
      </w:pPr>
      <w:r>
        <w:rPr>
          <w:rFonts w:hint="eastAsia" w:ascii="宋体"/>
          <w:sz w:val="24"/>
          <w:szCs w:val="24"/>
        </w:rPr>
        <w:t>确认项目</w:t>
      </w:r>
      <w:r>
        <w:rPr>
          <w:rFonts w:ascii="宋体"/>
          <w:sz w:val="24"/>
          <w:szCs w:val="24"/>
        </w:rPr>
        <w:t>成果</w:t>
      </w:r>
      <w:r>
        <w:rPr>
          <w:rFonts w:hint="eastAsia" w:ascii="宋体"/>
          <w:sz w:val="24"/>
          <w:szCs w:val="24"/>
        </w:rPr>
        <w:t>开发</w:t>
      </w:r>
      <w:r>
        <w:rPr>
          <w:rFonts w:ascii="宋体"/>
          <w:sz w:val="24"/>
          <w:szCs w:val="24"/>
        </w:rPr>
        <w:t>思路和成果质量</w:t>
      </w:r>
      <w:r>
        <w:rPr>
          <w:rFonts w:hint="eastAsia" w:ascii="宋体"/>
          <w:sz w:val="24"/>
          <w:szCs w:val="24"/>
        </w:rPr>
        <w:t>要求；</w:t>
      </w:r>
    </w:p>
    <w:p>
      <w:pPr>
        <w:pStyle w:val="16"/>
        <w:numPr>
          <w:ilvl w:val="1"/>
          <w:numId w:val="0"/>
        </w:numPr>
        <w:ind w:left="0" w:leftChars="0" w:firstLine="562" w:firstLineChars="0"/>
        <w:outlineLvl w:val="1"/>
        <w:rPr>
          <w:b/>
          <w:sz w:val="28"/>
        </w:rPr>
      </w:pPr>
      <w:r>
        <w:rPr>
          <w:rFonts w:hint="eastAsia" w:eastAsia="新宋体" w:cs="Times New Roman"/>
          <w:b/>
          <w:i w:val="0"/>
          <w:caps w:val="0"/>
          <w:strike w:val="0"/>
          <w:dstrike w:val="0"/>
          <w:vanish w:val="0"/>
          <w:sz w:val="28"/>
          <w:szCs w:val="24"/>
          <w:u w:val="none"/>
          <w:vertAlign w:val="baseline"/>
          <w:lang w:val="en-US" w:eastAsia="zh-CN" w:bidi="ar-SA"/>
        </w:rPr>
        <w:t>4</w:t>
      </w:r>
      <w:r>
        <w:rPr>
          <w:rFonts w:hint="eastAsia" w:ascii="宋体" w:hAnsi="Book Antiqua" w:eastAsia="新宋体" w:cs="Times New Roman"/>
          <w:b/>
          <w:i w:val="0"/>
          <w:caps w:val="0"/>
          <w:strike w:val="0"/>
          <w:dstrike w:val="0"/>
          <w:vanish w:val="0"/>
          <w:sz w:val="28"/>
          <w:szCs w:val="24"/>
          <w:u w:val="none"/>
          <w:vertAlign w:val="baseline"/>
          <w:lang w:val="en-US" w:eastAsia="zh-CN" w:bidi="ar-SA"/>
        </w:rPr>
        <w:t>.3</w:t>
      </w:r>
      <w:r>
        <w:rPr>
          <w:rFonts w:hint="eastAsia"/>
          <w:b/>
          <w:sz w:val="28"/>
        </w:rPr>
        <w:t>评审与验收</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.3.1</w:t>
      </w:r>
      <w:r>
        <w:rPr>
          <w:rFonts w:hint="eastAsia" w:ascii="宋体"/>
          <w:sz w:val="24"/>
          <w:szCs w:val="24"/>
        </w:rPr>
        <w:t>投标方应负责在项目验收时将项目的全部有关技术文件、目标代码</w:t>
      </w:r>
      <w:r>
        <w:rPr>
          <w:rFonts w:ascii="宋体"/>
          <w:sz w:val="24"/>
          <w:szCs w:val="24"/>
        </w:rPr>
        <w:t>文件、项目资料</w:t>
      </w:r>
      <w:r>
        <w:rPr>
          <w:rFonts w:hint="eastAsia" w:ascii="宋体"/>
          <w:sz w:val="24"/>
          <w:szCs w:val="24"/>
        </w:rPr>
        <w:t>等文档汇集成册或者另存到U盘中交付给招标方。</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.3.2</w:t>
      </w:r>
      <w:r>
        <w:rPr>
          <w:rFonts w:ascii="宋体"/>
          <w:sz w:val="24"/>
          <w:szCs w:val="24"/>
        </w:rPr>
        <w:t>招标方可根据合同及招标书和招标方的有关规定进行修改和补充,经双方确认后形成验收文件作为验收依据。验收</w:t>
      </w:r>
      <w:r>
        <w:rPr>
          <w:rFonts w:hint="eastAsia" w:ascii="宋体"/>
          <w:sz w:val="24"/>
          <w:szCs w:val="24"/>
        </w:rPr>
        <w:t>评审</w:t>
      </w:r>
      <w:r>
        <w:rPr>
          <w:rFonts w:ascii="宋体"/>
          <w:sz w:val="24"/>
          <w:szCs w:val="24"/>
        </w:rPr>
        <w:t>合格后5</w:t>
      </w:r>
      <w:r>
        <w:rPr>
          <w:rFonts w:hint="eastAsia" w:ascii="宋体"/>
          <w:sz w:val="24"/>
          <w:szCs w:val="24"/>
        </w:rPr>
        <w:t>日内，若无问题，经</w:t>
      </w:r>
      <w:r>
        <w:rPr>
          <w:rFonts w:ascii="宋体"/>
          <w:sz w:val="24"/>
          <w:szCs w:val="24"/>
        </w:rPr>
        <w:t>双方</w:t>
      </w:r>
      <w:r>
        <w:rPr>
          <w:rFonts w:hint="eastAsia" w:ascii="宋体"/>
          <w:sz w:val="24"/>
          <w:szCs w:val="24"/>
        </w:rPr>
        <w:t>确认后</w:t>
      </w:r>
      <w:r>
        <w:rPr>
          <w:rFonts w:ascii="宋体"/>
          <w:sz w:val="24"/>
          <w:szCs w:val="24"/>
        </w:rPr>
        <w:t>，签署最终验收文件。</w:t>
      </w:r>
    </w:p>
    <w:p>
      <w:pPr>
        <w:pStyle w:val="16"/>
        <w:numPr>
          <w:ilvl w:val="1"/>
          <w:numId w:val="0"/>
        </w:numPr>
        <w:ind w:left="0" w:leftChars="0" w:firstLine="562" w:firstLineChars="0"/>
        <w:outlineLvl w:val="1"/>
        <w:rPr>
          <w:b/>
          <w:sz w:val="28"/>
        </w:rPr>
      </w:pPr>
      <w:r>
        <w:rPr>
          <w:rFonts w:hint="eastAsia" w:eastAsia="新宋体" w:cs="Times New Roman"/>
          <w:b/>
          <w:i w:val="0"/>
          <w:caps w:val="0"/>
          <w:strike w:val="0"/>
          <w:dstrike w:val="0"/>
          <w:vanish w:val="0"/>
          <w:sz w:val="28"/>
          <w:szCs w:val="24"/>
          <w:u w:val="none"/>
          <w:vertAlign w:val="baseline"/>
          <w:lang w:val="en-US" w:eastAsia="zh-CN" w:bidi="ar-SA"/>
        </w:rPr>
        <w:t>4</w:t>
      </w:r>
      <w:r>
        <w:rPr>
          <w:rFonts w:hint="eastAsia" w:ascii="宋体" w:hAnsi="Book Antiqua" w:eastAsia="新宋体" w:cs="Times New Roman"/>
          <w:b/>
          <w:i w:val="0"/>
          <w:caps w:val="0"/>
          <w:strike w:val="0"/>
          <w:dstrike w:val="0"/>
          <w:vanish w:val="0"/>
          <w:sz w:val="28"/>
          <w:szCs w:val="24"/>
          <w:u w:val="none"/>
          <w:vertAlign w:val="baseline"/>
          <w:lang w:val="en-US" w:eastAsia="zh-CN" w:bidi="ar-SA"/>
        </w:rPr>
        <w:t>.4</w:t>
      </w:r>
      <w:r>
        <w:rPr>
          <w:rFonts w:hint="eastAsia"/>
          <w:b/>
          <w:sz w:val="28"/>
        </w:rPr>
        <w:t>技术资料和文件</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.4.1</w:t>
      </w:r>
      <w:r>
        <w:rPr>
          <w:rFonts w:hint="eastAsia" w:ascii="宋体"/>
          <w:sz w:val="24"/>
          <w:szCs w:val="24"/>
        </w:rPr>
        <w:t>投标方提供的文件和资料应能满足招标方进行维护和进一步完善的需要。</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.4.2</w:t>
      </w:r>
      <w:r>
        <w:rPr>
          <w:rFonts w:hint="eastAsia" w:ascii="宋体"/>
          <w:sz w:val="24"/>
          <w:szCs w:val="24"/>
        </w:rPr>
        <w:t>提供的图纸应符合标准规格。</w:t>
      </w:r>
    </w:p>
    <w:p>
      <w:pPr>
        <w:numPr>
          <w:ilvl w:val="2"/>
          <w:numId w:val="0"/>
        </w:numPr>
        <w:spacing w:line="360" w:lineRule="auto"/>
        <w:ind w:left="0" w:leftChars="0" w:firstLine="480" w:firstLineChars="0"/>
        <w:rPr>
          <w:rFonts w:ascii="宋体"/>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.4.3</w:t>
      </w:r>
      <w:r>
        <w:rPr>
          <w:rFonts w:hint="eastAsia" w:ascii="宋体"/>
          <w:sz w:val="24"/>
          <w:szCs w:val="24"/>
        </w:rPr>
        <w:t>投标方应向招标方提供项目的所有交付物（电子版）。</w:t>
      </w:r>
    </w:p>
    <w:p>
      <w:pPr>
        <w:pStyle w:val="16"/>
        <w:numPr>
          <w:ilvl w:val="1"/>
          <w:numId w:val="0"/>
        </w:numPr>
        <w:ind w:left="0" w:leftChars="0" w:firstLine="562" w:firstLineChars="0"/>
        <w:outlineLvl w:val="1"/>
        <w:rPr>
          <w:b/>
          <w:sz w:val="28"/>
        </w:rPr>
      </w:pPr>
      <w:r>
        <w:rPr>
          <w:rFonts w:hint="eastAsia" w:eastAsia="新宋体" w:cs="Times New Roman"/>
          <w:b/>
          <w:i w:val="0"/>
          <w:caps w:val="0"/>
          <w:strike w:val="0"/>
          <w:dstrike w:val="0"/>
          <w:vanish w:val="0"/>
          <w:sz w:val="28"/>
          <w:szCs w:val="24"/>
          <w:u w:val="none"/>
          <w:vertAlign w:val="baseline"/>
          <w:lang w:val="en-US" w:eastAsia="zh-CN" w:bidi="ar-SA"/>
        </w:rPr>
        <w:t>4</w:t>
      </w:r>
      <w:r>
        <w:rPr>
          <w:rFonts w:hint="eastAsia" w:ascii="宋体" w:hAnsi="Book Antiqua" w:eastAsia="新宋体" w:cs="Times New Roman"/>
          <w:b/>
          <w:i w:val="0"/>
          <w:caps w:val="0"/>
          <w:strike w:val="0"/>
          <w:dstrike w:val="0"/>
          <w:vanish w:val="0"/>
          <w:sz w:val="28"/>
          <w:szCs w:val="24"/>
          <w:u w:val="none"/>
          <w:vertAlign w:val="baseline"/>
          <w:lang w:val="en-US" w:eastAsia="zh-CN" w:bidi="ar-SA"/>
        </w:rPr>
        <w:t>.5</w:t>
      </w:r>
      <w:r>
        <w:rPr>
          <w:rFonts w:hint="eastAsia"/>
          <w:b/>
          <w:sz w:val="28"/>
        </w:rPr>
        <w:t>售后服务</w:t>
      </w:r>
    </w:p>
    <w:p>
      <w:pPr>
        <w:numPr>
          <w:ilvl w:val="2"/>
          <w:numId w:val="0"/>
        </w:numPr>
        <w:spacing w:line="360" w:lineRule="auto"/>
        <w:ind w:left="0" w:leftChars="0" w:firstLine="480" w:firstLineChars="0"/>
        <w:rPr>
          <w:rFonts w:ascii="宋体" w:eastAsia="宋体" w:cs="Times New Roman"/>
          <w:sz w:val="24"/>
          <w:szCs w:val="24"/>
        </w:rPr>
      </w:pPr>
      <w:r>
        <w:rPr>
          <w:rFonts w:hint="eastAsia" w:ascii="宋体" w:cs="Times New Roman"/>
          <w:b/>
          <w:i w:val="0"/>
          <w:sz w:val="24"/>
          <w:szCs w:val="24"/>
          <w:lang w:val="en-US" w:eastAsia="zh-CN" w:bidi="ar-SA"/>
        </w:rPr>
        <w:t>4</w:t>
      </w:r>
      <w:r>
        <w:rPr>
          <w:rFonts w:hint="eastAsia" w:ascii="宋体" w:hAnsi="Book Antiqua" w:eastAsia="宋体" w:cs="Times New Roman"/>
          <w:b/>
          <w:i w:val="0"/>
          <w:sz w:val="24"/>
          <w:szCs w:val="24"/>
          <w:lang w:val="en-US" w:eastAsia="zh-CN" w:bidi="ar-SA"/>
        </w:rPr>
        <w:t>.5.1</w:t>
      </w:r>
      <w:r>
        <w:rPr>
          <w:rFonts w:ascii="宋体"/>
          <w:sz w:val="24"/>
          <w:szCs w:val="24"/>
        </w:rPr>
        <w:t>合同签订后，响应</w:t>
      </w:r>
      <w:bookmarkStart w:id="35" w:name="_Toc110765302"/>
      <w:bookmarkStart w:id="36" w:name="_Toc72320160"/>
      <w:bookmarkStart w:id="37" w:name="_Toc103761492"/>
      <w:r>
        <w:rPr>
          <w:rFonts w:ascii="宋体"/>
          <w:sz w:val="24"/>
          <w:szCs w:val="24"/>
        </w:rPr>
        <w:t>方应指定负责本项目的项目经理，负责协调项目实施全过程</w:t>
      </w:r>
      <w:r>
        <w:rPr>
          <w:rFonts w:ascii="宋体" w:eastAsia="宋体" w:cs="Times New Roman"/>
          <w:sz w:val="24"/>
          <w:szCs w:val="24"/>
        </w:rPr>
        <w:t>的各项工作，如项目进度、测试验收等。</w:t>
      </w:r>
    </w:p>
    <w:p>
      <w:pPr>
        <w:numPr>
          <w:ilvl w:val="2"/>
          <w:numId w:val="0"/>
        </w:numPr>
        <w:spacing w:line="360" w:lineRule="auto"/>
        <w:ind w:left="0" w:leftChars="0" w:firstLine="480" w:firstLineChars="0"/>
        <w:rPr>
          <w:rFonts w:hint="eastAsia" w:ascii="宋体" w:eastAsia="宋体" w:cs="Times New Roman"/>
          <w:sz w:val="24"/>
          <w:szCs w:val="24"/>
          <w:lang w:val="en-US" w:eastAsia="zh-CN"/>
        </w:rPr>
      </w:pPr>
      <w:r>
        <w:rPr>
          <w:rFonts w:hint="eastAsia" w:ascii="宋体" w:eastAsia="宋体" w:cs="Times New Roman"/>
          <w:b/>
          <w:i w:val="0"/>
          <w:sz w:val="24"/>
          <w:szCs w:val="24"/>
          <w:lang w:val="en-US" w:eastAsia="zh-CN" w:bidi="ar-SA"/>
        </w:rPr>
        <w:t>4.5.2</w:t>
      </w:r>
      <w:r>
        <w:rPr>
          <w:rFonts w:ascii="宋体" w:eastAsia="宋体" w:cs="Times New Roman"/>
          <w:sz w:val="24"/>
          <w:szCs w:val="24"/>
        </w:rPr>
        <w:t>保证期内，响应</w:t>
      </w:r>
      <w:bookmarkEnd w:id="35"/>
      <w:bookmarkEnd w:id="36"/>
      <w:bookmarkEnd w:id="37"/>
      <w:r>
        <w:rPr>
          <w:rFonts w:ascii="宋体" w:eastAsia="宋体" w:cs="Times New Roman"/>
          <w:sz w:val="24"/>
          <w:szCs w:val="24"/>
        </w:rPr>
        <w:t>方在接到用户维护请求</w:t>
      </w:r>
      <w:r>
        <w:rPr>
          <w:rFonts w:hint="eastAsia" w:ascii="宋体" w:eastAsia="宋体" w:cs="Times New Roman"/>
          <w:sz w:val="24"/>
          <w:szCs w:val="24"/>
        </w:rPr>
        <w:t>12</w:t>
      </w:r>
      <w:r>
        <w:rPr>
          <w:rFonts w:ascii="宋体" w:eastAsia="宋体" w:cs="Times New Roman"/>
          <w:sz w:val="24"/>
          <w:szCs w:val="24"/>
        </w:rPr>
        <w:t>小时内做出回复，常见系统故障</w:t>
      </w:r>
      <w:r>
        <w:rPr>
          <w:rFonts w:hint="eastAsia" w:ascii="宋体" w:eastAsia="宋体" w:cs="Times New Roman"/>
          <w:sz w:val="24"/>
          <w:szCs w:val="24"/>
        </w:rPr>
        <w:t>24</w:t>
      </w:r>
      <w:r>
        <w:rPr>
          <w:rFonts w:ascii="宋体" w:eastAsia="宋体" w:cs="Times New Roman"/>
          <w:sz w:val="24"/>
          <w:szCs w:val="24"/>
        </w:rPr>
        <w:t>小时内通过远程和现场用户相配合的方式解决问题或提出解决方案供用户参考，若仍无法解决则在</w:t>
      </w:r>
      <w:r>
        <w:rPr>
          <w:rFonts w:hint="eastAsia" w:ascii="宋体" w:eastAsia="宋体" w:cs="Times New Roman"/>
          <w:sz w:val="24"/>
          <w:szCs w:val="24"/>
        </w:rPr>
        <w:t>48</w:t>
      </w:r>
      <w:r>
        <w:rPr>
          <w:rFonts w:ascii="宋体" w:eastAsia="宋体" w:cs="Times New Roman"/>
          <w:sz w:val="24"/>
          <w:szCs w:val="24"/>
        </w:rPr>
        <w:t>小时内派工程师现场解决问题。</w:t>
      </w:r>
      <w:bookmarkEnd w:id="34"/>
    </w:p>
    <w:bookmarkEnd w:id="0"/>
    <w:bookmarkEnd w:id="18"/>
    <w:p>
      <w:pPr>
        <w:spacing w:before="0" w:beforeAutospacing="0" w:after="0" w:afterAutospacing="0" w:line="540" w:lineRule="exact"/>
      </w:pPr>
    </w:p>
    <w:p/>
    <w:p/>
    <w:sectPr>
      <w:footerReference r:id="rId3" w:type="default"/>
      <w:pgSz w:w="11906" w:h="16838"/>
      <w:pgMar w:top="1474" w:right="1134" w:bottom="1134" w:left="1418" w:header="1134" w:footer="107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Book Antiqua">
    <w:altName w:val="Segoe Print"/>
    <w:panose1 w:val="02040602050305030304"/>
    <w:charset w:val="00"/>
    <w:family w:val="roman"/>
    <w:pitch w:val="default"/>
    <w:sig w:usb0="00000000"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fldChar w:fldCharType="begin"/>
    </w:r>
    <w:r>
      <w:instrText xml:space="preserve"> PAGE   \* MERGEFORMAT </w:instrText>
    </w:r>
    <w:r>
      <w:fldChar w:fldCharType="separate"/>
    </w:r>
    <w:r>
      <w:rPr>
        <w:lang w:val="zh-CN"/>
      </w:rPr>
      <w:t>9</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656EE4"/>
    <w:multiLevelType w:val="singleLevel"/>
    <w:tmpl w:val="FB656EE4"/>
    <w:lvl w:ilvl="0" w:tentative="0">
      <w:start w:val="1"/>
      <w:numFmt w:val="chineseCounting"/>
      <w:suff w:val="nothing"/>
      <w:lvlText w:val="（%1）"/>
      <w:lvlJc w:val="left"/>
      <w:pPr>
        <w:ind w:left="0" w:firstLine="420"/>
      </w:pPr>
      <w:rPr>
        <w:rFonts w:hint="eastAsia"/>
      </w:rPr>
    </w:lvl>
  </w:abstractNum>
  <w:abstractNum w:abstractNumId="1">
    <w:nsid w:val="00649733"/>
    <w:multiLevelType w:val="singleLevel"/>
    <w:tmpl w:val="00649733"/>
    <w:lvl w:ilvl="0" w:tentative="0">
      <w:start w:val="1"/>
      <w:numFmt w:val="decimal"/>
      <w:suff w:val="nothing"/>
      <w:lvlText w:val="%1．"/>
      <w:lvlJc w:val="left"/>
      <w:pPr>
        <w:ind w:left="0" w:firstLine="400"/>
      </w:pPr>
      <w:rPr>
        <w:rFonts w:hint="default"/>
      </w:rPr>
    </w:lvl>
  </w:abstractNum>
  <w:abstractNum w:abstractNumId="2">
    <w:nsid w:val="0429BEF4"/>
    <w:multiLevelType w:val="singleLevel"/>
    <w:tmpl w:val="0429BEF4"/>
    <w:lvl w:ilvl="0" w:tentative="0">
      <w:start w:val="1"/>
      <w:numFmt w:val="decimal"/>
      <w:suff w:val="nothing"/>
      <w:lvlText w:val="%1．"/>
      <w:lvlJc w:val="left"/>
      <w:pPr>
        <w:ind w:left="0" w:firstLine="400"/>
      </w:pPr>
      <w:rPr>
        <w:rFonts w:hint="default"/>
      </w:rPr>
    </w:lvl>
  </w:abstractNum>
  <w:abstractNum w:abstractNumId="3">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569A4EBE"/>
    <w:multiLevelType w:val="singleLevel"/>
    <w:tmpl w:val="569A4EBE"/>
    <w:lvl w:ilvl="0" w:tentative="0">
      <w:start w:val="1"/>
      <w:numFmt w:val="chineseCounting"/>
      <w:suff w:val="nothing"/>
      <w:lvlText w:val="%1、"/>
      <w:lvlJc w:val="left"/>
      <w:pPr>
        <w:ind w:left="0" w:firstLine="420"/>
      </w:pPr>
      <w:rPr>
        <w:rFonts w:hint="eastAsia"/>
        <w:lang w:val="en-US"/>
      </w:rPr>
    </w:lvl>
  </w:abstractNum>
  <w:abstractNum w:abstractNumId="5">
    <w:nsid w:val="69231DFA"/>
    <w:multiLevelType w:val="singleLevel"/>
    <w:tmpl w:val="69231DFA"/>
    <w:lvl w:ilvl="0" w:tentative="0">
      <w:start w:val="1"/>
      <w:numFmt w:val="chineseCounting"/>
      <w:suff w:val="nothing"/>
      <w:lvlText w:val="（%1）"/>
      <w:lvlJc w:val="left"/>
      <w:pPr>
        <w:ind w:left="0" w:firstLine="420"/>
      </w:pPr>
      <w:rPr>
        <w:rFonts w:hint="eastAsia"/>
        <w:lang w:val="en-US"/>
      </w:r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yNGQ4Yzg2NjQ1MDZjMWM2OTc5ZjgxYmUxNzRhZTAifQ=="/>
  </w:docVars>
  <w:rsids>
    <w:rsidRoot w:val="2F43059D"/>
    <w:rsid w:val="00066F79"/>
    <w:rsid w:val="003B365A"/>
    <w:rsid w:val="003E1FA6"/>
    <w:rsid w:val="004162D4"/>
    <w:rsid w:val="0043779B"/>
    <w:rsid w:val="004E3355"/>
    <w:rsid w:val="00531E44"/>
    <w:rsid w:val="00565F6E"/>
    <w:rsid w:val="00610E1A"/>
    <w:rsid w:val="0070320C"/>
    <w:rsid w:val="00784B6F"/>
    <w:rsid w:val="0084069F"/>
    <w:rsid w:val="008A6971"/>
    <w:rsid w:val="009E05FD"/>
    <w:rsid w:val="00A15534"/>
    <w:rsid w:val="00A464D2"/>
    <w:rsid w:val="00AA1E8A"/>
    <w:rsid w:val="00AF4234"/>
    <w:rsid w:val="00B16FBB"/>
    <w:rsid w:val="00B505FF"/>
    <w:rsid w:val="00B71596"/>
    <w:rsid w:val="00B85DF5"/>
    <w:rsid w:val="00CE7276"/>
    <w:rsid w:val="00D8559A"/>
    <w:rsid w:val="00DA2239"/>
    <w:rsid w:val="00E128BA"/>
    <w:rsid w:val="00F35C9C"/>
    <w:rsid w:val="0AF9323A"/>
    <w:rsid w:val="0C533633"/>
    <w:rsid w:val="0E367390"/>
    <w:rsid w:val="0ED24CEA"/>
    <w:rsid w:val="109C60C2"/>
    <w:rsid w:val="146A010D"/>
    <w:rsid w:val="19142412"/>
    <w:rsid w:val="19741C88"/>
    <w:rsid w:val="1B29692D"/>
    <w:rsid w:val="20A73C6F"/>
    <w:rsid w:val="256A1315"/>
    <w:rsid w:val="258E70E1"/>
    <w:rsid w:val="25D235CE"/>
    <w:rsid w:val="2A414F0D"/>
    <w:rsid w:val="2B315CB1"/>
    <w:rsid w:val="2D1B452C"/>
    <w:rsid w:val="2F43059D"/>
    <w:rsid w:val="2F62525D"/>
    <w:rsid w:val="2FC46EA0"/>
    <w:rsid w:val="32067DEF"/>
    <w:rsid w:val="33F87C9A"/>
    <w:rsid w:val="384D4406"/>
    <w:rsid w:val="38ED3A6E"/>
    <w:rsid w:val="3A2B35BD"/>
    <w:rsid w:val="44EA38E2"/>
    <w:rsid w:val="46024FFD"/>
    <w:rsid w:val="4899322A"/>
    <w:rsid w:val="4BA94BBB"/>
    <w:rsid w:val="4D813E5E"/>
    <w:rsid w:val="56D03A9C"/>
    <w:rsid w:val="59152109"/>
    <w:rsid w:val="598D6DCE"/>
    <w:rsid w:val="5E693AD3"/>
    <w:rsid w:val="625473BB"/>
    <w:rsid w:val="6DFE475F"/>
    <w:rsid w:val="6F904BDE"/>
    <w:rsid w:val="73CB774E"/>
    <w:rsid w:val="741443EB"/>
    <w:rsid w:val="78D60B7E"/>
    <w:rsid w:val="7D5F4235"/>
    <w:rsid w:val="7ECA64E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before="100" w:beforeAutospacing="1" w:after="100" w:afterAutospacing="1" w:line="360" w:lineRule="auto"/>
    </w:pPr>
    <w:rPr>
      <w:rFonts w:ascii="Book Antiqua" w:hAnsi="Book Antiqua" w:eastAsia="宋体" w:cs="Times New Roman"/>
      <w:sz w:val="24"/>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paragraph" w:styleId="5">
    <w:name w:val="heading 2"/>
    <w:basedOn w:val="1"/>
    <w:next w:val="1"/>
    <w:qFormat/>
    <w:uiPriority w:val="99"/>
    <w:pPr>
      <w:keepNext/>
      <w:keepLines/>
      <w:tabs>
        <w:tab w:val="left" w:pos="0"/>
      </w:tabs>
      <w:outlineLvl w:val="1"/>
    </w:pPr>
    <w:rPr>
      <w:rFonts w:ascii="宋体" w:hAnsi="宋体" w:cs="宋体"/>
      <w:b/>
      <w:bCs/>
      <w:sz w:val="28"/>
      <w:szCs w:val="2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next w:val="3"/>
    <w:qFormat/>
    <w:uiPriority w:val="0"/>
    <w:pPr>
      <w:spacing w:after="120" w:afterAutospacing="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Plain Text"/>
    <w:basedOn w:val="1"/>
    <w:link w:val="15"/>
    <w:qFormat/>
    <w:uiPriority w:val="0"/>
    <w:pPr>
      <w:widowControl w:val="0"/>
      <w:spacing w:before="0" w:beforeAutospacing="0" w:after="0" w:afterAutospacing="0" w:line="240" w:lineRule="auto"/>
      <w:jc w:val="both"/>
    </w:pPr>
    <w:rPr>
      <w:rFonts w:ascii="宋体" w:hAnsi="Courier New" w:eastAsia="Times New Roman"/>
      <w:kern w:val="2"/>
      <w:sz w:val="21"/>
    </w:rPr>
  </w:style>
  <w:style w:type="paragraph" w:styleId="7">
    <w:name w:val="footer"/>
    <w:basedOn w:val="1"/>
    <w:unhideWhenUsed/>
    <w:qFormat/>
    <w:uiPriority w:val="0"/>
    <w:pPr>
      <w:tabs>
        <w:tab w:val="center" w:pos="4320"/>
        <w:tab w:val="right" w:pos="8640"/>
      </w:tabs>
      <w:spacing w:before="0" w:after="0" w:line="240" w:lineRule="auto"/>
    </w:pPr>
  </w:style>
  <w:style w:type="paragraph" w:styleId="8">
    <w:name w:val="header"/>
    <w:basedOn w:val="1"/>
    <w:link w:val="12"/>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customStyle="1" w:styleId="11">
    <w:name w:val="列出段落1"/>
    <w:basedOn w:val="1"/>
    <w:qFormat/>
    <w:uiPriority w:val="34"/>
    <w:pPr>
      <w:ind w:firstLine="420" w:firstLineChars="200"/>
    </w:pPr>
  </w:style>
  <w:style w:type="character" w:customStyle="1" w:styleId="12">
    <w:name w:val="页眉 Char"/>
    <w:basedOn w:val="10"/>
    <w:link w:val="8"/>
    <w:qFormat/>
    <w:uiPriority w:val="0"/>
    <w:rPr>
      <w:rFonts w:ascii="Book Antiqua" w:hAnsi="Book Antiqua" w:eastAsia="宋体" w:cs="Times New Roman"/>
      <w:sz w:val="18"/>
      <w:szCs w:val="18"/>
    </w:rPr>
  </w:style>
  <w:style w:type="paragraph" w:styleId="13">
    <w:name w:val="List Paragraph"/>
    <w:basedOn w:val="1"/>
    <w:unhideWhenUsed/>
    <w:qFormat/>
    <w:uiPriority w:val="99"/>
    <w:pPr>
      <w:ind w:firstLine="420" w:firstLineChars="200"/>
    </w:pPr>
  </w:style>
  <w:style w:type="character" w:customStyle="1" w:styleId="14">
    <w:name w:val="纯文本 Char"/>
    <w:basedOn w:val="10"/>
    <w:link w:val="6"/>
    <w:qFormat/>
    <w:uiPriority w:val="0"/>
    <w:rPr>
      <w:rFonts w:ascii="宋体" w:hAnsi="Courier New" w:eastAsia="宋体" w:cs="Courier New"/>
      <w:sz w:val="21"/>
      <w:szCs w:val="21"/>
    </w:rPr>
  </w:style>
  <w:style w:type="character" w:customStyle="1" w:styleId="15">
    <w:name w:val="纯文本 Char1"/>
    <w:link w:val="6"/>
    <w:qFormat/>
    <w:locked/>
    <w:uiPriority w:val="0"/>
    <w:rPr>
      <w:rFonts w:ascii="宋体" w:hAnsi="Courier New" w:eastAsia="Times New Roman" w:cs="Times New Roman"/>
      <w:kern w:val="2"/>
      <w:sz w:val="21"/>
    </w:rPr>
  </w:style>
  <w:style w:type="paragraph" w:customStyle="1" w:styleId="16">
    <w:name w:val="样式2"/>
    <w:basedOn w:val="1"/>
    <w:qFormat/>
    <w:uiPriority w:val="0"/>
    <w:pPr>
      <w:spacing w:line="360" w:lineRule="auto"/>
    </w:pPr>
    <w:rPr>
      <w:rFonts w:ascii="宋体"/>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Pages>
  <Words>4279</Words>
  <Characters>4428</Characters>
  <Lines>2</Lines>
  <Paragraphs>9</Paragraphs>
  <TotalTime>2</TotalTime>
  <ScaleCrop>false</ScaleCrop>
  <LinksUpToDate>false</LinksUpToDate>
  <CharactersWithSpaces>4470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2025-10-27T06:13:00Z</dcterms:created>
  <dc:creator>左边口袋</dc:creator>
  <cp:lastModifiedBy>6455D817E1FA46E49C38B2FD1EE4DD51</cp:lastModifiedBy>
  <dcterms:modified xsi:type="dcterms:W3CDTF">2026-01-19T01:37:15Z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AD498831420744598C3CEAC1F2F2AC70_13</vt:lpwstr>
  </property>
  <property fmtid="{D5CDD505-2E9C-101B-9397-08002B2CF9AE}" pid="4" name="KSOTemplateDocerSaveRecord">
    <vt:lpwstr>eyJoZGlkIjoiN2JmYzI4MGIzZmM3MmU4OGI4MzM4ODZiZWMzOGZiZDUiLCJ1c2VySWQiOiIyOTk1OTQ0NDgifQ==</vt:lpwstr>
  </property>
</Properties>
</file>