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sz w:val="44"/>
        </w:rPr>
      </w:pPr>
      <w:bookmarkStart w:id="0" w:name="_Toc98920284"/>
    </w:p>
    <w:p>
      <w:pPr>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
          <w:bCs/>
          <w:sz w:val="48"/>
          <w:szCs w:val="48"/>
          <w:lang w:val="en-US" w:eastAsia="zh-CN"/>
        </w:rPr>
        <w:t>2026年崇左供电局职创项目具备收缩展放功能的输电线路防鸟粪伞群绝缘挡板加工服务报价表</w:t>
      </w:r>
      <w:r>
        <w:rPr>
          <w:rFonts w:hint="eastAsia" w:asciiTheme="minorEastAsia" w:hAnsiTheme="minorEastAsia" w:eastAsiaTheme="minorEastAsia" w:cstheme="minorEastAsia"/>
          <w:b/>
          <w:bCs/>
          <w:sz w:val="48"/>
          <w:szCs w:val="48"/>
        </w:rPr>
        <w:t>技术规范书</w:t>
      </w:r>
    </w:p>
    <w:p>
      <w:pPr>
        <w:jc w:val="center"/>
        <w:rPr>
          <w:rFonts w:hint="eastAsia" w:asciiTheme="minorEastAsia" w:hAnsiTheme="minorEastAsia" w:eastAsiaTheme="minorEastAsia" w:cstheme="minorEastAsia"/>
          <w:sz w:val="28"/>
        </w:rPr>
      </w:pPr>
    </w:p>
    <w:p>
      <w:pPr>
        <w:ind w:firstLine="560" w:firstLineChars="200"/>
        <w:rPr>
          <w:rFonts w:hint="eastAsia" w:asciiTheme="minorEastAsia" w:hAnsiTheme="minorEastAsia" w:eastAsiaTheme="minorEastAsia" w:cstheme="minorEastAsia"/>
          <w:sz w:val="28"/>
        </w:rPr>
      </w:pPr>
    </w:p>
    <w:p>
      <w:pPr>
        <w:ind w:firstLine="560" w:firstLineChars="200"/>
        <w:rPr>
          <w:rFonts w:hint="eastAsia" w:asciiTheme="minorEastAsia" w:hAnsiTheme="minorEastAsia" w:eastAsiaTheme="minorEastAsia" w:cstheme="minorEastAsia"/>
          <w:sz w:val="28"/>
        </w:rPr>
      </w:pPr>
    </w:p>
    <w:p>
      <w:pPr>
        <w:ind w:firstLine="560" w:firstLineChars="200"/>
        <w:rPr>
          <w:rFonts w:hint="eastAsia" w:asciiTheme="minorEastAsia" w:hAnsiTheme="minorEastAsia" w:eastAsiaTheme="minorEastAsia" w:cstheme="minorEastAsia"/>
          <w:sz w:val="28"/>
        </w:rPr>
      </w:pPr>
    </w:p>
    <w:p>
      <w:pPr>
        <w:pStyle w:val="2"/>
        <w:rPr>
          <w:rFonts w:hint="eastAsia" w:asciiTheme="minorEastAsia" w:hAnsiTheme="minorEastAsia" w:eastAsiaTheme="minorEastAsia" w:cstheme="minorEastAsia"/>
          <w:sz w:val="28"/>
        </w:rPr>
      </w:pPr>
    </w:p>
    <w:p>
      <w:pPr>
        <w:rPr>
          <w:rFonts w:hint="eastAsia" w:asciiTheme="minorEastAsia" w:hAnsiTheme="minorEastAsia" w:eastAsiaTheme="minorEastAsia" w:cstheme="minorEastAsia"/>
          <w:sz w:val="28"/>
        </w:rPr>
      </w:pPr>
    </w:p>
    <w:p>
      <w:pPr>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广西电网有限责任公司</w:t>
      </w:r>
    </w:p>
    <w:p>
      <w:pPr>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lang w:val="en-US" w:eastAsia="zh-CN"/>
        </w:rPr>
        <w:t>崇左</w:t>
      </w:r>
      <w:r>
        <w:rPr>
          <w:rFonts w:hint="eastAsia" w:asciiTheme="minorEastAsia" w:hAnsiTheme="minorEastAsia" w:eastAsiaTheme="minorEastAsia" w:cstheme="minorEastAsia"/>
          <w:sz w:val="44"/>
          <w:szCs w:val="44"/>
        </w:rPr>
        <w:t>供电局</w:t>
      </w:r>
    </w:p>
    <w:p>
      <w:pPr>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highlight w:val="none"/>
        </w:rPr>
        <w:t>2025</w:t>
      </w:r>
      <w:r>
        <w:rPr>
          <w:rFonts w:hint="eastAsia" w:asciiTheme="minorEastAsia" w:hAnsiTheme="minorEastAsia" w:eastAsiaTheme="minorEastAsia" w:cstheme="minorEastAsia"/>
          <w:sz w:val="44"/>
          <w:szCs w:val="44"/>
        </w:rPr>
        <w:t>年</w:t>
      </w:r>
      <w:r>
        <w:rPr>
          <w:rFonts w:hint="eastAsia" w:asciiTheme="minorEastAsia" w:hAnsiTheme="minorEastAsia" w:eastAsiaTheme="minorEastAsia" w:cstheme="minorEastAsia"/>
          <w:sz w:val="44"/>
          <w:szCs w:val="44"/>
          <w:highlight w:val="none"/>
        </w:rPr>
        <w:t>10</w:t>
      </w:r>
      <w:r>
        <w:rPr>
          <w:rFonts w:hint="eastAsia" w:asciiTheme="minorEastAsia" w:hAnsiTheme="minorEastAsia" w:eastAsiaTheme="minorEastAsia" w:cstheme="minorEastAsia"/>
          <w:sz w:val="44"/>
          <w:szCs w:val="44"/>
        </w:rPr>
        <w:t>月</w:t>
      </w:r>
    </w:p>
    <w:p>
      <w:pPr>
        <w:pStyle w:val="4"/>
        <w:numPr>
          <w:ilvl w:val="0"/>
          <w:numId w:val="1"/>
        </w:numPr>
        <w:spacing w:before="0" w:after="0" w:line="360" w:lineRule="auto"/>
        <w:rPr>
          <w:rFonts w:hint="eastAsia" w:asciiTheme="minorEastAsia" w:hAnsiTheme="minorEastAsia" w:eastAsiaTheme="minorEastAsia" w:cstheme="minorEastAsia"/>
          <w:color w:val="000000"/>
          <w:sz w:val="28"/>
          <w:szCs w:val="28"/>
        </w:rPr>
      </w:pPr>
      <w:bookmarkStart w:id="1" w:name="_Toc353940788"/>
      <w:bookmarkStart w:id="2" w:name="_Toc299606277"/>
      <w:bookmarkStart w:id="3" w:name="_Toc7566"/>
      <w:bookmarkStart w:id="4" w:name="_Toc444945507"/>
      <w:bookmarkStart w:id="5" w:name="_Toc353939550"/>
      <w:r>
        <w:rPr>
          <w:rFonts w:hint="eastAsia" w:asciiTheme="minorEastAsia" w:hAnsiTheme="minorEastAsia" w:eastAsiaTheme="minorEastAsia" w:cstheme="minorEastAsia"/>
          <w:color w:val="000000"/>
          <w:sz w:val="28"/>
          <w:szCs w:val="28"/>
        </w:rPr>
        <w:t>总则</w:t>
      </w:r>
      <w:bookmarkEnd w:id="1"/>
      <w:bookmarkEnd w:id="2"/>
      <w:bookmarkEnd w:id="3"/>
      <w:bookmarkEnd w:id="4"/>
      <w:bookmarkEnd w:id="5"/>
    </w:p>
    <w:p>
      <w:pPr>
        <w:pStyle w:val="5"/>
        <w:numPr>
          <w:ilvl w:val="0"/>
          <w:numId w:val="2"/>
        </w:numPr>
        <w:rPr>
          <w:rFonts w:hint="eastAsia" w:asciiTheme="minorEastAsia" w:hAnsiTheme="minorEastAsia" w:eastAsiaTheme="minorEastAsia" w:cstheme="minorEastAsia"/>
          <w:sz w:val="24"/>
          <w:szCs w:val="22"/>
        </w:rPr>
      </w:pPr>
      <w:bookmarkStart w:id="6" w:name="_Toc444945508"/>
      <w:bookmarkStart w:id="7" w:name="_Toc28526"/>
      <w:bookmarkStart w:id="8" w:name="_Toc318799924"/>
      <w:r>
        <w:rPr>
          <w:rFonts w:hint="eastAsia" w:asciiTheme="minorEastAsia" w:hAnsiTheme="minorEastAsia" w:eastAsiaTheme="minorEastAsia" w:cstheme="minorEastAsia"/>
          <w:sz w:val="24"/>
          <w:szCs w:val="22"/>
        </w:rPr>
        <w:t>一般要求</w:t>
      </w:r>
      <w:bookmarkEnd w:id="6"/>
      <w:bookmarkEnd w:id="7"/>
      <w:bookmarkEnd w:id="8"/>
    </w:p>
    <w:p>
      <w:pPr>
        <w:numPr>
          <w:ilvl w:val="0"/>
          <w:numId w:val="3"/>
        </w:numPr>
        <w:adjustRightInd w:val="0"/>
        <w:snapToGrid w:val="0"/>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t>本技术规范适用于</w:t>
      </w:r>
      <w:r>
        <w:rPr>
          <w:rFonts w:hint="eastAsia" w:asciiTheme="minorEastAsia" w:hAnsiTheme="minorEastAsia" w:eastAsiaTheme="minorEastAsia" w:cstheme="minorEastAsia"/>
          <w:bCs/>
          <w:szCs w:val="24"/>
          <w:lang w:eastAsia="zh-CN"/>
        </w:rPr>
        <w:t>具备收缩展放功能的输电线路防鸟粪伞群绝缘挡板</w:t>
      </w:r>
      <w:r>
        <w:rPr>
          <w:rFonts w:hint="eastAsia" w:asciiTheme="minorEastAsia" w:hAnsiTheme="minorEastAsia" w:eastAsiaTheme="minorEastAsia" w:cstheme="minorEastAsia"/>
          <w:szCs w:val="24"/>
        </w:rPr>
        <w:t>，</w:t>
      </w:r>
      <w:r>
        <w:rPr>
          <w:rFonts w:hint="eastAsia" w:asciiTheme="minorEastAsia" w:hAnsiTheme="minorEastAsia" w:eastAsiaTheme="minorEastAsia" w:cstheme="minorEastAsia"/>
        </w:rPr>
        <w:t>它提出了该设备最基本的功能、结构、性能的技术要求。</w:t>
      </w:r>
    </w:p>
    <w:p>
      <w:pPr>
        <w:numPr>
          <w:ilvl w:val="0"/>
          <w:numId w:val="3"/>
        </w:numPr>
        <w:rPr>
          <w:rFonts w:hint="eastAsia" w:asciiTheme="minorEastAsia" w:hAnsiTheme="minorEastAsia" w:eastAsiaTheme="minorEastAsia" w:cstheme="minorEastAsia"/>
        </w:rPr>
      </w:pPr>
      <w:bookmarkStart w:id="9" w:name="_Toc445194080"/>
      <w:bookmarkStart w:id="10" w:name="_Toc582"/>
      <w:bookmarkStart w:id="11" w:name="_Toc23193"/>
      <w:bookmarkStart w:id="12" w:name="_Toc222711875"/>
      <w:bookmarkStart w:id="13" w:name="_Toc261810243"/>
      <w:bookmarkStart w:id="14" w:name="_Toc252485428"/>
      <w:bookmarkStart w:id="15" w:name="_Toc293665071"/>
      <w:bookmarkStart w:id="16" w:name="_Toc252486971"/>
      <w:bookmarkStart w:id="17" w:name="_Toc255894290"/>
      <w:r>
        <w:rPr>
          <w:rFonts w:hint="eastAsia" w:asciiTheme="minorEastAsia" w:hAnsiTheme="minorEastAsia" w:eastAsiaTheme="minorEastAsia" w:cstheme="minorEastAsia"/>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本规范书指标要求中，凡标有下划线或加“★”的地方均被视为重要的技术指标要求或性能要求。投标方要特别加以注意，必须完全满足这些要求。</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如果投标方认为本技术条款所描述技术要求等存在不合理性或不明白的，可在响应原要求后陈述相关建议。</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投标方也可提出满足本技术规范书要求，且技术先进、成熟、价格合理的其他建议，供招标方选择。</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投标方应提供满足本技术规范书要求的完整的服务、工作产品，满足国家及用户提出的有关质量标准要求。所有工作产品必须具有在中国境内的合法使用权。</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本技术规范书所使用的标准如与投标方所执行的标准不一致，按较高标准执行。</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如果因为无法提供的原因而提供其他产品、服务，投标方应明确说明并提出质量保证承诺。</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投标方应保证为今后招标方开发的或招标方委托第三方开发的其他工作产品提供可靠的性能和兼容性。</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投标方应对本次投标所有文件保密，不得向其他单位公布或泄漏招标项目的有关信息。</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招标方保留技术规范书修改的权利，可以提出变更的意见和建议，最终签订的技术协议与合同具有同等效力。</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在不超出本技术规范书要求的情况下，投标方应对招标方提出的所有细化要求予以满足。</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有文件、图纸、通信的均使用中文。所有计算、说明、图纸文件、手册等使用国际单位制。</w:t>
      </w:r>
    </w:p>
    <w:p>
      <w:pPr>
        <w:pStyle w:val="5"/>
        <w:numPr>
          <w:ilvl w:val="0"/>
          <w:numId w:val="2"/>
        </w:numPr>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标准和规范</w:t>
      </w:r>
      <w:bookmarkEnd w:id="9"/>
      <w:bookmarkEnd w:id="10"/>
      <w:bookmarkEnd w:id="11"/>
      <w:bookmarkEnd w:id="12"/>
      <w:bookmarkEnd w:id="13"/>
      <w:bookmarkEnd w:id="14"/>
      <w:bookmarkEnd w:id="15"/>
      <w:bookmarkEnd w:id="16"/>
      <w:bookmarkEnd w:id="17"/>
    </w:p>
    <w:p>
      <w:pPr>
        <w:numPr>
          <w:ilvl w:val="0"/>
          <w:numId w:val="4"/>
        </w:numPr>
        <w:rPr>
          <w:rFonts w:hint="eastAsia" w:asciiTheme="minorEastAsia" w:hAnsiTheme="minorEastAsia" w:eastAsiaTheme="minorEastAsia" w:cstheme="minorEastAsia"/>
        </w:rPr>
      </w:pPr>
      <w:bookmarkStart w:id="18" w:name="_Toc205543260"/>
      <w:r>
        <w:rPr>
          <w:rFonts w:hint="eastAsia" w:asciiTheme="minorEastAsia" w:hAnsiTheme="minorEastAsia" w:eastAsiaTheme="minorEastAsia" w:cstheme="minorEastAsia"/>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numPr>
          <w:ilvl w:val="0"/>
          <w:numId w:val="4"/>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如供方没有以书面形式对本规范书的条款提出异议，则意味着供方提供的设备完全满足本规范书的要求。如有异议，不管多么微小，都应在投标书相应的专门章节中加以详细描述。</w:t>
      </w:r>
    </w:p>
    <w:p>
      <w:pPr>
        <w:numPr>
          <w:ilvl w:val="0"/>
          <w:numId w:val="4"/>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本设备技术规范书经需供双方确认后作为订货合同</w:t>
      </w:r>
      <w:r>
        <w:rPr>
          <w:rFonts w:hint="eastAsia" w:asciiTheme="minorEastAsia" w:hAnsiTheme="minorEastAsia" w:eastAsiaTheme="minorEastAsia" w:cstheme="minorEastAsia"/>
          <w:lang w:eastAsia="zh-CN"/>
        </w:rPr>
        <w:t>的</w:t>
      </w:r>
      <w:r>
        <w:rPr>
          <w:rFonts w:hint="eastAsia" w:asciiTheme="minorEastAsia" w:hAnsiTheme="minorEastAsia" w:eastAsiaTheme="minorEastAsia" w:cstheme="minorEastAsia"/>
        </w:rPr>
        <w:t>技术附件，与合同正文具有同等的法律效力。</w:t>
      </w:r>
    </w:p>
    <w:p>
      <w:pPr>
        <w:numPr>
          <w:ilvl w:val="0"/>
          <w:numId w:val="4"/>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供方须执行现行国家标准和行业标准。应遵循的主要现行标准如下</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lang w:val="en-US" w:eastAsia="zh-CN"/>
        </w:rPr>
        <w:t>下述</w:t>
      </w:r>
      <w:r>
        <w:rPr>
          <w:rFonts w:hint="eastAsia" w:asciiTheme="minorEastAsia" w:hAnsiTheme="minorEastAsia" w:eastAsiaTheme="minorEastAsia" w:cstheme="minorEastAsia"/>
        </w:rPr>
        <w:t>标准所包含的条文，通过在本技术规范中引用而构成为本技术规范的条文。本技术规范确定时，所示版本均为有效。所有标准都会被修订，供需双方应探讨使用下列标准最新版本的可能性。有矛盾时，按现行的技术要求较高的标准执行。</w:t>
      </w:r>
    </w:p>
    <w:p>
      <w:pPr>
        <w:numPr>
          <w:ilvl w:val="0"/>
          <w:numId w:val="4"/>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本设备技术规范书未尽事宜，由需供双方协商确定。</w:t>
      </w:r>
    </w:p>
    <w:p>
      <w:pPr>
        <w:pStyle w:val="4"/>
        <w:numPr>
          <w:ilvl w:val="0"/>
          <w:numId w:val="1"/>
        </w:numPr>
        <w:spacing w:before="0" w:after="0" w:line="360" w:lineRule="auto"/>
        <w:rPr>
          <w:rFonts w:hint="eastAsia" w:asciiTheme="minorEastAsia" w:hAnsiTheme="minorEastAsia" w:eastAsiaTheme="minorEastAsia" w:cstheme="minorEastAsia"/>
          <w:color w:val="000000"/>
          <w:sz w:val="28"/>
          <w:szCs w:val="28"/>
        </w:rPr>
      </w:pPr>
      <w:bookmarkStart w:id="19" w:name="_Toc444945516"/>
      <w:bookmarkStart w:id="20" w:name="_Toc22626"/>
      <w:r>
        <w:rPr>
          <w:rFonts w:hint="eastAsia" w:asciiTheme="minorEastAsia" w:hAnsiTheme="minorEastAsia" w:eastAsiaTheme="minorEastAsia" w:cstheme="minorEastAsia"/>
          <w:color w:val="000000"/>
          <w:sz w:val="28"/>
          <w:szCs w:val="28"/>
        </w:rPr>
        <w:t>技术要求</w:t>
      </w:r>
      <w:bookmarkEnd w:id="19"/>
      <w:bookmarkEnd w:id="20"/>
    </w:p>
    <w:p>
      <w:pPr>
        <w:pStyle w:val="5"/>
        <w:numPr>
          <w:ilvl w:val="0"/>
          <w:numId w:val="5"/>
        </w:numPr>
        <w:rPr>
          <w:rFonts w:hint="eastAsia" w:asciiTheme="minorEastAsia" w:hAnsiTheme="minorEastAsia" w:eastAsiaTheme="minorEastAsia" w:cstheme="minorEastAsia"/>
        </w:rPr>
      </w:pPr>
      <w:bookmarkStart w:id="21" w:name="_Toc26863"/>
      <w:bookmarkStart w:id="22" w:name="_Toc444945518"/>
      <w:bookmarkStart w:id="23" w:name="_Toc437603901"/>
      <w:bookmarkStart w:id="24" w:name="_Toc480800900"/>
      <w:bookmarkStart w:id="25" w:name="_Toc23830"/>
      <w:r>
        <w:rPr>
          <w:rFonts w:hint="eastAsia" w:asciiTheme="minorEastAsia" w:hAnsiTheme="minorEastAsia" w:eastAsiaTheme="minorEastAsia" w:cstheme="minorEastAsia"/>
        </w:rPr>
        <w:t>项目研究内容</w:t>
      </w:r>
      <w:bookmarkEnd w:id="21"/>
      <w:bookmarkEnd w:id="22"/>
      <w:bookmarkEnd w:id="23"/>
    </w:p>
    <w:p>
      <w:pPr>
        <w:pStyle w:val="2"/>
        <w:keepNext w:val="0"/>
        <w:keepLines w:val="0"/>
        <w:pageBreakBefore w:val="0"/>
        <w:widowControl/>
        <w:kinsoku/>
        <w:wordWrap/>
        <w:overflowPunct/>
        <w:topLinePunct w:val="0"/>
        <w:autoSpaceDE/>
        <w:autoSpaceDN/>
        <w:bidi w:val="0"/>
        <w:adjustRightInd/>
        <w:snapToGrid/>
        <w:spacing w:before="0" w:beforeAutospacing="0" w:after="0"/>
        <w:ind w:firstLine="480" w:firstLineChars="200"/>
        <w:textAlignment w:val="auto"/>
        <w:rPr>
          <w:rFonts w:hint="eastAsia" w:hAnsi="宋体" w:eastAsia="宋体" w:cs="Times New Roman"/>
          <w:lang w:val="en-US" w:eastAsia="zh-CN"/>
        </w:rPr>
      </w:pPr>
      <w:r>
        <w:rPr>
          <w:rFonts w:hint="eastAsia" w:hAnsi="宋体" w:eastAsia="宋体" w:cs="Times New Roman"/>
          <w:lang w:eastAsia="zh-CN"/>
        </w:rPr>
        <w:t>本项目为</w:t>
      </w:r>
      <w:r>
        <w:rPr>
          <w:rFonts w:hint="eastAsia" w:hAnsi="宋体" w:eastAsia="宋体" w:cs="Times New Roman"/>
          <w:lang w:val="en-US" w:eastAsia="zh-CN"/>
        </w:rPr>
        <w:t>崇左供电局</w:t>
      </w:r>
      <w:bookmarkStart w:id="35" w:name="_GoBack"/>
      <w:bookmarkEnd w:id="35"/>
      <w:r>
        <w:rPr>
          <w:rFonts w:hint="eastAsia" w:hAnsi="宋体" w:eastAsia="宋体" w:cs="Times New Roman"/>
          <w:lang w:val="en-US" w:eastAsia="zh-CN"/>
        </w:rPr>
        <w:t>研制、加工一套具备收缩展放功能的输电线路防鸟粪伞群绝缘挡板。“具备收缩展放功能的输电线路防鸟粪伞群绝缘挡板”项目研究内容如下：</w:t>
      </w:r>
    </w:p>
    <w:p>
      <w:pPr>
        <w:pStyle w:val="2"/>
        <w:keepNext w:val="0"/>
        <w:keepLines w:val="0"/>
        <w:pageBreakBefore w:val="0"/>
        <w:widowControl/>
        <w:kinsoku/>
        <w:wordWrap/>
        <w:overflowPunct/>
        <w:topLinePunct w:val="0"/>
        <w:autoSpaceDE/>
        <w:autoSpaceDN/>
        <w:bidi w:val="0"/>
        <w:adjustRightInd/>
        <w:snapToGrid/>
        <w:spacing w:before="0" w:beforeAutospacing="0" w:after="0"/>
        <w:ind w:firstLine="480" w:firstLineChars="200"/>
        <w:textAlignment w:val="auto"/>
        <w:rPr>
          <w:rFonts w:hint="eastAsia" w:hAnsi="宋体" w:eastAsia="宋体" w:cs="Times New Roman"/>
          <w:lang w:val="en-US" w:eastAsia="zh-CN"/>
        </w:rPr>
      </w:pPr>
      <w:r>
        <w:rPr>
          <w:rFonts w:hint="eastAsia" w:hAnsi="宋体" w:eastAsia="宋体" w:cs="Times New Roman"/>
          <w:lang w:val="en-US" w:eastAsia="zh-CN"/>
        </w:rPr>
        <w:t>随着自然环境不断改善，鸟类数量日益增多，近年来输电线路因鸟害引发的跳闸现象愈发频繁。鸟粪导致的故障主要有两类：一是鸟粪沿绝缘子表面下落形成导电通道，引发闪络；二是在排泄瞬间，稀质鸟粪直接桥接导线与横担间的空气间隙，造成瞬时短路。</w:t>
      </w:r>
    </w:p>
    <w:p>
      <w:pPr>
        <w:pStyle w:val="2"/>
        <w:keepNext w:val="0"/>
        <w:keepLines w:val="0"/>
        <w:pageBreakBefore w:val="0"/>
        <w:widowControl/>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hAnsi="宋体" w:eastAsia="宋体" w:cs="Times New Roman"/>
          <w:lang w:val="en-US" w:eastAsia="zh-CN"/>
        </w:rPr>
      </w:pPr>
      <w:r>
        <w:rPr>
          <w:rFonts w:hint="eastAsia" w:hAnsi="宋体" w:eastAsia="宋体" w:cs="Times New Roman"/>
          <w:lang w:val="en-US" w:eastAsia="zh-CN"/>
        </w:rPr>
        <w:t>目前，防鸟刺、声光驱鸟器、防鸟挡板、防鸟盒等防鸟措施均已应用于现场，但这些措施都存在一定弊端。例如，无法同时兼顾防止鸟粪和鸟巢、安装位置受限、鸟类适应后防鸟效果不佳、检修不便等诸多问题，导致输电线路出现不同程度的跳闸情况。</w:t>
      </w:r>
    </w:p>
    <w:p>
      <w:pPr>
        <w:pStyle w:val="2"/>
        <w:keepNext w:val="0"/>
        <w:keepLines w:val="0"/>
        <w:pageBreakBefore w:val="0"/>
        <w:widowControl/>
        <w:kinsoku/>
        <w:wordWrap/>
        <w:overflowPunct/>
        <w:topLinePunct w:val="0"/>
        <w:autoSpaceDE/>
        <w:autoSpaceDN/>
        <w:bidi w:val="0"/>
        <w:adjustRightInd/>
        <w:snapToGrid/>
        <w:spacing w:before="0" w:beforeAutospacing="0" w:after="0"/>
        <w:ind w:firstLine="480" w:firstLineChars="200"/>
        <w:textAlignment w:val="auto"/>
        <w:rPr>
          <w:rFonts w:hint="eastAsia" w:hAnsi="宋体" w:eastAsia="宋体" w:cs="Times New Roman"/>
          <w:lang w:val="en-US" w:eastAsia="zh-CN"/>
        </w:rPr>
      </w:pPr>
      <w:r>
        <w:rPr>
          <w:rFonts w:hint="eastAsia" w:hAnsi="宋体" w:eastAsia="宋体" w:cs="Times New Roman"/>
          <w:lang w:val="en-US" w:eastAsia="zh-CN"/>
        </w:rPr>
        <w:t>为解决当前现状问题，急需一种新型防鸟装置，该装置需既能兼顾防止鸟巢和鸟粪，又便于安装，同时方便对绝缘子和导线进行检修。</w:t>
      </w:r>
    </w:p>
    <w:p>
      <w:pPr>
        <w:pStyle w:val="2"/>
        <w:keepNext w:val="0"/>
        <w:keepLines w:val="0"/>
        <w:pageBreakBefore w:val="0"/>
        <w:widowControl/>
        <w:kinsoku/>
        <w:wordWrap/>
        <w:overflowPunct/>
        <w:topLinePunct w:val="0"/>
        <w:autoSpaceDE/>
        <w:autoSpaceDN/>
        <w:bidi w:val="0"/>
        <w:adjustRightInd/>
        <w:snapToGrid/>
        <w:spacing w:before="0" w:beforeAutospacing="0" w:after="0"/>
        <w:ind w:firstLine="480" w:firstLineChars="200"/>
        <w:textAlignment w:val="auto"/>
        <w:rPr>
          <w:rFonts w:hint="eastAsia" w:hAnsi="宋体" w:eastAsia="宋体" w:cs="Times New Roman"/>
          <w:lang w:eastAsia="zh-CN"/>
        </w:rPr>
      </w:pPr>
      <w:r>
        <w:rPr>
          <w:rFonts w:hint="eastAsia" w:hAnsi="宋体" w:eastAsia="宋体" w:cs="Times New Roman"/>
          <w:lang w:eastAsia="zh-CN"/>
        </w:rPr>
        <w:t>该装置的结构由扇形绝缘板及中间的折叠绝缘骨架构成，装置边沿设有锁扣，可将其锁定为圆形结构。检修时，打开锁扣，折叠扇形绝缘板，以便对绝缘子进行检修。安装时，将该装置的内圆打开，扣至第一片绝缘子碗头位置，然后闭锁，即可完成安装。</w:t>
      </w:r>
    </w:p>
    <w:p>
      <w:pPr>
        <w:pStyle w:val="2"/>
        <w:keepNext w:val="0"/>
        <w:keepLines w:val="0"/>
        <w:pageBreakBefore w:val="0"/>
        <w:widowControl/>
        <w:kinsoku/>
        <w:wordWrap/>
        <w:overflowPunct/>
        <w:topLinePunct w:val="0"/>
        <w:autoSpaceDE/>
        <w:autoSpaceDN/>
        <w:bidi w:val="0"/>
        <w:adjustRightInd/>
        <w:snapToGrid/>
        <w:spacing w:before="0" w:beforeAutospacing="0" w:after="0"/>
        <w:ind w:firstLine="480" w:firstLineChars="200"/>
        <w:textAlignment w:val="auto"/>
        <w:rPr>
          <w:rFonts w:hint="eastAsia" w:hAnsi="宋体" w:eastAsia="宋体" w:cs="Times New Roman"/>
          <w:lang w:eastAsia="zh-CN"/>
        </w:rPr>
      </w:pPr>
      <w:r>
        <w:rPr>
          <w:rFonts w:hint="eastAsia" w:hAnsi="宋体" w:eastAsia="宋体" w:cs="Times New Roman"/>
          <w:lang w:eastAsia="zh-CN"/>
        </w:rPr>
        <w:t xml:space="preserve">伞群的大小根据输电线路的电压等级进行设置，以确保鸟粪和鸟巢不会掉落至绝缘子和导线上，从而达到防鸟效果。 </w:t>
      </w:r>
    </w:p>
    <w:p>
      <w:pPr>
        <w:pStyle w:val="5"/>
        <w:numPr>
          <w:ilvl w:val="0"/>
          <w:numId w:val="5"/>
        </w:numPr>
        <w:rPr>
          <w:rFonts w:hint="eastAsia" w:asciiTheme="minorEastAsia" w:hAnsiTheme="minorEastAsia" w:eastAsiaTheme="minorEastAsia" w:cstheme="minorEastAsia"/>
        </w:rPr>
      </w:pPr>
      <w:bookmarkStart w:id="26" w:name="_Toc19695"/>
      <w:r>
        <w:rPr>
          <w:rFonts w:hint="eastAsia" w:asciiTheme="minorEastAsia" w:hAnsiTheme="minorEastAsia" w:eastAsiaTheme="minorEastAsia" w:cstheme="minorEastAsia"/>
        </w:rPr>
        <w:t>技术指标要求</w:t>
      </w:r>
      <w:bookmarkEnd w:id="26"/>
    </w:p>
    <w:p>
      <w:pPr>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★1.技术参数要求</w:t>
      </w:r>
    </w:p>
    <w:tbl>
      <w:tblPr>
        <w:tblStyle w:val="10"/>
        <w:tblW w:w="92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2"/>
        <w:gridCol w:w="6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tcPr>
          <w:p>
            <w:pPr>
              <w:widowControl w:val="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项目</w:t>
            </w:r>
          </w:p>
        </w:tc>
        <w:tc>
          <w:tcPr>
            <w:tcW w:w="6732" w:type="dxa"/>
          </w:tcPr>
          <w:p>
            <w:pPr>
              <w:widowControl w:val="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tcPr>
          <w:p>
            <w:pPr>
              <w:widowControl w:val="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vertAlign w:val="baseline"/>
                <w:lang w:val="en-US" w:eastAsia="zh-CN"/>
              </w:rPr>
              <w:t>适用范围</w:t>
            </w:r>
          </w:p>
        </w:tc>
        <w:tc>
          <w:tcPr>
            <w:tcW w:w="6732" w:type="dxa"/>
          </w:tcPr>
          <w:p>
            <w:pPr>
              <w:widowControl w:val="0"/>
              <w:jc w:val="center"/>
              <w:rPr>
                <w:rFonts w:hint="eastAsia" w:asciiTheme="minorEastAsia" w:hAnsiTheme="minorEastAsia" w:eastAsiaTheme="minorEastAsia" w:cstheme="minorEastAsia"/>
                <w:highlight w:val="none"/>
                <w:vertAlign w:val="baseline"/>
              </w:rPr>
            </w:pPr>
            <w:r>
              <w:rPr>
                <w:rFonts w:hint="eastAsia" w:asciiTheme="minorEastAsia" w:hAnsiTheme="minorEastAsia" w:eastAsiaTheme="minorEastAsia" w:cstheme="minorEastAsia"/>
                <w:highlight w:val="none"/>
                <w:vertAlign w:val="baseline"/>
              </w:rPr>
              <w:t>适用于</w:t>
            </w:r>
            <w:r>
              <w:rPr>
                <w:rFonts w:hint="eastAsia" w:asciiTheme="minorEastAsia" w:hAnsiTheme="minorEastAsia" w:eastAsiaTheme="minorEastAsia" w:cstheme="minorEastAsia"/>
                <w:highlight w:val="none"/>
                <w:vertAlign w:val="baseline"/>
                <w:lang w:val="en-US" w:eastAsia="zh-CN"/>
              </w:rPr>
              <w:t>10kV</w:t>
            </w:r>
            <w:r>
              <w:rPr>
                <w:rFonts w:hint="eastAsia" w:ascii="宋体" w:hAnsi="宋体" w:eastAsia="宋体" w:cs="宋体"/>
                <w:highlight w:val="none"/>
                <w:vertAlign w:val="baseline"/>
                <w:lang w:val="en-US" w:eastAsia="zh-CN"/>
              </w:rPr>
              <w:t>～</w:t>
            </w:r>
            <w:r>
              <w:rPr>
                <w:rFonts w:hint="eastAsia" w:asciiTheme="minorEastAsia" w:hAnsiTheme="minorEastAsia" w:eastAsiaTheme="minorEastAsia" w:cstheme="minorEastAsia"/>
                <w:highlight w:val="none"/>
                <w:vertAlign w:val="baseline"/>
                <w:lang w:val="en-US" w:eastAsia="zh-CN"/>
              </w:rPr>
              <w:t>220kV</w:t>
            </w:r>
            <w:r>
              <w:rPr>
                <w:rFonts w:hint="eastAsia" w:asciiTheme="minorEastAsia" w:hAnsiTheme="minorEastAsia" w:eastAsiaTheme="minorEastAsia" w:cstheme="minorEastAsia"/>
                <w:highlight w:val="none"/>
                <w:vertAlign w:val="baseline"/>
              </w:rPr>
              <w:t>输电线路直线塔、跳线绝缘串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tcPr>
          <w:p>
            <w:pPr>
              <w:widowControl w:val="0"/>
              <w:jc w:val="center"/>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耐压等级</w:t>
            </w:r>
          </w:p>
        </w:tc>
        <w:tc>
          <w:tcPr>
            <w:tcW w:w="6732" w:type="dxa"/>
          </w:tcPr>
          <w:p>
            <w:pPr>
              <w:widowControl w:val="0"/>
              <w:jc w:val="center"/>
              <w:rPr>
                <w:rFonts w:hint="default" w:asciiTheme="minorEastAsia" w:hAnsiTheme="minorEastAsia" w:eastAsiaTheme="minorEastAsia" w:cstheme="minorEastAsia"/>
                <w:highlight w:val="none"/>
                <w:vertAlign w:val="baseline"/>
                <w:lang w:val="en-US" w:eastAsia="zh-CN"/>
              </w:rPr>
            </w:pPr>
            <w:r>
              <w:rPr>
                <w:rFonts w:hint="eastAsia" w:asciiTheme="minorEastAsia" w:hAnsiTheme="minorEastAsia" w:eastAsiaTheme="minorEastAsia" w:cstheme="minorEastAsia"/>
                <w:highlight w:val="none"/>
                <w:vertAlign w:val="baseline"/>
              </w:rPr>
              <w:t>主体材质的工频耐压试验电压应≥</w:t>
            </w:r>
            <w:r>
              <w:rPr>
                <w:rFonts w:hint="eastAsia" w:asciiTheme="minorEastAsia" w:hAnsiTheme="minorEastAsia" w:eastAsiaTheme="minorEastAsia" w:cstheme="minorEastAsia"/>
                <w:highlight w:val="none"/>
                <w:vertAlign w:val="baseline"/>
                <w:lang w:val="en-US" w:eastAsia="zh-CN"/>
              </w:rPr>
              <w:t>220kV</w:t>
            </w:r>
            <w:r>
              <w:rPr>
                <w:rFonts w:hint="eastAsia" w:asciiTheme="minorEastAsia" w:hAnsiTheme="minorEastAsia" w:eastAsiaTheme="minorEastAsia" w:cstheme="minorEastAsia"/>
                <w:highlight w:val="none"/>
                <w:vertAlign w:val="baseline"/>
              </w:rPr>
              <w:t>（持续1分钟不击穿），适用于</w:t>
            </w:r>
            <w:r>
              <w:rPr>
                <w:rFonts w:hint="eastAsia" w:asciiTheme="minorEastAsia" w:hAnsiTheme="minorEastAsia" w:eastAsiaTheme="minorEastAsia" w:cstheme="minorEastAsia"/>
                <w:highlight w:val="none"/>
                <w:vertAlign w:val="baseline"/>
                <w:lang w:val="en-US" w:eastAsia="zh-CN"/>
              </w:rPr>
              <w:t>220kV及以下</w:t>
            </w:r>
            <w:r>
              <w:rPr>
                <w:rFonts w:hint="eastAsia" w:asciiTheme="minorEastAsia" w:hAnsiTheme="minorEastAsia" w:eastAsiaTheme="minorEastAsia" w:cstheme="minorEastAsia"/>
                <w:highlight w:val="none"/>
                <w:vertAlign w:val="baseline"/>
              </w:rPr>
              <w:t>电压等级的输电线</w:t>
            </w:r>
            <w:r>
              <w:rPr>
                <w:rFonts w:hint="eastAsia" w:asciiTheme="minorEastAsia" w:hAnsiTheme="minorEastAsia" w:eastAsiaTheme="minorEastAsia" w:cstheme="minorEastAsia"/>
                <w:highlight w:val="none"/>
                <w:vertAlign w:val="baseline"/>
                <w:lang w:val="en-US" w:eastAsia="zh-CN"/>
              </w:rPr>
              <w:t>路设备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Align w:val="center"/>
          </w:tcPr>
          <w:p>
            <w:pPr>
              <w:widowControl w:val="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环境耐受</w:t>
            </w:r>
          </w:p>
        </w:tc>
        <w:tc>
          <w:tcPr>
            <w:tcW w:w="6732" w:type="dxa"/>
          </w:tcPr>
          <w:p>
            <w:pPr>
              <w:widowControl w:val="0"/>
              <w:jc w:val="center"/>
              <w:rPr>
                <w:rFonts w:hint="eastAsia" w:asciiTheme="minorEastAsia" w:hAnsiTheme="minorEastAsia" w:eastAsiaTheme="minorEastAsia" w:cstheme="minorEastAsia"/>
                <w:highlight w:val="none"/>
                <w:vertAlign w:val="baseline"/>
              </w:rPr>
            </w:pPr>
            <w:r>
              <w:rPr>
                <w:rFonts w:hint="eastAsia" w:asciiTheme="minorEastAsia" w:hAnsiTheme="minorEastAsia" w:eastAsiaTheme="minorEastAsia" w:cstheme="minorEastAsia"/>
                <w:highlight w:val="none"/>
                <w:vertAlign w:val="baseline"/>
              </w:rPr>
              <w:t>能在 -40</w:t>
            </w:r>
            <w:r>
              <w:rPr>
                <w:rFonts w:hint="eastAsia" w:asciiTheme="minorEastAsia" w:hAnsiTheme="minorEastAsia" w:eastAsiaTheme="minorEastAsia" w:cstheme="minorEastAsia"/>
                <w:highlight w:val="none"/>
                <w:vertAlign w:val="baseline"/>
                <w:lang w:val="en-US" w:eastAsia="zh-CN"/>
              </w:rPr>
              <w:t>℃</w:t>
            </w:r>
            <w:r>
              <w:rPr>
                <w:rFonts w:hint="eastAsia" w:asciiTheme="minorEastAsia" w:hAnsiTheme="minorEastAsia" w:eastAsiaTheme="minorEastAsia" w:cstheme="minorEastAsia"/>
                <w:highlight w:val="none"/>
                <w:vertAlign w:val="baseline"/>
              </w:rPr>
              <w:t>至 +70</w:t>
            </w:r>
            <w:r>
              <w:rPr>
                <w:rFonts w:hint="eastAsia" w:asciiTheme="minorEastAsia" w:hAnsiTheme="minorEastAsia" w:eastAsiaTheme="minorEastAsia" w:cstheme="minorEastAsia"/>
                <w:highlight w:val="none"/>
                <w:vertAlign w:val="baseline"/>
                <w:lang w:val="en-US" w:eastAsia="zh-CN"/>
              </w:rPr>
              <w:t>℃</w:t>
            </w:r>
            <w:r>
              <w:rPr>
                <w:rFonts w:hint="eastAsia" w:asciiTheme="minorEastAsia" w:hAnsiTheme="minorEastAsia" w:eastAsiaTheme="minorEastAsia" w:cstheme="minorEastAsia"/>
                <w:highlight w:val="none"/>
                <w:vertAlign w:val="baseline"/>
              </w:rPr>
              <w:t>的环境温度下长期正常运行，并耐受紫外线、潮湿、盐雾等恶劣气候条件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tcPr>
          <w:p>
            <w:pPr>
              <w:widowControl w:val="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抗风性能</w:t>
            </w:r>
          </w:p>
        </w:tc>
        <w:tc>
          <w:tcPr>
            <w:tcW w:w="6732" w:type="dxa"/>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在展放状态下，能承受30m/s 的风速而不发生永久变形或损坏。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Merge w:val="restart"/>
            <w:vAlign w:val="center"/>
          </w:tcPr>
          <w:p>
            <w:pPr>
              <w:widowControl w:val="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结构尺寸</w:t>
            </w:r>
          </w:p>
        </w:tc>
        <w:tc>
          <w:tcPr>
            <w:tcW w:w="6732" w:type="dxa"/>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展放后覆盖宽度≥ 横担宽度500mm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Merge w:val="continue"/>
          </w:tcPr>
          <w:p>
            <w:pPr>
              <w:widowControl w:val="0"/>
              <w:jc w:val="center"/>
              <w:rPr>
                <w:rFonts w:hint="eastAsia" w:asciiTheme="minorEastAsia" w:hAnsiTheme="minorEastAsia" w:eastAsiaTheme="minorEastAsia" w:cstheme="minorEastAsia"/>
                <w:vertAlign w:val="baseline"/>
                <w:lang w:val="en-US" w:eastAsia="zh-CN"/>
              </w:rPr>
            </w:pPr>
          </w:p>
        </w:tc>
        <w:tc>
          <w:tcPr>
            <w:tcW w:w="6732" w:type="dxa"/>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收缩后整体厚度≤ 150mm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Merge w:val="continue"/>
          </w:tcPr>
          <w:p>
            <w:pPr>
              <w:widowControl w:val="0"/>
              <w:jc w:val="center"/>
              <w:rPr>
                <w:rFonts w:hint="eastAsia" w:asciiTheme="minorEastAsia" w:hAnsiTheme="minorEastAsia" w:eastAsiaTheme="minorEastAsia" w:cstheme="minorEastAsia"/>
                <w:vertAlign w:val="baseline"/>
              </w:rPr>
            </w:pPr>
          </w:p>
        </w:tc>
        <w:tc>
          <w:tcPr>
            <w:tcW w:w="6732" w:type="dxa"/>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伞裙间距与倾角符合DL/T 2678-2023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Merge w:val="restart"/>
            <w:vAlign w:val="center"/>
          </w:tcPr>
          <w:p>
            <w:pPr>
              <w:widowControl w:val="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结构功能</w:t>
            </w:r>
          </w:p>
        </w:tc>
        <w:tc>
          <w:tcPr>
            <w:tcW w:w="6732" w:type="dxa"/>
          </w:tcPr>
          <w:p>
            <w:pPr>
              <w:widowControl w:val="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具备收缩展放机制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Merge w:val="continue"/>
          </w:tcPr>
          <w:p>
            <w:pPr>
              <w:widowControl w:val="0"/>
              <w:jc w:val="center"/>
              <w:rPr>
                <w:rFonts w:hint="eastAsia" w:asciiTheme="minorEastAsia" w:hAnsiTheme="minorEastAsia" w:eastAsiaTheme="minorEastAsia" w:cstheme="minorEastAsia"/>
                <w:vertAlign w:val="baseline"/>
              </w:rPr>
            </w:pPr>
          </w:p>
        </w:tc>
        <w:tc>
          <w:tcPr>
            <w:tcW w:w="6732" w:type="dxa"/>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展放/收缩时间≤ 60秒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Merge w:val="restart"/>
            <w:vAlign w:val="center"/>
          </w:tcPr>
          <w:p>
            <w:pPr>
              <w:widowControl w:val="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主体材质</w:t>
            </w:r>
          </w:p>
        </w:tc>
        <w:tc>
          <w:tcPr>
            <w:tcW w:w="6732" w:type="dxa"/>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扇形绝缘板采用高强度环氧树脂绝缘板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Merge w:val="continue"/>
          </w:tcPr>
          <w:p>
            <w:pPr>
              <w:widowControl w:val="0"/>
              <w:jc w:val="center"/>
              <w:rPr>
                <w:rFonts w:hint="eastAsia" w:asciiTheme="minorEastAsia" w:hAnsiTheme="minorEastAsia" w:eastAsiaTheme="minorEastAsia" w:cstheme="minorEastAsia"/>
                <w:vertAlign w:val="baseline"/>
                <w:lang w:val="en-US" w:eastAsia="zh-CN"/>
              </w:rPr>
            </w:pPr>
          </w:p>
        </w:tc>
        <w:tc>
          <w:tcPr>
            <w:tcW w:w="6732" w:type="dxa"/>
          </w:tcPr>
          <w:p>
            <w:pPr>
              <w:widowControl w:val="0"/>
              <w:jc w:val="center"/>
              <w:rPr>
                <w:rFonts w:hint="eastAsia"/>
              </w:rPr>
            </w:pPr>
            <w:r>
              <w:rPr>
                <w:rFonts w:hint="eastAsia" w:asciiTheme="minorEastAsia" w:hAnsiTheme="minorEastAsia" w:eastAsiaTheme="minorEastAsia" w:cstheme="minorEastAsia"/>
                <w:vertAlign w:val="baseline"/>
              </w:rPr>
              <w:t>绝缘折叠骨架采用玻璃纤维增强环氧树脂复合材料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Align w:val="top"/>
          </w:tcPr>
          <w:p>
            <w:pPr>
              <w:widowControl w:val="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驱动方式</w:t>
            </w:r>
          </w:p>
        </w:tc>
        <w:tc>
          <w:tcPr>
            <w:tcW w:w="6732" w:type="dxa"/>
            <w:vAlign w:val="top"/>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lang w:val="en-US" w:eastAsia="zh-CN"/>
              </w:rPr>
              <w:t>手动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Align w:val="top"/>
          </w:tcPr>
          <w:p>
            <w:pPr>
              <w:widowControl w:val="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最大载荷</w:t>
            </w:r>
          </w:p>
        </w:tc>
        <w:tc>
          <w:tcPr>
            <w:tcW w:w="6732" w:type="dxa"/>
            <w:vAlign w:val="top"/>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不低于 0.3 kN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22" w:type="dxa"/>
            <w:vAlign w:val="top"/>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lang w:val="en-US" w:eastAsia="zh-CN"/>
              </w:rPr>
              <w:t>总体重量</w:t>
            </w:r>
          </w:p>
        </w:tc>
        <w:tc>
          <w:tcPr>
            <w:tcW w:w="6732" w:type="dxa"/>
            <w:vAlign w:val="top"/>
          </w:tcPr>
          <w:p>
            <w:pPr>
              <w:widowControl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不超过 </w:t>
            </w:r>
            <w:r>
              <w:rPr>
                <w:rFonts w:hint="eastAsia" w:asciiTheme="minorEastAsia" w:hAnsiTheme="minorEastAsia" w:eastAsiaTheme="minorEastAsia" w:cstheme="minorEastAsia"/>
                <w:vertAlign w:val="baseline"/>
                <w:lang w:val="en-US" w:eastAsia="zh-CN"/>
              </w:rPr>
              <w:t>1</w:t>
            </w:r>
            <w:r>
              <w:rPr>
                <w:rFonts w:hint="eastAsia" w:asciiTheme="minorEastAsia" w:hAnsiTheme="minorEastAsia" w:eastAsiaTheme="minorEastAsia" w:cstheme="minorEastAsia"/>
                <w:vertAlign w:val="baseline"/>
              </w:rPr>
              <w:t xml:space="preserve"> kg</w:t>
            </w:r>
          </w:p>
        </w:tc>
      </w:tr>
    </w:tbl>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rPr>
      </w:pP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rPr>
      </w:pPr>
      <w:r>
        <w:rPr>
          <w:rFonts w:hint="eastAsia" w:cs="Times New Roman" w:asciiTheme="minorEastAsia" w:hAnsiTheme="minorEastAsia" w:eastAsiaTheme="minorEastAsia"/>
          <w:szCs w:val="24"/>
        </w:rPr>
        <w:t>★2. 功能要求</w:t>
      </w: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rPr>
      </w:pPr>
      <w:bookmarkStart w:id="27" w:name="_Toc296345829"/>
      <w:bookmarkStart w:id="28" w:name="_Toc533162600"/>
      <w:bookmarkStart w:id="29" w:name="_Toc533162582"/>
      <w:bookmarkStart w:id="30" w:name="_Toc294771959"/>
      <w:r>
        <w:rPr>
          <w:rFonts w:hint="eastAsia" w:cs="Times New Roman" w:asciiTheme="minorEastAsia" w:hAnsiTheme="minorEastAsia" w:eastAsiaTheme="minorEastAsia"/>
          <w:szCs w:val="24"/>
        </w:rPr>
        <w:t>具备收缩展放功能的输电线路防鸟粪伞群绝缘挡板：</w:t>
      </w: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rPr>
      </w:pPr>
      <w:r>
        <w:rPr>
          <w:rFonts w:hint="eastAsia" w:cs="Times New Roman" w:asciiTheme="minorEastAsia" w:hAnsiTheme="minorEastAsia" w:eastAsiaTheme="minorEastAsia"/>
          <w:szCs w:val="24"/>
        </w:rPr>
        <w:t>（1）主体结构：采用玻璃纤维、环氧树脂等绝缘材料整体成型，表面光滑平整，无毛刺、尖棱、裂纹等缺陷。</w:t>
      </w: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rPr>
      </w:pPr>
      <w:r>
        <w:rPr>
          <w:rFonts w:hint="eastAsia" w:cs="Times New Roman" w:asciiTheme="minorEastAsia" w:hAnsiTheme="minorEastAsia" w:eastAsiaTheme="minorEastAsia"/>
          <w:szCs w:val="24"/>
        </w:rPr>
        <w:t>（2）核心功能：具备可靠的手动控制的收缩与展放功能，动作过程平稳、定位准确。</w:t>
      </w: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lang w:eastAsia="zh-CN"/>
        </w:rPr>
      </w:pPr>
      <w:r>
        <w:rPr>
          <w:rFonts w:hint="eastAsia" w:cs="Times New Roman" w:asciiTheme="minorEastAsia" w:hAnsiTheme="minorEastAsia" w:eastAsiaTheme="minorEastAsia"/>
          <w:szCs w:val="24"/>
        </w:rPr>
        <w:t>（3）</w:t>
      </w:r>
      <w:r>
        <w:rPr>
          <w:rFonts w:hint="eastAsia" w:cs="Times New Roman" w:asciiTheme="minorEastAsia" w:hAnsiTheme="minorEastAsia" w:eastAsiaTheme="minorEastAsia"/>
          <w:szCs w:val="24"/>
          <w:lang w:val="en-US" w:eastAsia="zh-CN"/>
        </w:rPr>
        <w:t>防护功能</w:t>
      </w:r>
      <w:r>
        <w:rPr>
          <w:rFonts w:hint="eastAsia" w:cs="Times New Roman" w:asciiTheme="minorEastAsia" w:hAnsiTheme="minorEastAsia" w:eastAsiaTheme="minorEastAsia"/>
          <w:szCs w:val="24"/>
        </w:rPr>
        <w:t>：展放状态下，能有效遮挡绝缘子串上方区域，防止鸟粪直接滴落于绝缘子表面或形成桥接导通的通道</w:t>
      </w:r>
      <w:r>
        <w:rPr>
          <w:rFonts w:hint="eastAsia" w:cs="Times New Roman" w:asciiTheme="minorEastAsia" w:hAnsiTheme="minorEastAsia" w:eastAsiaTheme="minorEastAsia"/>
          <w:szCs w:val="24"/>
          <w:lang w:eastAsia="zh-CN"/>
        </w:rPr>
        <w:t>。</w:t>
      </w: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lang w:eastAsia="zh-CN"/>
        </w:rPr>
      </w:pPr>
      <w:r>
        <w:rPr>
          <w:rFonts w:hint="eastAsia" w:cs="Times New Roman" w:asciiTheme="minorEastAsia" w:hAnsiTheme="minorEastAsia" w:eastAsiaTheme="minorEastAsia"/>
          <w:szCs w:val="24"/>
          <w:lang w:eastAsia="zh-CN"/>
        </w:rPr>
        <w:t>（</w:t>
      </w:r>
      <w:r>
        <w:rPr>
          <w:rFonts w:hint="eastAsia" w:cs="Times New Roman" w:asciiTheme="minorEastAsia" w:hAnsiTheme="minorEastAsia" w:eastAsiaTheme="minorEastAsia"/>
          <w:szCs w:val="24"/>
          <w:lang w:val="en-US" w:eastAsia="zh-CN"/>
        </w:rPr>
        <w:t>4</w:t>
      </w:r>
      <w:r>
        <w:rPr>
          <w:rFonts w:hint="eastAsia" w:cs="Times New Roman" w:asciiTheme="minorEastAsia" w:hAnsiTheme="minorEastAsia" w:eastAsiaTheme="minorEastAsia"/>
          <w:szCs w:val="24"/>
          <w:lang w:eastAsia="zh-CN"/>
        </w:rPr>
        <w:t>）绝缘性能：装置本体在干燥、淋雨及污秽条件下，均应满足相应电压等级的绝缘要求。</w:t>
      </w: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lang w:eastAsia="zh-CN"/>
        </w:rPr>
      </w:pPr>
      <w:r>
        <w:rPr>
          <w:rFonts w:hint="eastAsia" w:cs="Times New Roman" w:asciiTheme="minorEastAsia" w:hAnsiTheme="minorEastAsia" w:eastAsiaTheme="minorEastAsia"/>
          <w:szCs w:val="24"/>
          <w:lang w:eastAsia="zh-CN"/>
        </w:rPr>
        <w:t>（</w:t>
      </w:r>
      <w:r>
        <w:rPr>
          <w:rFonts w:hint="eastAsia" w:cs="Times New Roman" w:asciiTheme="minorEastAsia" w:hAnsiTheme="minorEastAsia" w:eastAsiaTheme="minorEastAsia"/>
          <w:szCs w:val="24"/>
          <w:lang w:val="en-US" w:eastAsia="zh-CN"/>
        </w:rPr>
        <w:t>5</w:t>
      </w:r>
      <w:r>
        <w:rPr>
          <w:rFonts w:hint="eastAsia" w:cs="Times New Roman" w:asciiTheme="minorEastAsia" w:hAnsiTheme="minorEastAsia" w:eastAsiaTheme="minorEastAsia"/>
          <w:szCs w:val="24"/>
          <w:lang w:eastAsia="zh-CN"/>
        </w:rPr>
        <w:t>）排水性能：伞裙表面应利于雨水冲刷，避免积污积水。</w:t>
      </w: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lang w:eastAsia="zh-CN"/>
        </w:rPr>
      </w:pPr>
      <w:r>
        <w:rPr>
          <w:rFonts w:hint="eastAsia" w:cs="Times New Roman" w:asciiTheme="minorEastAsia" w:hAnsiTheme="minorEastAsia" w:eastAsiaTheme="minorEastAsia"/>
          <w:szCs w:val="24"/>
          <w:lang w:eastAsia="zh-CN"/>
        </w:rPr>
        <w:t>（</w:t>
      </w:r>
      <w:r>
        <w:rPr>
          <w:rFonts w:hint="eastAsia" w:cs="Times New Roman" w:asciiTheme="minorEastAsia" w:hAnsiTheme="minorEastAsia" w:eastAsiaTheme="minorEastAsia"/>
          <w:szCs w:val="24"/>
          <w:lang w:val="en-US" w:eastAsia="zh-CN"/>
        </w:rPr>
        <w:t>6</w:t>
      </w:r>
      <w:r>
        <w:rPr>
          <w:rFonts w:hint="eastAsia" w:cs="Times New Roman" w:asciiTheme="minorEastAsia" w:hAnsiTheme="minorEastAsia" w:eastAsiaTheme="minorEastAsia"/>
          <w:szCs w:val="24"/>
          <w:lang w:eastAsia="zh-CN"/>
        </w:rPr>
        <w:t>）检修便利性：锁扣开启后可折叠扇形板，实现对绝缘子及导线的无障碍检修。</w:t>
      </w:r>
    </w:p>
    <w:p>
      <w:pPr>
        <w:adjustRightInd w:val="0"/>
        <w:snapToGrid w:val="0"/>
        <w:spacing w:before="0" w:beforeAutospacing="0" w:after="0" w:afterAutospacing="0"/>
        <w:ind w:firstLine="240" w:firstLineChars="100"/>
        <w:rPr>
          <w:rFonts w:hint="eastAsia" w:cs="Times New Roman" w:asciiTheme="minorEastAsia" w:hAnsiTheme="minorEastAsia" w:eastAsiaTheme="minorEastAsia"/>
          <w:szCs w:val="24"/>
          <w:lang w:eastAsia="zh-CN"/>
        </w:rPr>
      </w:pPr>
      <w:r>
        <w:rPr>
          <w:rFonts w:hint="eastAsia" w:cs="Times New Roman" w:asciiTheme="minorEastAsia" w:hAnsiTheme="minorEastAsia" w:eastAsiaTheme="minorEastAsia"/>
          <w:szCs w:val="24"/>
          <w:lang w:eastAsia="zh-CN"/>
        </w:rPr>
        <w:t>（</w:t>
      </w:r>
      <w:r>
        <w:rPr>
          <w:rFonts w:hint="eastAsia" w:cs="Times New Roman" w:asciiTheme="minorEastAsia" w:hAnsiTheme="minorEastAsia" w:eastAsiaTheme="minorEastAsia"/>
          <w:szCs w:val="24"/>
          <w:lang w:val="en-US" w:eastAsia="zh-CN"/>
        </w:rPr>
        <w:t>7</w:t>
      </w:r>
      <w:r>
        <w:rPr>
          <w:rFonts w:hint="eastAsia" w:cs="Times New Roman" w:asciiTheme="minorEastAsia" w:hAnsiTheme="minorEastAsia" w:eastAsiaTheme="minorEastAsia"/>
          <w:szCs w:val="24"/>
          <w:lang w:eastAsia="zh-CN"/>
        </w:rPr>
        <w:t>）兼容性：装置结构应与主流塔型的横担（角钢）牢固连接，不影响线路原有的电气性能与机械强度。</w:t>
      </w:r>
    </w:p>
    <w:bookmarkEnd w:id="27"/>
    <w:bookmarkEnd w:id="28"/>
    <w:bookmarkEnd w:id="29"/>
    <w:bookmarkEnd w:id="30"/>
    <w:p>
      <w:pPr>
        <w:pStyle w:val="4"/>
        <w:numPr>
          <w:ilvl w:val="0"/>
          <w:numId w:val="1"/>
        </w:numPr>
        <w:spacing w:before="0" w:after="0" w:line="36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研究开发成果交付</w:t>
      </w:r>
      <w:bookmarkEnd w:id="24"/>
      <w:r>
        <w:rPr>
          <w:rFonts w:hint="eastAsia" w:asciiTheme="minorEastAsia" w:hAnsiTheme="minorEastAsia" w:eastAsiaTheme="minorEastAsia" w:cstheme="minorEastAsia"/>
          <w:color w:val="000000"/>
          <w:sz w:val="28"/>
          <w:szCs w:val="28"/>
        </w:rPr>
        <w:t>物</w:t>
      </w:r>
      <w:bookmarkEnd w:id="25"/>
    </w:p>
    <w:p>
      <w:pPr>
        <w:ind w:firstLine="480"/>
        <w:jc w:val="center"/>
        <w:rPr>
          <w:rFonts w:hint="eastAsia" w:asciiTheme="minorEastAsia" w:hAnsiTheme="minorEastAsia" w:eastAsiaTheme="minorEastAsia" w:cstheme="minorEastAsia"/>
        </w:rPr>
      </w:pPr>
      <w:bookmarkStart w:id="31" w:name="_Toc480800901"/>
      <w:r>
        <w:rPr>
          <w:rFonts w:hint="eastAsia" w:asciiTheme="minorEastAsia" w:hAnsiTheme="minorEastAsia" w:eastAsiaTheme="minorEastAsia" w:cstheme="minorEastAsia"/>
        </w:rPr>
        <w:t>表1 研究开发成果交付的形式和数量</w:t>
      </w:r>
      <w:bookmarkEnd w:id="31"/>
    </w:p>
    <w:tbl>
      <w:tblPr>
        <w:tblStyle w:val="9"/>
        <w:tblW w:w="8416" w:type="dxa"/>
        <w:tblInd w:w="-5" w:type="dxa"/>
        <w:tblLayout w:type="fixed"/>
        <w:tblCellMar>
          <w:top w:w="0" w:type="dxa"/>
          <w:left w:w="0" w:type="dxa"/>
          <w:bottom w:w="0" w:type="dxa"/>
          <w:right w:w="0" w:type="dxa"/>
        </w:tblCellMar>
      </w:tblPr>
      <w:tblGrid>
        <w:gridCol w:w="645"/>
        <w:gridCol w:w="2465"/>
        <w:gridCol w:w="1016"/>
        <w:gridCol w:w="856"/>
        <w:gridCol w:w="1366"/>
        <w:gridCol w:w="2068"/>
      </w:tblGrid>
      <w:tr>
        <w:tblPrEx>
          <w:tblLayout w:type="fixed"/>
          <w:tblCellMar>
            <w:top w:w="0" w:type="dxa"/>
            <w:left w:w="0" w:type="dxa"/>
            <w:bottom w:w="0" w:type="dxa"/>
            <w:right w:w="0" w:type="dxa"/>
          </w:tblCellMar>
        </w:tblPrEx>
        <w:trPr>
          <w:trHeight w:val="535" w:hRule="atLeast"/>
          <w:tblHeader/>
        </w:trPr>
        <w:tc>
          <w:tcPr>
            <w:tcW w:w="645" w:type="dxa"/>
            <w:tcBorders>
              <w:top w:val="single" w:color="auto" w:sz="4" w:space="0"/>
              <w:left w:val="single" w:color="auto" w:sz="4" w:space="0"/>
              <w:bottom w:val="single" w:color="auto" w:sz="4" w:space="0"/>
              <w:right w:val="single" w:color="000000" w:sz="4" w:space="0"/>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序号</w:t>
            </w:r>
          </w:p>
        </w:tc>
        <w:tc>
          <w:tcPr>
            <w:tcW w:w="2465" w:type="dxa"/>
            <w:tcBorders>
              <w:top w:val="single" w:color="000000" w:sz="4" w:space="0"/>
              <w:left w:val="nil"/>
              <w:bottom w:val="single" w:color="auto" w:sz="4" w:space="0"/>
              <w:right w:val="single" w:color="000000" w:sz="4" w:space="0"/>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成果名称</w:t>
            </w:r>
          </w:p>
        </w:tc>
        <w:tc>
          <w:tcPr>
            <w:tcW w:w="1016" w:type="dxa"/>
            <w:tcBorders>
              <w:top w:val="single" w:color="000000" w:sz="4" w:space="0"/>
              <w:left w:val="single" w:color="auto" w:sz="4" w:space="0"/>
              <w:bottom w:val="single" w:color="auto" w:sz="4" w:space="0"/>
              <w:right w:val="nil"/>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型号规格</w:t>
            </w:r>
          </w:p>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（如有）</w:t>
            </w: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数量</w:t>
            </w:r>
          </w:p>
        </w:tc>
        <w:tc>
          <w:tcPr>
            <w:tcW w:w="13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交付地点</w:t>
            </w: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备注</w:t>
            </w:r>
          </w:p>
        </w:tc>
      </w:tr>
      <w:tr>
        <w:tblPrEx>
          <w:tblLayout w:type="fixed"/>
          <w:tblCellMar>
            <w:top w:w="0" w:type="dxa"/>
            <w:left w:w="0" w:type="dxa"/>
            <w:bottom w:w="0" w:type="dxa"/>
            <w:right w:w="0" w:type="dxa"/>
          </w:tblCellMar>
        </w:tblPrEx>
        <w:trPr>
          <w:cantSplit/>
          <w:trHeight w:val="1695" w:hRule="atLeast"/>
        </w:trPr>
        <w:tc>
          <w:tcPr>
            <w:tcW w:w="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246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bCs/>
              </w:rPr>
              <w:t>具备收缩展放功能的输电线路防鸟粪伞群绝缘挡板</w:t>
            </w:r>
          </w:p>
        </w:tc>
        <w:tc>
          <w:tcPr>
            <w:tcW w:w="101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en-US" w:eastAsia="zh-CN"/>
              </w:rPr>
              <w:t>2</w:t>
            </w:r>
            <w:r>
              <w:rPr>
                <w:rFonts w:hint="eastAsia" w:asciiTheme="minorEastAsia" w:hAnsiTheme="minorEastAsia" w:eastAsiaTheme="minorEastAsia" w:cstheme="minorEastAsia"/>
                <w:szCs w:val="24"/>
              </w:rPr>
              <w:t>套</w:t>
            </w:r>
          </w:p>
        </w:tc>
        <w:tc>
          <w:tcPr>
            <w:tcW w:w="13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lang w:eastAsia="zh-CN"/>
              </w:rPr>
            </w:pPr>
            <w:r>
              <w:rPr>
                <w:rFonts w:hint="eastAsia" w:asciiTheme="minorEastAsia" w:hAnsiTheme="minorEastAsia" w:eastAsiaTheme="minorEastAsia" w:cstheme="minorEastAsia"/>
                <w:szCs w:val="24"/>
              </w:rPr>
              <w:t>广西</w:t>
            </w:r>
            <w:r>
              <w:rPr>
                <w:rFonts w:hint="eastAsia" w:asciiTheme="minorEastAsia" w:hAnsiTheme="minorEastAsia" w:eastAsiaTheme="minorEastAsia" w:cstheme="minorEastAsia"/>
                <w:szCs w:val="24"/>
                <w:lang w:val="en-US" w:eastAsia="zh-CN"/>
              </w:rPr>
              <w:t>崇左</w:t>
            </w: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符合技术指标要求</w:t>
            </w:r>
          </w:p>
        </w:tc>
      </w:tr>
      <w:tr>
        <w:tblPrEx>
          <w:tblLayout w:type="fixed"/>
          <w:tblCellMar>
            <w:top w:w="0" w:type="dxa"/>
            <w:left w:w="0" w:type="dxa"/>
            <w:bottom w:w="0" w:type="dxa"/>
            <w:right w:w="0" w:type="dxa"/>
          </w:tblCellMar>
        </w:tblPrEx>
        <w:trPr>
          <w:cantSplit/>
          <w:trHeight w:val="1695" w:hRule="atLeast"/>
        </w:trPr>
        <w:tc>
          <w:tcPr>
            <w:tcW w:w="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lang w:val="en-US" w:eastAsia="zh-CN"/>
              </w:rPr>
            </w:pPr>
            <w:r>
              <w:rPr>
                <w:rFonts w:hint="eastAsia" w:asciiTheme="minorEastAsia" w:hAnsiTheme="minorEastAsia" w:eastAsiaTheme="minorEastAsia" w:cstheme="minorEastAsia"/>
                <w:szCs w:val="24"/>
                <w:lang w:val="en-US" w:eastAsia="zh-CN"/>
              </w:rPr>
              <w:t>2</w:t>
            </w:r>
          </w:p>
        </w:tc>
        <w:tc>
          <w:tcPr>
            <w:tcW w:w="246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bCs/>
              </w:rPr>
            </w:pPr>
            <w:r>
              <w:rPr>
                <w:rFonts w:hint="eastAsia" w:ascii="宋体" w:hAnsi="宋体"/>
                <w:lang w:val="en-US" w:eastAsia="zh-CN"/>
              </w:rPr>
              <w:t>申请发明专利</w:t>
            </w:r>
          </w:p>
        </w:tc>
        <w:tc>
          <w:tcPr>
            <w:tcW w:w="101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r>
              <w:rPr>
                <w:rFonts w:hint="eastAsia" w:ascii="宋体" w:hAnsi="宋体" w:cs="宋体"/>
                <w:szCs w:val="24"/>
                <w:lang w:val="en-US" w:eastAsia="zh-CN"/>
              </w:rPr>
              <w:t>1项</w:t>
            </w:r>
          </w:p>
        </w:tc>
        <w:tc>
          <w:tcPr>
            <w:tcW w:w="13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szCs w:val="24"/>
              </w:rPr>
            </w:pPr>
            <w:r>
              <w:rPr>
                <w:rFonts w:hint="eastAsia" w:ascii="宋体" w:hAnsi="宋体" w:cs="宋体"/>
                <w:szCs w:val="24"/>
              </w:rPr>
              <w:t>广西</w:t>
            </w:r>
            <w:r>
              <w:rPr>
                <w:rFonts w:hint="eastAsia" w:ascii="宋体" w:hAnsi="宋体" w:cs="宋体"/>
                <w:szCs w:val="24"/>
                <w:lang w:eastAsia="zh-CN"/>
              </w:rPr>
              <w:t>崇左</w:t>
            </w: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rPr>
            </w:pPr>
            <w:r>
              <w:rPr>
                <w:rFonts w:hint="eastAsia" w:cs="Times New Roman"/>
                <w:sz w:val="24"/>
                <w:lang w:val="en-US" w:eastAsia="zh-CN" w:bidi="ar-SA"/>
              </w:rPr>
              <w:t>交付受理通知书</w:t>
            </w:r>
          </w:p>
        </w:tc>
      </w:tr>
      <w:bookmarkEnd w:id="0"/>
      <w:bookmarkEnd w:id="18"/>
    </w:tbl>
    <w:p>
      <w:pPr>
        <w:pStyle w:val="4"/>
        <w:numPr>
          <w:ilvl w:val="0"/>
          <w:numId w:val="1"/>
        </w:numPr>
        <w:spacing w:before="0" w:after="0" w:line="360" w:lineRule="auto"/>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其他要求</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.1</w:t>
      </w:r>
      <w:r>
        <w:rPr>
          <w:rFonts w:hint="eastAsia"/>
          <w:b/>
          <w:sz w:val="28"/>
        </w:rPr>
        <w:t>项目进度</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.1.1</w:t>
      </w:r>
      <w:r>
        <w:rPr>
          <w:rFonts w:hint="eastAsia" w:ascii="宋体"/>
          <w:sz w:val="24"/>
          <w:szCs w:val="24"/>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.2</w:t>
      </w:r>
      <w:r>
        <w:rPr>
          <w:rFonts w:hint="eastAsia"/>
          <w:b/>
          <w:sz w:val="28"/>
        </w:rPr>
        <w:t>项目联络</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.2.1</w:t>
      </w:r>
      <w:r>
        <w:rPr>
          <w:rFonts w:hint="eastAsia" w:ascii="宋体"/>
          <w:sz w:val="24"/>
          <w:szCs w:val="24"/>
        </w:rPr>
        <w:t>为审查和确认本项目的工作方案，便于合同按期执行，在项目实施中按需召开联络会，可进行多次，也可不召开。</w:t>
      </w:r>
    </w:p>
    <w:p>
      <w:pPr>
        <w:spacing w:line="360" w:lineRule="auto"/>
        <w:ind w:firstLine="480"/>
        <w:rPr>
          <w:rFonts w:ascii="宋体"/>
          <w:sz w:val="24"/>
          <w:szCs w:val="24"/>
        </w:rPr>
      </w:pPr>
      <w:r>
        <w:rPr>
          <w:rFonts w:hint="eastAsia" w:ascii="宋体"/>
          <w:sz w:val="24"/>
          <w:szCs w:val="24"/>
        </w:rPr>
        <w:t>联络会的内容如下：</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.3</w:t>
      </w:r>
      <w:r>
        <w:rPr>
          <w:rFonts w:hint="eastAsia"/>
          <w:b/>
          <w:sz w:val="28"/>
        </w:rPr>
        <w:t>评审与验收</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.3.1</w:t>
      </w: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.3.2</w:t>
      </w:r>
      <w:r>
        <w:rPr>
          <w:rFonts w:ascii="宋体"/>
          <w:sz w:val="24"/>
          <w:szCs w:val="24"/>
        </w:rPr>
        <w:t>招标方可根据合同及招标书和招标方的有关规定进行修改和补充,经双方确认后形成验收文件作为验收依据。验收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.4</w:t>
      </w:r>
      <w:r>
        <w:rPr>
          <w:rFonts w:hint="eastAsia"/>
          <w:b/>
          <w:sz w:val="28"/>
        </w:rPr>
        <w:t>技术资料和文件</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.4.1</w:t>
      </w:r>
      <w:r>
        <w:rPr>
          <w:rFonts w:hint="eastAsia" w:ascii="宋体"/>
          <w:sz w:val="24"/>
          <w:szCs w:val="24"/>
        </w:rPr>
        <w:t>投标方提供的文件和资料应能满足招标方进行维护和进一步完善的需要。</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.4.2</w:t>
      </w:r>
      <w:r>
        <w:rPr>
          <w:rFonts w:hint="eastAsia" w:ascii="宋体"/>
          <w:sz w:val="24"/>
          <w:szCs w:val="24"/>
        </w:rPr>
        <w:t>提供的图纸应符合标准规格。</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.4.3</w:t>
      </w:r>
      <w:r>
        <w:rPr>
          <w:rFonts w:hint="eastAsia" w:ascii="宋体"/>
          <w:sz w:val="24"/>
          <w:szCs w:val="24"/>
        </w:rPr>
        <w:t>投标方应向招标方提供项目的所有交付物（电子版）。</w:t>
      </w:r>
    </w:p>
    <w:p>
      <w:pPr>
        <w:pStyle w:val="18"/>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.5</w:t>
      </w:r>
      <w:r>
        <w:rPr>
          <w:rFonts w:hint="eastAsia"/>
          <w:b/>
          <w:sz w:val="28"/>
        </w:rPr>
        <w:t>售后服务</w:t>
      </w:r>
    </w:p>
    <w:p>
      <w:pPr>
        <w:numPr>
          <w:ilvl w:val="2"/>
          <w:numId w:val="0"/>
        </w:numPr>
        <w:spacing w:line="360" w:lineRule="auto"/>
        <w:ind w:left="0" w:leftChars="0" w:firstLine="480" w:firstLineChars="0"/>
        <w:rPr>
          <w:rFonts w:ascii="宋体" w:eastAsia="宋体" w:cs="Times New Roman"/>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.5.1</w:t>
      </w:r>
      <w:r>
        <w:rPr>
          <w:rFonts w:ascii="宋体"/>
          <w:sz w:val="24"/>
          <w:szCs w:val="24"/>
        </w:rPr>
        <w:t>合同签订后，响应</w:t>
      </w:r>
      <w:bookmarkStart w:id="32" w:name="_Toc72320160"/>
      <w:bookmarkStart w:id="33" w:name="_Toc103761492"/>
      <w:bookmarkStart w:id="34" w:name="_Toc110765302"/>
      <w:r>
        <w:rPr>
          <w:rFonts w:ascii="宋体"/>
          <w:sz w:val="24"/>
          <w:szCs w:val="24"/>
        </w:rPr>
        <w:t>方应指定负责本项目的项目经理，负责协调项目实施全过程</w:t>
      </w:r>
      <w:r>
        <w:rPr>
          <w:rFonts w:ascii="宋体" w:eastAsia="宋体" w:cs="Times New Roman"/>
          <w:sz w:val="24"/>
          <w:szCs w:val="24"/>
        </w:rPr>
        <w:t>的各项工作，如项目进度、测试验收等。</w:t>
      </w:r>
    </w:p>
    <w:p>
      <w:pPr>
        <w:numPr>
          <w:ilvl w:val="2"/>
          <w:numId w:val="0"/>
        </w:numPr>
        <w:spacing w:line="360" w:lineRule="auto"/>
        <w:ind w:left="0" w:leftChars="0" w:firstLine="480" w:firstLineChars="0"/>
        <w:rPr>
          <w:rFonts w:hint="eastAsia" w:ascii="宋体" w:eastAsia="宋体" w:cs="Times New Roman"/>
          <w:sz w:val="24"/>
          <w:szCs w:val="24"/>
          <w:lang w:val="en-US" w:eastAsia="zh-CN"/>
        </w:rPr>
      </w:pPr>
      <w:r>
        <w:rPr>
          <w:rFonts w:hint="eastAsia" w:ascii="宋体" w:eastAsia="宋体" w:cs="Times New Roman"/>
          <w:b/>
          <w:i w:val="0"/>
          <w:sz w:val="24"/>
          <w:szCs w:val="24"/>
          <w:lang w:val="en-US" w:eastAsia="zh-CN" w:bidi="ar-SA"/>
        </w:rPr>
        <w:t>4.5.2</w:t>
      </w:r>
      <w:r>
        <w:rPr>
          <w:rFonts w:ascii="宋体" w:eastAsia="宋体" w:cs="Times New Roman"/>
          <w:sz w:val="24"/>
          <w:szCs w:val="24"/>
        </w:rPr>
        <w:t>保证期内，响应</w:t>
      </w:r>
      <w:bookmarkEnd w:id="32"/>
      <w:bookmarkEnd w:id="33"/>
      <w:bookmarkEnd w:id="34"/>
      <w:r>
        <w:rPr>
          <w:rFonts w:ascii="宋体" w:eastAsia="宋体" w:cs="Times New Roman"/>
          <w:sz w:val="24"/>
          <w:szCs w:val="24"/>
        </w:rPr>
        <w:t>方在接到用户维护请求</w:t>
      </w:r>
      <w:r>
        <w:rPr>
          <w:rFonts w:hint="eastAsia" w:ascii="宋体" w:eastAsia="宋体" w:cs="Times New Roman"/>
          <w:sz w:val="24"/>
          <w:szCs w:val="24"/>
        </w:rPr>
        <w:t>12</w:t>
      </w:r>
      <w:r>
        <w:rPr>
          <w:rFonts w:ascii="宋体" w:eastAsia="宋体" w:cs="Times New Roman"/>
          <w:sz w:val="24"/>
          <w:szCs w:val="24"/>
        </w:rPr>
        <w:t>小时内做出回复，常见系统故障</w:t>
      </w:r>
      <w:r>
        <w:rPr>
          <w:rFonts w:hint="eastAsia" w:ascii="宋体" w:eastAsia="宋体" w:cs="Times New Roman"/>
          <w:sz w:val="24"/>
          <w:szCs w:val="24"/>
        </w:rPr>
        <w:t>24</w:t>
      </w:r>
      <w:r>
        <w:rPr>
          <w:rFonts w:ascii="宋体" w:eastAsia="宋体" w:cs="Times New Roman"/>
          <w:sz w:val="24"/>
          <w:szCs w:val="24"/>
        </w:rPr>
        <w:t>小时内通过远程和现场用户相配合的方式解决问题或提出解决方案供用户参考，若仍无法解决则在</w:t>
      </w:r>
      <w:r>
        <w:rPr>
          <w:rFonts w:hint="eastAsia" w:ascii="宋体" w:eastAsia="宋体" w:cs="Times New Roman"/>
          <w:sz w:val="24"/>
          <w:szCs w:val="24"/>
        </w:rPr>
        <w:t>48</w:t>
      </w:r>
      <w:r>
        <w:rPr>
          <w:rFonts w:ascii="宋体" w:eastAsia="宋体" w:cs="Times New Roman"/>
          <w:sz w:val="24"/>
          <w:szCs w:val="24"/>
        </w:rPr>
        <w:t>小时内派工程师现场解决问题。</w:t>
      </w:r>
    </w:p>
    <w:p>
      <w:pPr>
        <w:rPr>
          <w:rFonts w:hint="eastAsia" w:asciiTheme="minorEastAsia" w:hAnsiTheme="minorEastAsia" w:eastAsiaTheme="minorEastAsia" w:cstheme="minorEastAsia"/>
        </w:rPr>
      </w:pPr>
    </w:p>
    <w:sectPr>
      <w:footerReference r:id="rId3" w:type="default"/>
      <w:pgSz w:w="11906" w:h="16838"/>
      <w:pgMar w:top="1474" w:right="1134" w:bottom="1134" w:left="1418" w:header="1134" w:footer="107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新宋体">
    <w:panose1 w:val="02010609030101010101"/>
    <w:charset w:val="86"/>
    <w:family w:val="modern"/>
    <w:pitch w:val="default"/>
    <w:sig w:usb0="0000000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 PAGE   \* MERGEFORMAT </w:instrText>
    </w:r>
    <w:r>
      <w:fldChar w:fldCharType="separate"/>
    </w:r>
    <w:r>
      <w:rPr>
        <w:lang w:val="zh-CN"/>
      </w:rPr>
      <w:t>9</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656EE4"/>
    <w:multiLevelType w:val="singleLevel"/>
    <w:tmpl w:val="FB656EE4"/>
    <w:lvl w:ilvl="0" w:tentative="0">
      <w:start w:val="1"/>
      <w:numFmt w:val="chineseCounting"/>
      <w:suff w:val="nothing"/>
      <w:lvlText w:val="（%1）"/>
      <w:lvlJc w:val="left"/>
      <w:pPr>
        <w:ind w:left="0" w:firstLine="420"/>
      </w:pPr>
      <w:rPr>
        <w:rFonts w:hint="eastAsia"/>
      </w:rPr>
    </w:lvl>
  </w:abstractNum>
  <w:abstractNum w:abstractNumId="1">
    <w:nsid w:val="00649733"/>
    <w:multiLevelType w:val="singleLevel"/>
    <w:tmpl w:val="00649733"/>
    <w:lvl w:ilvl="0" w:tentative="0">
      <w:start w:val="1"/>
      <w:numFmt w:val="decimal"/>
      <w:suff w:val="nothing"/>
      <w:lvlText w:val="%1．"/>
      <w:lvlJc w:val="left"/>
      <w:pPr>
        <w:ind w:left="0" w:firstLine="400"/>
      </w:pPr>
      <w:rPr>
        <w:rFonts w:hint="default"/>
      </w:rPr>
    </w:lvl>
  </w:abstractNum>
  <w:abstractNum w:abstractNumId="2">
    <w:nsid w:val="0429BEF4"/>
    <w:multiLevelType w:val="singleLevel"/>
    <w:tmpl w:val="0429BEF4"/>
    <w:lvl w:ilvl="0" w:tentative="0">
      <w:start w:val="1"/>
      <w:numFmt w:val="decimal"/>
      <w:suff w:val="nothing"/>
      <w:lvlText w:val="%1．"/>
      <w:lvlJc w:val="left"/>
      <w:pPr>
        <w:ind w:left="0" w:firstLine="400"/>
      </w:pPr>
      <w:rPr>
        <w:rFonts w:hint="default"/>
      </w:rPr>
    </w:lvl>
  </w:abstractNum>
  <w:abstractNum w:abstractNumId="3">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569A4EBE"/>
    <w:multiLevelType w:val="singleLevel"/>
    <w:tmpl w:val="569A4EBE"/>
    <w:lvl w:ilvl="0" w:tentative="0">
      <w:start w:val="1"/>
      <w:numFmt w:val="chineseCounting"/>
      <w:suff w:val="nothing"/>
      <w:lvlText w:val="%1、"/>
      <w:lvlJc w:val="left"/>
      <w:pPr>
        <w:ind w:left="0" w:firstLine="420"/>
      </w:pPr>
      <w:rPr>
        <w:rFonts w:hint="eastAsia"/>
      </w:rPr>
    </w:lvl>
  </w:abstractNum>
  <w:abstractNum w:abstractNumId="5">
    <w:nsid w:val="69231DFA"/>
    <w:multiLevelType w:val="singleLevel"/>
    <w:tmpl w:val="69231DFA"/>
    <w:lvl w:ilvl="0" w:tentative="0">
      <w:start w:val="1"/>
      <w:numFmt w:val="chineseCounting"/>
      <w:suff w:val="nothing"/>
      <w:lvlText w:val="（%1）"/>
      <w:lvlJc w:val="left"/>
      <w:pPr>
        <w:ind w:left="0" w:firstLine="420"/>
      </w:pPr>
      <w:rPr>
        <w:rFonts w:hint="eastAsia"/>
        <w:lang w:val="en-US"/>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yNGQ4Yzg2NjQ1MDZjMWM2OTc5ZjgxYmUxNzRhZTAifQ=="/>
  </w:docVars>
  <w:rsids>
    <w:rsidRoot w:val="2F43059D"/>
    <w:rsid w:val="003B365A"/>
    <w:rsid w:val="003E1FA6"/>
    <w:rsid w:val="004162D4"/>
    <w:rsid w:val="0043779B"/>
    <w:rsid w:val="00531E44"/>
    <w:rsid w:val="00565F6E"/>
    <w:rsid w:val="00610E1A"/>
    <w:rsid w:val="00637B97"/>
    <w:rsid w:val="0070320C"/>
    <w:rsid w:val="008A6971"/>
    <w:rsid w:val="009E05FD"/>
    <w:rsid w:val="00A15534"/>
    <w:rsid w:val="00AA1E8A"/>
    <w:rsid w:val="00B16FBB"/>
    <w:rsid w:val="00B505FF"/>
    <w:rsid w:val="00B71596"/>
    <w:rsid w:val="00CD39E3"/>
    <w:rsid w:val="00CE7276"/>
    <w:rsid w:val="00D8559A"/>
    <w:rsid w:val="00DA2239"/>
    <w:rsid w:val="00E128BA"/>
    <w:rsid w:val="00F35C9C"/>
    <w:rsid w:val="0C533633"/>
    <w:rsid w:val="12F344F3"/>
    <w:rsid w:val="19741C88"/>
    <w:rsid w:val="1A9553E3"/>
    <w:rsid w:val="1B29692D"/>
    <w:rsid w:val="1B920B1B"/>
    <w:rsid w:val="1D4201AB"/>
    <w:rsid w:val="2088258A"/>
    <w:rsid w:val="20A73C6F"/>
    <w:rsid w:val="253C64E9"/>
    <w:rsid w:val="256A1315"/>
    <w:rsid w:val="258E70E1"/>
    <w:rsid w:val="25D235CE"/>
    <w:rsid w:val="2A414F0D"/>
    <w:rsid w:val="2D1B452C"/>
    <w:rsid w:val="2F43059D"/>
    <w:rsid w:val="2F62525D"/>
    <w:rsid w:val="2FC46EA0"/>
    <w:rsid w:val="32067DEF"/>
    <w:rsid w:val="329D1D3B"/>
    <w:rsid w:val="32B735F0"/>
    <w:rsid w:val="33F87C9A"/>
    <w:rsid w:val="38ED3A6E"/>
    <w:rsid w:val="3A2B35BD"/>
    <w:rsid w:val="3B865276"/>
    <w:rsid w:val="3C285011"/>
    <w:rsid w:val="44EA38E2"/>
    <w:rsid w:val="453976D2"/>
    <w:rsid w:val="47820C5A"/>
    <w:rsid w:val="4D813E5E"/>
    <w:rsid w:val="50F84765"/>
    <w:rsid w:val="56D03A9C"/>
    <w:rsid w:val="59152109"/>
    <w:rsid w:val="596A7AA1"/>
    <w:rsid w:val="598D6DCE"/>
    <w:rsid w:val="6A570BCB"/>
    <w:rsid w:val="6B430FB6"/>
    <w:rsid w:val="6BFB0FD7"/>
    <w:rsid w:val="6DFE475F"/>
    <w:rsid w:val="6F904BDE"/>
    <w:rsid w:val="725B6CC2"/>
    <w:rsid w:val="741443EB"/>
    <w:rsid w:val="756B6584"/>
    <w:rsid w:val="78330D42"/>
    <w:rsid w:val="7D5F4235"/>
    <w:rsid w:val="7E542D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00" w:beforeAutospacing="1" w:after="100" w:afterAutospacing="1" w:line="360" w:lineRule="auto"/>
    </w:pPr>
    <w:rPr>
      <w:rFonts w:ascii="Book Antiqua" w:hAnsi="Book Antiqua" w:eastAsia="宋体" w:cs="Times New Roman"/>
      <w:sz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qFormat/>
    <w:uiPriority w:val="99"/>
    <w:pPr>
      <w:keepNext/>
      <w:keepLines/>
      <w:tabs>
        <w:tab w:val="left" w:pos="0"/>
      </w:tabs>
      <w:outlineLvl w:val="1"/>
    </w:pPr>
    <w:rPr>
      <w:rFonts w:ascii="宋体" w:hAnsi="宋体" w:cs="宋体"/>
      <w:b/>
      <w:bCs/>
      <w:sz w:val="28"/>
      <w:szCs w:val="2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3"/>
    <w:qFormat/>
    <w:uiPriority w:val="0"/>
    <w:pPr>
      <w:spacing w:after="120" w:afterAutospacing="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Plain Text"/>
    <w:basedOn w:val="1"/>
    <w:link w:val="17"/>
    <w:qFormat/>
    <w:uiPriority w:val="0"/>
    <w:pPr>
      <w:widowControl w:val="0"/>
      <w:spacing w:before="0" w:beforeAutospacing="0" w:after="0" w:afterAutospacing="0" w:line="240" w:lineRule="auto"/>
      <w:jc w:val="both"/>
    </w:pPr>
    <w:rPr>
      <w:rFonts w:ascii="宋体" w:hAnsi="Courier New" w:eastAsia="Times New Roman"/>
      <w:kern w:val="2"/>
      <w:sz w:val="21"/>
    </w:rPr>
  </w:style>
  <w:style w:type="paragraph" w:styleId="7">
    <w:name w:val="footer"/>
    <w:basedOn w:val="1"/>
    <w:unhideWhenUsed/>
    <w:qFormat/>
    <w:uiPriority w:val="0"/>
    <w:pPr>
      <w:tabs>
        <w:tab w:val="center" w:pos="4320"/>
        <w:tab w:val="right" w:pos="8640"/>
      </w:tabs>
      <w:spacing w:before="0" w:after="0" w:line="240" w:lineRule="auto"/>
    </w:pPr>
  </w:style>
  <w:style w:type="paragraph" w:styleId="8">
    <w:name w:val="header"/>
    <w:basedOn w:val="1"/>
    <w:link w:val="14"/>
    <w:qFormat/>
    <w:uiPriority w:val="0"/>
    <w:pPr>
      <w:pBdr>
        <w:bottom w:val="single" w:color="auto" w:sz="6" w:space="1"/>
      </w:pBdr>
      <w:tabs>
        <w:tab w:val="center" w:pos="4153"/>
        <w:tab w:val="right" w:pos="8306"/>
      </w:tabs>
      <w:snapToGrid w:val="0"/>
      <w:spacing w:line="240" w:lineRule="auto"/>
      <w:jc w:val="center"/>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2">
    <w:name w:val="Strong"/>
    <w:basedOn w:val="11"/>
    <w:qFormat/>
    <w:uiPriority w:val="0"/>
    <w:rPr>
      <w:b/>
    </w:rPr>
  </w:style>
  <w:style w:type="paragraph" w:customStyle="1" w:styleId="13">
    <w:name w:val="列出段落1"/>
    <w:basedOn w:val="1"/>
    <w:qFormat/>
    <w:uiPriority w:val="34"/>
    <w:pPr>
      <w:ind w:firstLine="420" w:firstLineChars="200"/>
    </w:pPr>
  </w:style>
  <w:style w:type="character" w:customStyle="1" w:styleId="14">
    <w:name w:val="页眉 Char"/>
    <w:basedOn w:val="11"/>
    <w:link w:val="8"/>
    <w:qFormat/>
    <w:uiPriority w:val="0"/>
    <w:rPr>
      <w:rFonts w:ascii="Book Antiqua" w:hAnsi="Book Antiqua" w:eastAsia="宋体" w:cs="Times New Roman"/>
      <w:sz w:val="18"/>
      <w:szCs w:val="18"/>
    </w:rPr>
  </w:style>
  <w:style w:type="paragraph" w:styleId="15">
    <w:name w:val="List Paragraph"/>
    <w:basedOn w:val="1"/>
    <w:unhideWhenUsed/>
    <w:qFormat/>
    <w:uiPriority w:val="99"/>
    <w:pPr>
      <w:ind w:firstLine="420" w:firstLineChars="200"/>
    </w:pPr>
  </w:style>
  <w:style w:type="character" w:customStyle="1" w:styleId="16">
    <w:name w:val="纯文本 Char"/>
    <w:basedOn w:val="11"/>
    <w:link w:val="6"/>
    <w:qFormat/>
    <w:uiPriority w:val="0"/>
    <w:rPr>
      <w:rFonts w:ascii="宋体" w:hAnsi="Courier New" w:eastAsia="宋体" w:cs="Courier New"/>
      <w:sz w:val="21"/>
      <w:szCs w:val="21"/>
    </w:rPr>
  </w:style>
  <w:style w:type="character" w:customStyle="1" w:styleId="17">
    <w:name w:val="纯文本 Char1"/>
    <w:link w:val="6"/>
    <w:qFormat/>
    <w:locked/>
    <w:uiPriority w:val="0"/>
    <w:rPr>
      <w:rFonts w:ascii="宋体" w:hAnsi="Courier New" w:eastAsia="Times New Roman" w:cs="Times New Roman"/>
      <w:kern w:val="2"/>
      <w:sz w:val="21"/>
    </w:rPr>
  </w:style>
  <w:style w:type="paragraph" w:customStyle="1" w:styleId="18">
    <w:name w:val="样式2"/>
    <w:basedOn w:val="1"/>
    <w:qFormat/>
    <w:uiPriority w:val="0"/>
    <w:pPr>
      <w:spacing w:line="360" w:lineRule="auto"/>
    </w:pPr>
    <w:rPr>
      <w:rFonts w:ascii="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3066</Words>
  <Characters>3157</Characters>
  <Lines>2</Lines>
  <Paragraphs>9</Paragraphs>
  <TotalTime>1</TotalTime>
  <ScaleCrop>false</ScaleCrop>
  <LinksUpToDate>false</LinksUpToDate>
  <CharactersWithSpaces>3182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2023-05-31T09:29:00Z</dcterms:created>
  <dc:creator>左边口袋</dc:creator>
  <cp:lastModifiedBy>6455D817E1FA46E49C38B2FD1EE4DD51</cp:lastModifiedBy>
  <dcterms:modified xsi:type="dcterms:W3CDTF">2026-01-19T01:23:43Z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E1636C0CFC124AF092A4E2092BFD8807_13</vt:lpwstr>
  </property>
  <property fmtid="{D5CDD505-2E9C-101B-9397-08002B2CF9AE}" pid="4" name="KSOTemplateDocerSaveRecord">
    <vt:lpwstr>eyJoZGlkIjoiN2JmYzI4MGIzZmM3MmU4OGI4MzM4ODZiZWMzOGZiZDUiLCJ1c2VySWQiOiIyOTk1OTQ0NDgifQ==</vt:lpwstr>
  </property>
</Properties>
</file>