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outlineLvl w:val="0"/>
        <w:rPr>
          <w:rFonts w:hint="default"/>
          <w:lang w:val="en-US" w:eastAsia="zh-CN"/>
        </w:rPr>
      </w:pPr>
      <w:r>
        <w:rPr>
          <w:rFonts w:hint="eastAsia" w:ascii="黑体" w:hAnsi="黑体" w:eastAsia="黑体" w:cs="Times New Roman"/>
          <w:b/>
          <w:bCs/>
          <w:sz w:val="36"/>
          <w:szCs w:val="36"/>
          <w:u w:val="single"/>
          <w:lang w:val="en-US" w:eastAsia="zh-CN"/>
        </w:rPr>
        <w:t>2026年南网数字运营软件科技（广东）有限公司软件授权码采购项目报价表</w:t>
      </w:r>
    </w:p>
    <w:tbl>
      <w:tblPr>
        <w:tblStyle w:val="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5" w:type="dxa"/>
          <w:left w:w="15" w:type="dxa"/>
          <w:bottom w:w="15" w:type="dxa"/>
          <w:right w:w="15" w:type="dxa"/>
        </w:tblCellMar>
      </w:tblPr>
      <w:tblGrid>
        <w:gridCol w:w="604"/>
        <w:gridCol w:w="1323"/>
        <w:gridCol w:w="1804"/>
        <w:gridCol w:w="887"/>
        <w:gridCol w:w="914"/>
        <w:gridCol w:w="1563"/>
        <w:gridCol w:w="1874"/>
        <w:gridCol w:w="1418"/>
        <w:gridCol w:w="1728"/>
        <w:gridCol w:w="186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899" w:hRule="atLeast"/>
          <w:jc w:val="center"/>
        </w:trPr>
        <w:tc>
          <w:tcPr>
            <w:tcW w:w="216" w:type="pct"/>
            <w:shd w:val="clear" w:color="auto" w:fill="8DB4E2"/>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序号</w:t>
            </w:r>
          </w:p>
        </w:tc>
        <w:tc>
          <w:tcPr>
            <w:tcW w:w="473" w:type="pct"/>
            <w:shd w:val="clear" w:color="auto" w:fill="8DB4E2"/>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物资名称</w:t>
            </w:r>
          </w:p>
        </w:tc>
        <w:tc>
          <w:tcPr>
            <w:tcW w:w="645" w:type="pct"/>
            <w:shd w:val="clear" w:color="auto" w:fill="8DB4E2"/>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技术规格要求</w:t>
            </w:r>
          </w:p>
        </w:tc>
        <w:tc>
          <w:tcPr>
            <w:tcW w:w="317" w:type="pct"/>
            <w:shd w:val="clear" w:color="auto" w:fill="8DB4E2"/>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单位</w:t>
            </w:r>
          </w:p>
        </w:tc>
        <w:tc>
          <w:tcPr>
            <w:tcW w:w="327" w:type="pct"/>
            <w:shd w:val="clear" w:color="auto" w:fill="8DB4E2"/>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Hans"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Hans" w:bidi="ar"/>
              </w:rPr>
              <w:t>数量</w:t>
            </w:r>
          </w:p>
        </w:tc>
        <w:tc>
          <w:tcPr>
            <w:tcW w:w="559" w:type="pct"/>
            <w:shd w:val="clear" w:color="auto" w:fill="8DB4E2"/>
            <w:noWrap w:val="0"/>
            <w:vAlign w:val="center"/>
          </w:tcPr>
          <w:p>
            <w:pPr>
              <w:keepNext w:val="0"/>
              <w:keepLines w:val="0"/>
              <w:widowControl/>
              <w:suppressLineNumbers w:val="0"/>
              <w:jc w:val="center"/>
              <w:textAlignment w:val="center"/>
              <w:rPr>
                <w:rFonts w:hint="default" w:asciiTheme="minorEastAsia" w:hAnsiTheme="minorEastAsia" w:eastAsiaTheme="minorEastAsia" w:cstheme="minorEastAsia"/>
                <w:b/>
                <w:bCs/>
                <w:i w:val="0"/>
                <w:iCs w:val="0"/>
                <w:color w:val="auto"/>
                <w:kern w:val="0"/>
                <w:sz w:val="24"/>
                <w:szCs w:val="24"/>
                <w:highlight w:val="none"/>
                <w:u w:val="none"/>
                <w:shd w:val="clear" w:color="auto" w:fill="auto"/>
                <w:lang w:val="en-US" w:eastAsia="zh-Hans"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含税单价最高限价（元）</w:t>
            </w:r>
          </w:p>
        </w:tc>
        <w:tc>
          <w:tcPr>
            <w:tcW w:w="667" w:type="pct"/>
            <w:shd w:val="clear" w:color="auto" w:fill="8DB4E2"/>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含税最高限价小计（元）</w:t>
            </w:r>
          </w:p>
        </w:tc>
        <w:tc>
          <w:tcPr>
            <w:tcW w:w="507" w:type="pct"/>
            <w:shd w:val="clear" w:color="auto" w:fill="8DB4E2"/>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税率</w:t>
            </w:r>
          </w:p>
        </w:tc>
        <w:tc>
          <w:tcPr>
            <w:tcW w:w="618" w:type="pct"/>
            <w:shd w:val="clear" w:color="auto" w:fill="8DB4E2"/>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含税投标单价（元）</w:t>
            </w:r>
          </w:p>
        </w:tc>
        <w:tc>
          <w:tcPr>
            <w:tcW w:w="667" w:type="pct"/>
            <w:shd w:val="clear" w:color="auto" w:fill="8DB4E2"/>
            <w:noWrap w:val="0"/>
            <w:vAlign w:val="center"/>
          </w:tcPr>
          <w:p>
            <w:pPr>
              <w:keepNext w:val="0"/>
              <w:keepLines w:val="0"/>
              <w:widowControl/>
              <w:suppressLineNumbers w:val="0"/>
              <w:jc w:val="center"/>
              <w:textAlignment w:val="cente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pPr>
            <w:r>
              <w:rPr>
                <w:rFonts w:hint="eastAsia" w:asciiTheme="minorEastAsia" w:hAnsiTheme="minorEastAsia" w:eastAsiaTheme="minorEastAsia" w:cstheme="minorEastAsia"/>
                <w:b/>
                <w:bCs/>
                <w:i w:val="0"/>
                <w:iCs w:val="0"/>
                <w:color w:val="auto"/>
                <w:kern w:val="0"/>
                <w:sz w:val="24"/>
                <w:szCs w:val="24"/>
                <w:highlight w:val="none"/>
                <w:u w:val="none"/>
                <w:shd w:val="clear" w:color="auto" w:fill="auto"/>
                <w:lang w:val="en-US" w:eastAsia="zh-CN" w:bidi="ar"/>
              </w:rPr>
              <w:t>含税报价小计（元）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712" w:hRule="atLeast"/>
          <w:jc w:val="center"/>
        </w:trPr>
        <w:tc>
          <w:tcPr>
            <w:tcW w:w="216" w:type="pct"/>
            <w:noWrap w:val="0"/>
            <w:vAlign w:val="center"/>
          </w:tcPr>
          <w:p>
            <w:pPr>
              <w:pStyle w:val="6"/>
              <w:keepNext w:val="0"/>
              <w:keepLines w:val="0"/>
              <w:pageBreakBefore w:val="0"/>
              <w:widowControl w:val="0"/>
              <w:suppressLineNumbers w:val="0"/>
              <w:kinsoku/>
              <w:wordWrap/>
              <w:overflowPunct/>
              <w:topLinePunct w:val="0"/>
              <w:autoSpaceDE/>
              <w:autoSpaceDN/>
              <w:bidi w:val="0"/>
              <w:adjustRightInd w:val="0"/>
              <w:snapToGrid/>
              <w:spacing w:before="0" w:beforeAutospacing="0" w:after="0" w:afterAutospacing="0" w:line="240" w:lineRule="auto"/>
              <w:ind w:left="0" w:leftChars="0" w:right="0" w:rightChars="0"/>
              <w:jc w:val="center"/>
              <w:textAlignment w:val="auto"/>
              <w:rPr>
                <w:rFonts w:hint="eastAsia" w:ascii="宋体" w:hAnsi="宋体" w:eastAsia="宋体" w:cs="宋体"/>
                <w:kern w:val="2"/>
                <w:sz w:val="24"/>
                <w:szCs w:val="24"/>
                <w:lang w:val="en-US" w:eastAsia="zh-CN" w:bidi="ar"/>
              </w:rPr>
            </w:pPr>
            <w:r>
              <w:rPr>
                <w:rFonts w:hint="eastAsia" w:ascii="宋体" w:hAnsi="宋体" w:eastAsia="宋体" w:cs="宋体"/>
                <w:kern w:val="2"/>
                <w:sz w:val="24"/>
                <w:szCs w:val="24"/>
                <w:lang w:val="en-US" w:eastAsia="zh-CN" w:bidi="ar"/>
              </w:rPr>
              <w:t>1</w:t>
            </w:r>
          </w:p>
        </w:tc>
        <w:tc>
          <w:tcPr>
            <w:tcW w:w="473" w:type="pct"/>
            <w:noWrap w:val="0"/>
            <w:vAlign w:val="center"/>
          </w:tcPr>
          <w:p>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
              </w:rPr>
            </w:pPr>
            <w:r>
              <w:rPr>
                <w:rFonts w:hint="eastAsia" w:ascii="宋体" w:hAnsi="宋体" w:eastAsia="宋体" w:cs="宋体"/>
                <w:i w:val="0"/>
                <w:iCs w:val="0"/>
                <w:color w:val="auto"/>
                <w:kern w:val="0"/>
                <w:sz w:val="24"/>
                <w:szCs w:val="24"/>
                <w:u w:val="none"/>
                <w:lang w:val="en-US" w:eastAsia="zh-CN" w:bidi="ar"/>
              </w:rPr>
              <w:t>软件授权码</w:t>
            </w:r>
          </w:p>
        </w:tc>
        <w:tc>
          <w:tcPr>
            <w:tcW w:w="645" w:type="pct"/>
            <w:noWrap w:val="0"/>
            <w:vAlign w:val="center"/>
          </w:tcPr>
          <w:p>
            <w:pPr>
              <w:keepNext w:val="0"/>
              <w:keepLines w:val="0"/>
              <w:widowControl/>
              <w:suppressLineNumbers w:val="0"/>
              <w:jc w:val="center"/>
              <w:textAlignment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详细技术规格要求见技术规范书</w:t>
            </w:r>
          </w:p>
        </w:tc>
        <w:tc>
          <w:tcPr>
            <w:tcW w:w="317" w:type="pct"/>
            <w:noWrap w:val="0"/>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4"/>
                <w:szCs w:val="24"/>
                <w:u w:val="none"/>
                <w:lang w:val="en-US" w:eastAsia="zh-CN" w:bidi="ar"/>
              </w:rPr>
            </w:pPr>
            <w:r>
              <w:rPr>
                <w:rFonts w:hint="eastAsia" w:ascii="宋体" w:hAnsi="宋体" w:eastAsia="宋体" w:cs="宋体"/>
                <w:i w:val="0"/>
                <w:iCs w:val="0"/>
                <w:color w:val="auto"/>
                <w:kern w:val="0"/>
                <w:sz w:val="24"/>
                <w:szCs w:val="24"/>
                <w:u w:val="none"/>
                <w:lang w:val="en-US" w:eastAsia="zh-CN" w:bidi="ar"/>
              </w:rPr>
              <w:t>个</w:t>
            </w:r>
          </w:p>
        </w:tc>
        <w:tc>
          <w:tcPr>
            <w:tcW w:w="327" w:type="pct"/>
            <w:noWrap w:val="0"/>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shd w:val="clear" w:color="auto" w:fill="auto"/>
                <w:lang w:val="en-US" w:eastAsia="zh-CN" w:bidi="ar-SA"/>
              </w:rPr>
            </w:pPr>
            <w:r>
              <w:rPr>
                <w:rFonts w:hint="eastAsia" w:ascii="宋体" w:hAnsi="宋体" w:eastAsia="宋体" w:cs="宋体"/>
                <w:i w:val="0"/>
                <w:iCs w:val="0"/>
                <w:color w:val="auto"/>
                <w:kern w:val="0"/>
                <w:sz w:val="24"/>
                <w:szCs w:val="24"/>
                <w:u w:val="none"/>
                <w:lang w:val="en-US" w:eastAsia="zh-CN" w:bidi="ar"/>
              </w:rPr>
              <w:t>500</w:t>
            </w:r>
          </w:p>
        </w:tc>
        <w:tc>
          <w:tcPr>
            <w:tcW w:w="559" w:type="pct"/>
            <w:noWrap w:val="0"/>
            <w:vAlign w:val="center"/>
          </w:tcPr>
          <w:p>
            <w:pPr>
              <w:keepNext w:val="0"/>
              <w:keepLines w:val="0"/>
              <w:widowControl/>
              <w:suppressLineNumbers w:val="0"/>
              <w:jc w:val="center"/>
              <w:textAlignment w:val="center"/>
              <w:rPr>
                <w:rFonts w:hint="eastAsia" w:ascii="宋体" w:hAnsi="宋体" w:eastAsia="宋体" w:cs="宋体"/>
                <w:color w:val="auto"/>
                <w:kern w:val="2"/>
                <w:sz w:val="24"/>
                <w:szCs w:val="24"/>
                <w:lang w:val="en-US" w:eastAsia="zh-CN" w:bidi="ar"/>
              </w:rPr>
            </w:pPr>
            <w:r>
              <w:rPr>
                <w:rFonts w:hint="eastAsia" w:ascii="宋体" w:hAnsi="宋体" w:eastAsia="宋体" w:cs="宋体"/>
                <w:color w:val="auto"/>
                <w:kern w:val="2"/>
                <w:sz w:val="24"/>
                <w:szCs w:val="24"/>
                <w:lang w:val="en-US" w:eastAsia="zh-CN" w:bidi="ar"/>
              </w:rPr>
              <w:t>99</w:t>
            </w:r>
          </w:p>
        </w:tc>
        <w:tc>
          <w:tcPr>
            <w:tcW w:w="667" w:type="pct"/>
            <w:noWrap w:val="0"/>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i w:val="0"/>
                <w:iCs w:val="0"/>
                <w:color w:val="auto"/>
                <w:kern w:val="0"/>
                <w:sz w:val="24"/>
                <w:szCs w:val="24"/>
                <w:u w:val="none"/>
                <w:lang w:val="en-US" w:eastAsia="zh-CN" w:bidi="ar"/>
              </w:rPr>
              <w:t>49500</w:t>
            </w:r>
          </w:p>
        </w:tc>
        <w:tc>
          <w:tcPr>
            <w:tcW w:w="507" w:type="pct"/>
            <w:noWrap w:val="0"/>
            <w:vAlign w:val="center"/>
          </w:tcPr>
          <w:p>
            <w:pPr>
              <w:keepNext w:val="0"/>
              <w:keepLines w:val="0"/>
              <w:widowControl/>
              <w:suppressLineNumbers w:val="0"/>
              <w:jc w:val="center"/>
              <w:textAlignment w:val="center"/>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color w:val="auto"/>
                <w:kern w:val="2"/>
                <w:sz w:val="24"/>
                <w:szCs w:val="24"/>
                <w:lang w:val="en-US" w:eastAsia="zh-CN" w:bidi="ar"/>
              </w:rPr>
              <w:t>13%</w:t>
            </w:r>
          </w:p>
        </w:tc>
        <w:tc>
          <w:tcPr>
            <w:tcW w:w="618" w:type="pct"/>
            <w:noWrap w:val="0"/>
            <w:vAlign w:val="center"/>
          </w:tcPr>
          <w:p>
            <w:pPr>
              <w:keepNext w:val="0"/>
              <w:keepLines w:val="0"/>
              <w:widowControl/>
              <w:suppressLineNumbers w:val="0"/>
              <w:jc w:val="center"/>
              <w:textAlignment w:val="center"/>
              <w:rPr>
                <w:rFonts w:hint="eastAsia" w:ascii="宋体" w:hAnsi="宋体" w:eastAsia="宋体" w:cs="宋体"/>
                <w:color w:val="000000"/>
                <w:sz w:val="24"/>
                <w:szCs w:val="24"/>
                <w:highlight w:val="none"/>
                <w:shd w:val="clear" w:color="auto" w:fill="auto"/>
                <w:lang w:val="en-US" w:eastAsia="zh-CN"/>
              </w:rPr>
            </w:pPr>
            <w:bookmarkStart w:id="0" w:name="_GoBack"/>
            <w:bookmarkEnd w:id="0"/>
          </w:p>
        </w:tc>
        <w:tc>
          <w:tcPr>
            <w:tcW w:w="667" w:type="pct"/>
            <w:noWrap w:val="0"/>
            <w:vAlign w:val="center"/>
          </w:tcPr>
          <w:p>
            <w:pPr>
              <w:keepNext w:val="0"/>
              <w:keepLines w:val="0"/>
              <w:widowControl/>
              <w:suppressLineNumbers w:val="0"/>
              <w:jc w:val="center"/>
              <w:textAlignment w:val="center"/>
              <w:rPr>
                <w:rFonts w:hint="eastAsia" w:ascii="宋体" w:hAnsi="宋体" w:eastAsia="宋体" w:cs="宋体"/>
                <w:color w:val="000000"/>
                <w:sz w:val="24"/>
                <w:szCs w:val="24"/>
                <w:highlight w:val="none"/>
                <w:shd w:val="clear" w:color="auto" w:fill="auto"/>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6" w:hRule="atLeast"/>
          <w:jc w:val="center"/>
        </w:trPr>
        <w:tc>
          <w:tcPr>
            <w:tcW w:w="3207" w:type="pct"/>
            <w:gridSpan w:val="7"/>
            <w:shd w:val="clear" w:color="auto" w:fill="8DB4E2"/>
            <w:noWrap w:val="0"/>
            <w:vAlign w:val="center"/>
          </w:tcPr>
          <w:p>
            <w:pPr>
              <w:shd w:val="clear" w:color="auto" w:fill="auto"/>
              <w:spacing w:line="240" w:lineRule="auto"/>
              <w:jc w:val="center"/>
              <w:rPr>
                <w:rFonts w:hint="default" w:ascii="宋体" w:hAnsi="宋体" w:eastAsia="宋体" w:cs="宋体"/>
                <w:color w:val="000000"/>
                <w:sz w:val="24"/>
                <w:szCs w:val="24"/>
                <w:highlight w:val="none"/>
                <w:shd w:val="clear" w:color="auto" w:fill="auto"/>
                <w:lang w:val="en-US" w:eastAsia="zh-CN"/>
              </w:rPr>
            </w:pPr>
            <w:r>
              <w:rPr>
                <w:rFonts w:hint="eastAsia" w:asciiTheme="minorEastAsia" w:hAnsiTheme="minorEastAsia" w:eastAsiaTheme="minorEastAsia" w:cstheme="minorEastAsia"/>
                <w:b/>
                <w:bCs/>
                <w:i w:val="0"/>
                <w:iCs w:val="0"/>
                <w:color w:val="000000"/>
                <w:kern w:val="0"/>
                <w:sz w:val="24"/>
                <w:szCs w:val="24"/>
                <w:u w:val="none"/>
                <w:lang w:val="en-US" w:eastAsia="zh-CN" w:bidi="ar"/>
              </w:rPr>
              <w:t>投标总报价（含税）（元）合计：</w:t>
            </w:r>
          </w:p>
        </w:tc>
        <w:tc>
          <w:tcPr>
            <w:tcW w:w="1792" w:type="pct"/>
            <w:gridSpan w:val="3"/>
            <w:shd w:val="clear" w:color="auto" w:fill="8DB4E2"/>
            <w:noWrap w:val="0"/>
            <w:vAlign w:val="center"/>
          </w:tcPr>
          <w:p>
            <w:pPr>
              <w:shd w:val="clear" w:color="auto" w:fill="auto"/>
              <w:spacing w:line="240" w:lineRule="auto"/>
              <w:jc w:val="center"/>
              <w:rPr>
                <w:rFonts w:hint="default" w:ascii="宋体" w:hAnsi="宋体" w:eastAsia="宋体" w:cs="宋体"/>
                <w:color w:val="000000"/>
                <w:sz w:val="24"/>
                <w:szCs w:val="24"/>
                <w:highlight w:val="none"/>
                <w:shd w:val="clear" w:color="auto" w:fill="auto"/>
                <w:lang w:val="en-US" w:eastAsia="zh-CN"/>
              </w:rPr>
            </w:pPr>
          </w:p>
        </w:tc>
      </w:tr>
    </w:tbl>
    <w:p>
      <w:pPr>
        <w:rPr>
          <w:rFonts w:hint="eastAsia"/>
          <w:sz w:val="24"/>
          <w:szCs w:val="24"/>
          <w:lang w:val="en-US" w:eastAsia="zh-CN"/>
        </w:rPr>
      </w:pPr>
    </w:p>
    <w:p>
      <w:pPr>
        <w:rPr>
          <w:rFonts w:hint="eastAsia"/>
          <w:sz w:val="24"/>
          <w:szCs w:val="24"/>
          <w:lang w:val="en-US" w:eastAsia="zh-CN"/>
        </w:rPr>
      </w:pPr>
      <w:r>
        <w:rPr>
          <w:rFonts w:hint="eastAsia"/>
          <w:sz w:val="24"/>
          <w:szCs w:val="24"/>
          <w:lang w:val="en-US" w:eastAsia="zh-CN"/>
        </w:rPr>
        <w:t>说明：</w:t>
      </w:r>
    </w:p>
    <w:p>
      <w:pPr>
        <w:numPr>
          <w:ilvl w:val="0"/>
          <w:numId w:val="1"/>
        </w:numPr>
        <w:ind w:left="420" w:leftChars="0" w:firstLine="0" w:firstLineChars="0"/>
        <w:rPr>
          <w:rFonts w:hint="eastAsia"/>
          <w:sz w:val="24"/>
          <w:szCs w:val="24"/>
          <w:lang w:val="en-US" w:eastAsia="zh-CN"/>
        </w:rPr>
      </w:pPr>
      <w:r>
        <w:rPr>
          <w:rFonts w:hint="eastAsia"/>
          <w:sz w:val="24"/>
          <w:szCs w:val="24"/>
          <w:lang w:val="en-US" w:eastAsia="zh-CN"/>
        </w:rPr>
        <w:t>固定金额报单价，含税报价小计=预估数量*含税投标单价，投标总报价（含税）等于各含税报价小计之和，价格分计算按投标总报价（含税）进行计算。</w:t>
      </w:r>
    </w:p>
    <w:p>
      <w:pPr>
        <w:numPr>
          <w:ilvl w:val="0"/>
          <w:numId w:val="1"/>
        </w:numPr>
        <w:ind w:left="420" w:leftChars="0" w:firstLine="0" w:firstLineChars="0"/>
        <w:rPr>
          <w:rFonts w:hint="eastAsia"/>
          <w:sz w:val="24"/>
          <w:szCs w:val="24"/>
          <w:lang w:val="en-US" w:eastAsia="zh-CN"/>
        </w:rPr>
      </w:pPr>
      <w:r>
        <w:rPr>
          <w:rFonts w:hint="eastAsia"/>
          <w:sz w:val="24"/>
          <w:szCs w:val="24"/>
          <w:lang w:val="en-US" w:eastAsia="zh-CN"/>
        </w:rPr>
        <w:t>报价税率为投标人销售此类标的物时开具增值税税金。</w:t>
      </w:r>
    </w:p>
    <w:p>
      <w:pPr>
        <w:numPr>
          <w:ilvl w:val="0"/>
          <w:numId w:val="1"/>
        </w:numPr>
        <w:ind w:left="420" w:leftChars="0" w:firstLine="0" w:firstLineChars="0"/>
        <w:rPr>
          <w:rFonts w:hint="eastAsia"/>
          <w:sz w:val="24"/>
          <w:szCs w:val="24"/>
          <w:lang w:val="en-US" w:eastAsia="zh-CN"/>
        </w:rPr>
      </w:pPr>
      <w:r>
        <w:rPr>
          <w:rFonts w:hint="eastAsia"/>
          <w:sz w:val="24"/>
          <w:szCs w:val="24"/>
          <w:lang w:val="en-US" w:eastAsia="zh-CN"/>
        </w:rPr>
        <w:t>投标报价应包含设备的制造和供应（包括进口件）、技术资料费、包装、到招标人指定目的地的运输、装车、保险、卸货、调试、检验及办证、技术服务费、利润、税金（含关税）等一切费用。以人民币为结算单位。</w:t>
      </w:r>
    </w:p>
    <w:p>
      <w:pPr>
        <w:numPr>
          <w:ilvl w:val="0"/>
          <w:numId w:val="1"/>
        </w:numPr>
        <w:ind w:left="420" w:leftChars="0" w:firstLine="0" w:firstLineChars="0"/>
        <w:rPr>
          <w:rFonts w:hint="default"/>
          <w:sz w:val="24"/>
          <w:szCs w:val="24"/>
          <w:lang w:val="en-US" w:eastAsia="zh-CN"/>
        </w:rPr>
      </w:pPr>
      <w:r>
        <w:rPr>
          <w:rFonts w:hint="default"/>
          <w:sz w:val="24"/>
          <w:szCs w:val="24"/>
          <w:lang w:val="en-US" w:eastAsia="zh-CN"/>
        </w:rPr>
        <w:t>报价时请详细列写单项金额以及合计金额。若单价核算金额和总价金额有差异，以单价金额为准</w:t>
      </w:r>
      <w:r>
        <w:rPr>
          <w:rFonts w:hint="eastAsia"/>
          <w:sz w:val="24"/>
          <w:szCs w:val="24"/>
          <w:lang w:val="en-US" w:eastAsia="zh-CN"/>
        </w:rPr>
        <w:t>，</w:t>
      </w:r>
      <w:r>
        <w:rPr>
          <w:rFonts w:hint="default"/>
          <w:sz w:val="24"/>
          <w:szCs w:val="24"/>
          <w:lang w:val="en-US" w:eastAsia="zh-CN"/>
        </w:rPr>
        <w:t>修正总价。</w:t>
      </w:r>
    </w:p>
    <w:p>
      <w:pPr>
        <w:numPr>
          <w:ilvl w:val="0"/>
          <w:numId w:val="1"/>
        </w:numPr>
        <w:ind w:left="420" w:leftChars="0" w:firstLine="0" w:firstLineChars="0"/>
        <w:rPr>
          <w:rFonts w:hint="default"/>
          <w:sz w:val="24"/>
          <w:szCs w:val="24"/>
          <w:lang w:val="en-US" w:eastAsia="zh-CN"/>
        </w:rPr>
      </w:pPr>
      <w:r>
        <w:rPr>
          <w:rFonts w:hint="default"/>
          <w:sz w:val="24"/>
          <w:szCs w:val="24"/>
          <w:lang w:val="en-US" w:eastAsia="zh-CN"/>
        </w:rPr>
        <w:t>报价表为固定格式，不可出现缺项不报。</w:t>
      </w:r>
    </w:p>
    <w:p>
      <w:pPr>
        <w:numPr>
          <w:ilvl w:val="0"/>
          <w:numId w:val="1"/>
        </w:numPr>
        <w:ind w:left="420" w:leftChars="0" w:firstLine="0" w:firstLineChars="0"/>
        <w:rPr>
          <w:rFonts w:hint="default"/>
          <w:sz w:val="24"/>
          <w:szCs w:val="24"/>
          <w:lang w:val="en-US" w:eastAsia="zh-CN"/>
        </w:rPr>
      </w:pPr>
      <w:r>
        <w:rPr>
          <w:rFonts w:hint="default"/>
          <w:sz w:val="24"/>
          <w:szCs w:val="24"/>
          <w:lang w:val="en-US" w:eastAsia="zh-CN"/>
        </w:rPr>
        <w:t>报价明细表每页都需盖章。</w:t>
      </w:r>
    </w:p>
    <w:p>
      <w:pPr>
        <w:numPr>
          <w:ilvl w:val="0"/>
          <w:numId w:val="1"/>
        </w:numPr>
        <w:ind w:left="420" w:leftChars="0" w:firstLine="0" w:firstLineChars="0"/>
        <w:rPr>
          <w:rFonts w:hint="eastAsia" w:ascii="宋体" w:hAnsi="宋体" w:eastAsia="宋体" w:cs="宋体"/>
          <w:sz w:val="24"/>
          <w:szCs w:val="24"/>
          <w:lang w:val="en-US" w:eastAsia="zh-CN"/>
        </w:rPr>
      </w:pPr>
      <w:r>
        <w:rPr>
          <w:rFonts w:hint="default"/>
          <w:sz w:val="24"/>
          <w:szCs w:val="24"/>
          <w:lang w:val="en-US" w:eastAsia="zh-CN"/>
        </w:rPr>
        <w:t>只能有一个有效报价，投标报价以南方电供应链统一服务平台成功解密的开标一览表中的投标报价总价为准。投标人应详细填写单项报价，单项报价金额总计、报价明细表投标总报价须与开标一览表中的投标报价一致。</w:t>
      </w:r>
    </w:p>
    <w:p>
      <w:pPr>
        <w:widowControl w:val="0"/>
        <w:numPr>
          <w:ilvl w:val="0"/>
          <w:numId w:val="0"/>
        </w:numPr>
        <w:bidi w:val="0"/>
        <w:jc w:val="right"/>
        <w:rPr>
          <w:rFonts w:hint="eastAsia"/>
          <w:sz w:val="24"/>
          <w:szCs w:val="24"/>
          <w:lang w:val="en-US" w:eastAsia="zh-CN"/>
        </w:rPr>
      </w:pPr>
    </w:p>
    <w:p>
      <w:pPr>
        <w:tabs>
          <w:tab w:val="left" w:pos="1260"/>
        </w:tabs>
        <w:snapToGrid w:val="0"/>
        <w:ind w:firstLine="5060" w:firstLineChars="2100"/>
        <w:jc w:val="center"/>
        <w:outlineLvl w:val="0"/>
        <w:rPr>
          <w:rFonts w:ascii="宋体" w:hAnsi="宋体"/>
          <w:b/>
          <w:sz w:val="24"/>
          <w:szCs w:val="24"/>
        </w:rPr>
      </w:pPr>
      <w:r>
        <w:rPr>
          <w:rFonts w:hint="eastAsia" w:ascii="宋体" w:hAnsi="宋体"/>
          <w:b/>
          <w:sz w:val="24"/>
          <w:szCs w:val="24"/>
          <w:lang w:val="en-US" w:eastAsia="zh-CN"/>
        </w:rPr>
        <w:t xml:space="preserve">                                  报价</w:t>
      </w:r>
      <w:r>
        <w:rPr>
          <w:rFonts w:hint="eastAsia" w:ascii="宋体" w:hAnsi="宋体"/>
          <w:b/>
          <w:sz w:val="24"/>
          <w:szCs w:val="24"/>
        </w:rPr>
        <w:t>单位：</w:t>
      </w:r>
      <w:r>
        <w:rPr>
          <w:rFonts w:ascii="宋体" w:hAnsi="宋体"/>
          <w:b/>
          <w:sz w:val="24"/>
          <w:szCs w:val="24"/>
        </w:rPr>
        <w:t>(</w:t>
      </w:r>
      <w:r>
        <w:rPr>
          <w:rFonts w:hint="eastAsia" w:ascii="宋体" w:hAnsi="宋体"/>
          <w:b/>
          <w:sz w:val="24"/>
          <w:szCs w:val="24"/>
        </w:rPr>
        <w:t>盖章</w:t>
      </w:r>
      <w:r>
        <w:rPr>
          <w:rFonts w:ascii="宋体" w:hAnsi="宋体"/>
          <w:b/>
          <w:sz w:val="24"/>
          <w:szCs w:val="24"/>
        </w:rPr>
        <w:t>)</w:t>
      </w:r>
    </w:p>
    <w:p>
      <w:pPr>
        <w:autoSpaceDE w:val="0"/>
        <w:autoSpaceDN w:val="0"/>
        <w:adjustRightInd w:val="0"/>
        <w:spacing w:line="360" w:lineRule="auto"/>
        <w:ind w:firstLine="5060" w:firstLineChars="2100"/>
        <w:jc w:val="right"/>
        <w:outlineLvl w:val="0"/>
        <w:rPr>
          <w:rFonts w:hint="eastAsia" w:ascii="宋体" w:hAnsi="宋体"/>
          <w:b/>
          <w:sz w:val="24"/>
          <w:szCs w:val="24"/>
          <w:lang w:val="en-US" w:eastAsia="zh-CN"/>
        </w:rPr>
      </w:pPr>
      <w:r>
        <w:rPr>
          <w:rFonts w:hint="eastAsia" w:ascii="宋体" w:hAnsi="宋体"/>
          <w:b/>
          <w:sz w:val="24"/>
          <w:szCs w:val="24"/>
          <w:lang w:val="en-US" w:eastAsia="zh-CN"/>
        </w:rPr>
        <w:t>法定代表人或授权代表：（签字/盖章）</w:t>
      </w:r>
    </w:p>
    <w:p>
      <w:pPr>
        <w:autoSpaceDE w:val="0"/>
        <w:autoSpaceDN w:val="0"/>
        <w:adjustRightInd w:val="0"/>
        <w:spacing w:line="360" w:lineRule="auto"/>
        <w:ind w:firstLine="6023" w:firstLineChars="2500"/>
        <w:jc w:val="right"/>
        <w:outlineLvl w:val="0"/>
        <w:rPr>
          <w:rFonts w:hint="default"/>
          <w:sz w:val="24"/>
          <w:szCs w:val="24"/>
          <w:lang w:val="en-US" w:eastAsia="zh-CN"/>
        </w:rPr>
      </w:pPr>
      <w:r>
        <w:rPr>
          <w:rFonts w:hint="eastAsia" w:ascii="宋体" w:hAnsi="宋体"/>
          <w:b/>
          <w:sz w:val="24"/>
          <w:szCs w:val="24"/>
          <w:lang w:val="en-US" w:eastAsia="zh-CN"/>
        </w:rPr>
        <w:t>年    月    日</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2813DC"/>
    <w:multiLevelType w:val="singleLevel"/>
    <w:tmpl w:val="0F2813DC"/>
    <w:lvl w:ilvl="0" w:tentative="0">
      <w:start w:val="1"/>
      <w:numFmt w:val="decimal"/>
      <w:suff w:val="nothing"/>
      <w:lvlText w:val="%1、"/>
      <w:lvlJc w:val="left"/>
      <w:pPr>
        <w:ind w:left="42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C5B7F6C"/>
    <w:rsid w:val="044E024F"/>
    <w:rsid w:val="078D076F"/>
    <w:rsid w:val="07D715EB"/>
    <w:rsid w:val="093E6B19"/>
    <w:rsid w:val="09AF00BB"/>
    <w:rsid w:val="09C60C37"/>
    <w:rsid w:val="0AD46352"/>
    <w:rsid w:val="0C092EDC"/>
    <w:rsid w:val="12CF490C"/>
    <w:rsid w:val="16167283"/>
    <w:rsid w:val="177D6416"/>
    <w:rsid w:val="19880B6D"/>
    <w:rsid w:val="1AFF6288"/>
    <w:rsid w:val="1E0903FF"/>
    <w:rsid w:val="1FE76210"/>
    <w:rsid w:val="21182B25"/>
    <w:rsid w:val="255A5A9A"/>
    <w:rsid w:val="2A456545"/>
    <w:rsid w:val="2AB1341B"/>
    <w:rsid w:val="2AE424FA"/>
    <w:rsid w:val="2C3A4B83"/>
    <w:rsid w:val="2DF305A1"/>
    <w:rsid w:val="2F320624"/>
    <w:rsid w:val="326E342E"/>
    <w:rsid w:val="330A199A"/>
    <w:rsid w:val="36886A44"/>
    <w:rsid w:val="37524EF8"/>
    <w:rsid w:val="3A0548BB"/>
    <w:rsid w:val="3C5B7F6C"/>
    <w:rsid w:val="3D2150C1"/>
    <w:rsid w:val="3D516812"/>
    <w:rsid w:val="3E135AC7"/>
    <w:rsid w:val="3E890F6D"/>
    <w:rsid w:val="43B35E8A"/>
    <w:rsid w:val="44560E89"/>
    <w:rsid w:val="466E5AF3"/>
    <w:rsid w:val="46A9467B"/>
    <w:rsid w:val="47A668CD"/>
    <w:rsid w:val="48BD5B36"/>
    <w:rsid w:val="48F57F31"/>
    <w:rsid w:val="492D49CF"/>
    <w:rsid w:val="4B687000"/>
    <w:rsid w:val="4E5A055C"/>
    <w:rsid w:val="4F61484A"/>
    <w:rsid w:val="4FD37A04"/>
    <w:rsid w:val="515C79F4"/>
    <w:rsid w:val="516B5325"/>
    <w:rsid w:val="51AB7E57"/>
    <w:rsid w:val="52917F04"/>
    <w:rsid w:val="53B772FF"/>
    <w:rsid w:val="53D44FCC"/>
    <w:rsid w:val="55671C2C"/>
    <w:rsid w:val="5C1B01FF"/>
    <w:rsid w:val="628727FF"/>
    <w:rsid w:val="6365108A"/>
    <w:rsid w:val="63CB234F"/>
    <w:rsid w:val="657E0DC3"/>
    <w:rsid w:val="65D17FAE"/>
    <w:rsid w:val="69A066C1"/>
    <w:rsid w:val="69A641BB"/>
    <w:rsid w:val="6C9C04F1"/>
    <w:rsid w:val="6FAC10CC"/>
    <w:rsid w:val="6FB87AD8"/>
    <w:rsid w:val="6FC368EB"/>
    <w:rsid w:val="71CC5DF4"/>
    <w:rsid w:val="71E12151"/>
    <w:rsid w:val="751D0D29"/>
    <w:rsid w:val="75451FFF"/>
    <w:rsid w:val="771854CE"/>
    <w:rsid w:val="77B34070"/>
    <w:rsid w:val="793257B0"/>
    <w:rsid w:val="7B2F6525"/>
    <w:rsid w:val="7CEF7338"/>
    <w:rsid w:val="7D4B42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8">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ind w:firstLine="420"/>
    </w:pPr>
    <w:rPr>
      <w:rFonts w:cs="宋体"/>
      <w:szCs w:val="20"/>
    </w:rPr>
  </w:style>
  <w:style w:type="paragraph" w:styleId="3">
    <w:name w:val="Body Text Indent"/>
    <w:basedOn w:val="1"/>
    <w:unhideWhenUsed/>
    <w:qFormat/>
    <w:uiPriority w:val="99"/>
    <w:pPr>
      <w:spacing w:after="120"/>
      <w:ind w:left="420" w:leftChars="200"/>
    </w:pPr>
  </w:style>
  <w:style w:type="paragraph" w:styleId="4">
    <w:name w:val="Body Text"/>
    <w:basedOn w:val="1"/>
    <w:next w:val="5"/>
    <w:unhideWhenUsed/>
    <w:qFormat/>
    <w:uiPriority w:val="99"/>
    <w:pPr>
      <w:spacing w:after="120"/>
    </w:pPr>
  </w:style>
  <w:style w:type="paragraph" w:styleId="5">
    <w:name w:val="Title"/>
    <w:basedOn w:val="1"/>
    <w:next w:val="1"/>
    <w:qFormat/>
    <w:uiPriority w:val="10"/>
    <w:pPr>
      <w:adjustRightInd w:val="0"/>
      <w:snapToGrid w:val="0"/>
      <w:spacing w:before="120" w:after="120"/>
      <w:jc w:val="center"/>
      <w:outlineLvl w:val="0"/>
    </w:pPr>
    <w:rPr>
      <w:rFonts w:ascii="等线 Light" w:hAnsi="等线 Light" w:eastAsia="等线 Light"/>
      <w:b/>
      <w:bCs/>
      <w:szCs w:val="32"/>
    </w:rPr>
  </w:style>
  <w:style w:type="paragraph" w:styleId="6">
    <w:name w:val="Normal (Web)"/>
    <w:basedOn w:val="1"/>
    <w:qFormat/>
    <w:uiPriority w:val="0"/>
    <w:rPr>
      <w:sz w:val="24"/>
    </w:rPr>
  </w:style>
  <w:style w:type="paragraph" w:customStyle="1" w:styleId="9">
    <w:name w:val="表格文字"/>
    <w:basedOn w:val="1"/>
    <w:qFormat/>
    <w:uiPriority w:val="0"/>
    <w:pPr>
      <w:spacing w:before="25" w:after="25"/>
    </w:pPr>
    <w:rPr>
      <w:bCs/>
      <w:spacing w:val="10"/>
      <w:sz w:val="24"/>
    </w:rPr>
  </w:style>
  <w:style w:type="character" w:customStyle="1" w:styleId="10">
    <w:name w:val="font11"/>
    <w:basedOn w:val="8"/>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206</Words>
  <Characters>212</Characters>
  <Lines>0</Lines>
  <Paragraphs>0</Paragraphs>
  <TotalTime>2</TotalTime>
  <ScaleCrop>false</ScaleCrop>
  <LinksUpToDate>false</LinksUpToDate>
  <CharactersWithSpaces>274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2021-04-26T01:02:00Z</dcterms:created>
  <dc:creator>谢岗</dc:creator>
  <cp:lastModifiedBy>xulp</cp:lastModifiedBy>
  <dcterms:modified xsi:type="dcterms:W3CDTF">2026-01-07T07:01:10Z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EDA53A2E22DF4E2ABE9247AFF16D79B0</vt:lpwstr>
  </property>
</Properties>
</file>