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spacing w:before="480" w:beforeLines="200" w:line="360" w:lineRule="auto"/>
        <w:jc w:val="left"/>
        <w:rPr>
          <w:rFonts w:eastAsia="黑体"/>
          <w:b/>
          <w:sz w:val="36"/>
          <w:szCs w:val="36"/>
        </w:rPr>
      </w:pPr>
      <w:bookmarkStart w:id="0" w:name="SectionMark0"/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-828040</wp:posOffset>
            </wp:positionH>
            <wp:positionV relativeFrom="paragraph">
              <wp:posOffset>-1091565</wp:posOffset>
            </wp:positionV>
            <wp:extent cx="7548245" cy="3088640"/>
            <wp:effectExtent l="0" t="0" r="14605" b="0"/>
            <wp:wrapTight wrapText="bothSides">
              <wp:wrapPolygon>
                <wp:start x="0" y="0"/>
                <wp:lineTo x="0" y="21449"/>
                <wp:lineTo x="21533" y="21449"/>
                <wp:lineTo x="21533" y="0"/>
                <wp:lineTo x="0" y="0"/>
              </wp:wrapPolygon>
            </wp:wrapTight>
            <wp:docPr id="2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模板-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48245" cy="3088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66"/>
        <w:ind w:firstLine="0" w:firstLineChars="0"/>
        <w:jc w:val="center"/>
        <w:rPr>
          <w:rFonts w:hint="eastAsia" w:ascii="方正小标宋_GBK" w:hAnsi="方正小标宋_GBK" w:eastAsia="方正小标宋_GBK" w:cs="方正小标宋_GBK"/>
          <w:color w:val="000000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color w:val="000000"/>
          <w:sz w:val="44"/>
          <w:szCs w:val="44"/>
        </w:rPr>
        <w:t>数字电网公司2026年瞬态磁场抗扰度测试装置零星采购项目</w:t>
      </w:r>
    </w:p>
    <w:p>
      <w:pPr>
        <w:pStyle w:val="66"/>
        <w:ind w:firstLine="0" w:firstLineChars="0"/>
        <w:jc w:val="center"/>
        <w:rPr>
          <w:rFonts w:hint="eastAsia" w:ascii="方正小标宋_GBK" w:hAnsi="方正小标宋_GBK" w:eastAsia="方正小标宋_GBK" w:cs="方正小标宋_GBK"/>
          <w:color w:val="000000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color w:val="000000"/>
          <w:sz w:val="44"/>
          <w:szCs w:val="44"/>
        </w:rPr>
        <w:t>技术规范书</w:t>
      </w:r>
    </w:p>
    <w:p>
      <w:pPr>
        <w:pStyle w:val="66"/>
        <w:spacing w:before="480" w:beforeLines="200"/>
        <w:ind w:firstLine="0" w:firstLineChars="0"/>
        <w:jc w:val="center"/>
        <w:rPr>
          <w:rFonts w:hint="eastAsia" w:asciiTheme="minorEastAsia" w:hAnsiTheme="minorEastAsia" w:eastAsiaTheme="minorEastAsia" w:cstheme="minorEastAsia"/>
          <w:b/>
          <w:spacing w:val="20"/>
          <w:w w:val="135"/>
          <w:sz w:val="28"/>
          <w:szCs w:val="28"/>
        </w:rPr>
      </w:pPr>
    </w:p>
    <w:p>
      <w:pPr>
        <w:pStyle w:val="66"/>
        <w:spacing w:before="480" w:beforeLines="200"/>
        <w:ind w:firstLine="0" w:firstLineChars="0"/>
        <w:jc w:val="center"/>
        <w:rPr>
          <w:rFonts w:hint="eastAsia" w:asciiTheme="minorEastAsia" w:hAnsiTheme="minorEastAsia" w:eastAsiaTheme="minorEastAsia" w:cstheme="minorEastAsia"/>
          <w:b/>
          <w:spacing w:val="20"/>
          <w:w w:val="135"/>
          <w:sz w:val="28"/>
          <w:szCs w:val="28"/>
        </w:rPr>
      </w:pPr>
    </w:p>
    <w:p>
      <w:pPr>
        <w:pStyle w:val="66"/>
        <w:spacing w:before="480" w:beforeLines="200"/>
        <w:ind w:firstLine="0" w:firstLineChars="0"/>
        <w:jc w:val="center"/>
        <w:rPr>
          <w:rFonts w:hint="eastAsia" w:asciiTheme="minorEastAsia" w:hAnsiTheme="minorEastAsia" w:eastAsiaTheme="minorEastAsia" w:cstheme="minorEastAsia"/>
          <w:b/>
          <w:spacing w:val="20"/>
          <w:w w:val="135"/>
          <w:sz w:val="28"/>
          <w:szCs w:val="28"/>
        </w:rPr>
      </w:pPr>
    </w:p>
    <w:p>
      <w:pPr>
        <w:pStyle w:val="66"/>
        <w:spacing w:before="480" w:beforeLines="200"/>
        <w:ind w:firstLine="0" w:firstLineChars="0"/>
        <w:jc w:val="center"/>
        <w:rPr>
          <w:rFonts w:hint="eastAsia" w:asciiTheme="minorEastAsia" w:hAnsiTheme="minorEastAsia" w:eastAsiaTheme="minorEastAsia" w:cstheme="minorEastAsia"/>
          <w:b/>
          <w:spacing w:val="20"/>
          <w:w w:val="135"/>
          <w:sz w:val="28"/>
          <w:szCs w:val="28"/>
        </w:rPr>
      </w:pPr>
    </w:p>
    <w:p>
      <w:pPr>
        <w:pStyle w:val="66"/>
        <w:spacing w:before="480" w:beforeLines="200"/>
        <w:ind w:firstLine="0" w:firstLineChars="0"/>
        <w:jc w:val="center"/>
        <w:rPr>
          <w:rFonts w:hint="eastAsia" w:asciiTheme="minorEastAsia" w:hAnsiTheme="minorEastAsia" w:eastAsiaTheme="minorEastAsia" w:cstheme="minorEastAsia"/>
          <w:b/>
          <w:spacing w:val="20"/>
          <w:w w:val="135"/>
          <w:sz w:val="28"/>
          <w:szCs w:val="28"/>
        </w:rPr>
      </w:pPr>
    </w:p>
    <w:p>
      <w:pPr>
        <w:pStyle w:val="66"/>
        <w:spacing w:before="480" w:beforeLines="200"/>
        <w:ind w:firstLine="0" w:firstLineChars="0"/>
        <w:jc w:val="center"/>
        <w:rPr>
          <w:rFonts w:hint="eastAsia" w:asciiTheme="minorEastAsia" w:hAnsiTheme="minorEastAsia" w:eastAsiaTheme="minorEastAsia" w:cstheme="minorEastAsia"/>
          <w:b/>
          <w:spacing w:val="20"/>
          <w:w w:val="135"/>
          <w:sz w:val="28"/>
          <w:szCs w:val="28"/>
        </w:rPr>
      </w:pPr>
    </w:p>
    <w:p>
      <w:pPr>
        <w:pStyle w:val="66"/>
        <w:spacing w:line="360" w:lineRule="auto"/>
        <w:ind w:firstLine="0" w:firstLineChars="0"/>
        <w:jc w:val="center"/>
        <w:rPr>
          <w:rFonts w:hint="eastAsia" w:cs="宋体"/>
          <w:b/>
          <w:bCs w:val="0"/>
          <w:sz w:val="30"/>
          <w:szCs w:val="30"/>
        </w:rPr>
      </w:pPr>
      <w:r>
        <w:rPr>
          <w:rFonts w:hint="eastAsia" w:cs="宋体"/>
          <w:b/>
          <w:bCs w:val="0"/>
          <w:sz w:val="30"/>
          <w:szCs w:val="30"/>
        </w:rPr>
        <w:t>南方电网数字电网科技（广东）有限公司</w:t>
      </w:r>
    </w:p>
    <w:p>
      <w:pPr>
        <w:pStyle w:val="66"/>
        <w:spacing w:line="360" w:lineRule="auto"/>
        <w:ind w:firstLine="0" w:firstLineChars="0"/>
        <w:rPr>
          <w:rFonts w:hint="eastAsia" w:cs="宋体"/>
          <w:b/>
          <w:bCs w:val="0"/>
          <w:sz w:val="30"/>
          <w:szCs w:val="30"/>
        </w:rPr>
      </w:pPr>
    </w:p>
    <w:p>
      <w:pPr>
        <w:pStyle w:val="66"/>
        <w:spacing w:line="360" w:lineRule="auto"/>
        <w:ind w:firstLine="0" w:firstLineChars="0"/>
        <w:jc w:val="center"/>
        <w:rPr>
          <w:rFonts w:hint="eastAsia" w:cs="宋体"/>
          <w:b/>
          <w:bCs w:val="0"/>
          <w:sz w:val="30"/>
          <w:szCs w:val="30"/>
        </w:rPr>
      </w:pPr>
      <w:r>
        <w:rPr>
          <w:rFonts w:hint="eastAsia" w:cs="宋体"/>
          <w:b/>
          <w:bCs w:val="0"/>
          <w:sz w:val="30"/>
          <w:szCs w:val="30"/>
        </w:rPr>
        <w:t>2026年1月</w:t>
      </w:r>
    </w:p>
    <w:bookmarkEnd w:id="0"/>
    <w:p>
      <w:pPr>
        <w:pageBreakBefore/>
        <w:numPr>
          <w:ilvl w:val="0"/>
          <w:numId w:val="10"/>
        </w:numPr>
        <w:adjustRightInd w:val="0"/>
        <w:snapToGrid w:val="0"/>
        <w:spacing w:line="360" w:lineRule="auto"/>
        <w:textAlignment w:val="baseline"/>
        <w:outlineLvl w:val="0"/>
        <w:rPr>
          <w:rFonts w:hint="eastAsia" w:ascii="宋体" w:hAnsi="宋体"/>
          <w:b/>
          <w:kern w:val="0"/>
          <w:sz w:val="24"/>
        </w:rPr>
      </w:pPr>
      <w:bookmarkStart w:id="1" w:name="_Toc8356"/>
      <w:bookmarkStart w:id="2" w:name="_Toc216"/>
      <w:r>
        <w:rPr>
          <w:rFonts w:ascii="宋体" w:hAnsi="宋体"/>
          <w:b/>
          <w:kern w:val="0"/>
          <w:sz w:val="24"/>
        </w:rPr>
        <w:t>总则</w:t>
      </w:r>
      <w:bookmarkEnd w:id="1"/>
      <w:bookmarkEnd w:id="2"/>
    </w:p>
    <w:p>
      <w:pPr>
        <w:numPr>
          <w:ilvl w:val="0"/>
          <w:numId w:val="11"/>
        </w:numPr>
        <w:adjustRightInd w:val="0"/>
        <w:snapToGrid w:val="0"/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ascii="宋体" w:hAnsi="宋体"/>
          <w:sz w:val="24"/>
        </w:rPr>
        <w:t>本</w:t>
      </w:r>
      <w:r>
        <w:rPr>
          <w:rFonts w:hint="eastAsia" w:ascii="宋体" w:hAnsi="宋体"/>
          <w:sz w:val="24"/>
        </w:rPr>
        <w:t>技术规范书</w:t>
      </w:r>
      <w:r>
        <w:rPr>
          <w:rFonts w:ascii="宋体" w:hAnsi="宋体"/>
          <w:sz w:val="24"/>
        </w:rPr>
        <w:t>适用于</w:t>
      </w:r>
      <w:r>
        <w:rPr>
          <w:rFonts w:hint="eastAsia" w:ascii="宋体" w:hAnsi="宋体"/>
          <w:sz w:val="24"/>
        </w:rPr>
        <w:t>数字电网公司</w:t>
      </w:r>
      <w:r>
        <w:rPr>
          <w:rFonts w:ascii="宋体" w:hAnsi="宋体"/>
          <w:sz w:val="24"/>
        </w:rPr>
        <w:t>2026</w:t>
      </w:r>
      <w:r>
        <w:rPr>
          <w:rFonts w:hint="eastAsia" w:ascii="宋体" w:hAnsi="宋体"/>
          <w:sz w:val="24"/>
        </w:rPr>
        <w:t>年瞬态磁场抗扰度测试装置零星采购项目技术要求。</w:t>
      </w:r>
    </w:p>
    <w:p>
      <w:pPr>
        <w:numPr>
          <w:ilvl w:val="0"/>
          <w:numId w:val="11"/>
        </w:numPr>
        <w:adjustRightInd w:val="0"/>
        <w:snapToGrid w:val="0"/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ascii="宋体" w:hAnsi="宋体"/>
          <w:sz w:val="24"/>
        </w:rPr>
        <w:t>本</w:t>
      </w:r>
      <w:r>
        <w:rPr>
          <w:rFonts w:hint="eastAsia" w:ascii="宋体" w:hAnsi="宋体"/>
          <w:sz w:val="24"/>
          <w:lang w:eastAsia="zh-CN"/>
        </w:rPr>
        <w:t>技术规范</w:t>
      </w:r>
      <w:r>
        <w:rPr>
          <w:rFonts w:ascii="宋体" w:hAnsi="宋体"/>
          <w:sz w:val="24"/>
        </w:rPr>
        <w:t>提出的是最低限度的技术要求，并未对一切技术细节作出规定，也未充分引述有关标准和规范的条文，</w:t>
      </w:r>
      <w:r>
        <w:rPr>
          <w:rFonts w:hint="eastAsia" w:ascii="宋体" w:hAnsi="宋体"/>
          <w:sz w:val="24"/>
          <w:lang w:eastAsia="zh-CN"/>
        </w:rPr>
        <w:t>报价人</w:t>
      </w:r>
      <w:r>
        <w:rPr>
          <w:rFonts w:ascii="宋体" w:hAnsi="宋体"/>
          <w:sz w:val="24"/>
        </w:rPr>
        <w:t>应提供符合本</w:t>
      </w:r>
      <w:bookmarkStart w:id="3" w:name="OLE_LINK1"/>
      <w:bookmarkStart w:id="4" w:name="OLE_LINK2"/>
      <w:r>
        <w:rPr>
          <w:rFonts w:hint="eastAsia" w:ascii="宋体" w:hAnsi="宋体"/>
          <w:sz w:val="24"/>
          <w:lang w:eastAsia="zh-CN"/>
        </w:rPr>
        <w:t>技术规范</w:t>
      </w:r>
      <w:r>
        <w:rPr>
          <w:rFonts w:hint="eastAsia" w:ascii="宋体" w:hAnsi="宋体"/>
          <w:sz w:val="24"/>
        </w:rPr>
        <w:t>及本</w:t>
      </w:r>
      <w:r>
        <w:rPr>
          <w:rFonts w:hint="eastAsia" w:ascii="宋体" w:hAnsi="宋体"/>
          <w:sz w:val="24"/>
          <w:lang w:eastAsia="zh-CN"/>
        </w:rPr>
        <w:t>技术规范</w:t>
      </w:r>
      <w:r>
        <w:rPr>
          <w:rFonts w:hint="eastAsia" w:ascii="宋体" w:hAnsi="宋体"/>
          <w:sz w:val="24"/>
        </w:rPr>
        <w:t>引用的国家标准和行业标准</w:t>
      </w:r>
      <w:bookmarkEnd w:id="3"/>
      <w:bookmarkEnd w:id="4"/>
      <w:r>
        <w:rPr>
          <w:rFonts w:ascii="宋体" w:hAnsi="宋体"/>
          <w:sz w:val="24"/>
        </w:rPr>
        <w:t>的优质产品。</w:t>
      </w:r>
    </w:p>
    <w:p>
      <w:pPr>
        <w:numPr>
          <w:ilvl w:val="0"/>
          <w:numId w:val="11"/>
        </w:numPr>
        <w:adjustRightInd w:val="0"/>
        <w:snapToGrid w:val="0"/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ascii="宋体" w:hAnsi="宋体"/>
          <w:sz w:val="24"/>
        </w:rPr>
        <w:t>本</w:t>
      </w:r>
      <w:r>
        <w:rPr>
          <w:rFonts w:hint="eastAsia" w:ascii="宋体" w:hAnsi="宋体"/>
          <w:sz w:val="24"/>
          <w:lang w:eastAsia="zh-CN"/>
        </w:rPr>
        <w:t>技术规范</w:t>
      </w:r>
      <w:r>
        <w:rPr>
          <w:rFonts w:ascii="宋体" w:hAnsi="宋体"/>
          <w:sz w:val="24"/>
        </w:rPr>
        <w:t>所</w:t>
      </w:r>
      <w:r>
        <w:rPr>
          <w:rFonts w:hint="eastAsia" w:ascii="宋体" w:hAnsi="宋体"/>
          <w:sz w:val="24"/>
        </w:rPr>
        <w:t>要求</w:t>
      </w:r>
      <w:r>
        <w:rPr>
          <w:rFonts w:ascii="宋体" w:hAnsi="宋体"/>
          <w:sz w:val="24"/>
        </w:rPr>
        <w:t>的标准如与</w:t>
      </w:r>
      <w:r>
        <w:rPr>
          <w:rFonts w:hint="eastAsia" w:ascii="宋体" w:hAnsi="宋体"/>
          <w:sz w:val="24"/>
          <w:lang w:eastAsia="zh-CN"/>
        </w:rPr>
        <w:t>报价人</w:t>
      </w:r>
      <w:r>
        <w:rPr>
          <w:rFonts w:ascii="宋体" w:hAnsi="宋体"/>
          <w:sz w:val="24"/>
        </w:rPr>
        <w:t>所执行的标准不一致时，按较高标准执行。</w:t>
      </w:r>
    </w:p>
    <w:p>
      <w:pPr>
        <w:numPr>
          <w:ilvl w:val="0"/>
          <w:numId w:val="11"/>
        </w:numPr>
        <w:adjustRightInd w:val="0"/>
        <w:snapToGrid w:val="0"/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ascii="宋体" w:hAnsi="宋体"/>
          <w:sz w:val="24"/>
        </w:rPr>
        <w:t>本</w:t>
      </w:r>
      <w:r>
        <w:rPr>
          <w:rFonts w:hint="eastAsia" w:ascii="宋体" w:hAnsi="宋体"/>
          <w:sz w:val="24"/>
          <w:lang w:eastAsia="zh-CN"/>
        </w:rPr>
        <w:t>技术规范</w:t>
      </w:r>
      <w:r>
        <w:rPr>
          <w:rFonts w:ascii="宋体" w:hAnsi="宋体"/>
          <w:sz w:val="24"/>
        </w:rPr>
        <w:t>经</w:t>
      </w:r>
      <w:r>
        <w:rPr>
          <w:rFonts w:hint="eastAsia" w:ascii="宋体" w:hAnsi="宋体"/>
          <w:sz w:val="24"/>
          <w:lang w:eastAsia="zh-CN"/>
        </w:rPr>
        <w:t>采购人</w:t>
      </w:r>
      <w:r>
        <w:rPr>
          <w:rFonts w:hint="eastAsia" w:ascii="宋体" w:hAnsi="宋体"/>
          <w:sz w:val="24"/>
        </w:rPr>
        <w:t>、</w:t>
      </w:r>
      <w:r>
        <w:rPr>
          <w:rFonts w:hint="eastAsia" w:ascii="宋体" w:hAnsi="宋体"/>
          <w:sz w:val="24"/>
          <w:lang w:eastAsia="zh-CN"/>
        </w:rPr>
        <w:t>报价人</w:t>
      </w:r>
      <w:r>
        <w:rPr>
          <w:rFonts w:hint="eastAsia" w:ascii="宋体" w:hAnsi="宋体"/>
          <w:sz w:val="24"/>
        </w:rPr>
        <w:t>双</w:t>
      </w:r>
      <w:r>
        <w:rPr>
          <w:rFonts w:ascii="宋体" w:hAnsi="宋体"/>
          <w:sz w:val="24"/>
        </w:rPr>
        <w:t>方确认后作为订货合同的技术附件，与合同正文具有同等法律效力。</w:t>
      </w:r>
    </w:p>
    <w:p>
      <w:pPr>
        <w:numPr>
          <w:ilvl w:val="0"/>
          <w:numId w:val="11"/>
        </w:numPr>
        <w:adjustRightInd w:val="0"/>
        <w:snapToGrid w:val="0"/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ascii="宋体" w:hAnsi="宋体"/>
          <w:sz w:val="24"/>
        </w:rPr>
        <w:t>在执行合同的过程中，</w:t>
      </w:r>
      <w:r>
        <w:rPr>
          <w:rFonts w:hint="eastAsia" w:ascii="宋体" w:hAnsi="宋体"/>
          <w:sz w:val="24"/>
          <w:lang w:eastAsia="zh-CN"/>
        </w:rPr>
        <w:t>采购人</w:t>
      </w:r>
      <w:r>
        <w:rPr>
          <w:rFonts w:hint="eastAsia" w:ascii="宋体" w:hAnsi="宋体"/>
          <w:sz w:val="24"/>
        </w:rPr>
        <w:t>若</w:t>
      </w:r>
      <w:r>
        <w:rPr>
          <w:rFonts w:ascii="宋体" w:hAnsi="宋体"/>
          <w:sz w:val="24"/>
        </w:rPr>
        <w:t>发现</w:t>
      </w:r>
      <w:r>
        <w:rPr>
          <w:rFonts w:hint="eastAsia" w:ascii="宋体" w:hAnsi="宋体"/>
          <w:sz w:val="24"/>
          <w:lang w:eastAsia="zh-CN"/>
        </w:rPr>
        <w:t>报价人</w:t>
      </w:r>
      <w:r>
        <w:rPr>
          <w:rFonts w:ascii="宋体" w:hAnsi="宋体"/>
          <w:sz w:val="24"/>
        </w:rPr>
        <w:t>提供的产品与</w:t>
      </w:r>
      <w:r>
        <w:rPr>
          <w:rFonts w:hint="eastAsia" w:ascii="宋体" w:hAnsi="宋体"/>
          <w:sz w:val="24"/>
          <w:lang w:eastAsia="zh-CN"/>
        </w:rPr>
        <w:t>技术规范</w:t>
      </w:r>
      <w:r>
        <w:rPr>
          <w:rFonts w:ascii="宋体" w:hAnsi="宋体"/>
          <w:sz w:val="24"/>
        </w:rPr>
        <w:t>的条文存在差异，</w:t>
      </w:r>
      <w:r>
        <w:rPr>
          <w:rFonts w:hint="eastAsia" w:ascii="宋体" w:hAnsi="宋体"/>
          <w:sz w:val="24"/>
          <w:lang w:eastAsia="zh-CN"/>
        </w:rPr>
        <w:t>采购人</w:t>
      </w:r>
      <w:r>
        <w:rPr>
          <w:rFonts w:ascii="宋体" w:hAnsi="宋体"/>
          <w:sz w:val="24"/>
        </w:rPr>
        <w:t>有权利要求退货。</w:t>
      </w:r>
    </w:p>
    <w:p>
      <w:pPr>
        <w:numPr>
          <w:ilvl w:val="0"/>
          <w:numId w:val="11"/>
        </w:numPr>
        <w:adjustRightInd w:val="0"/>
        <w:snapToGrid w:val="0"/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ascii="宋体" w:hAnsi="宋体"/>
          <w:sz w:val="24"/>
        </w:rPr>
        <w:t>本</w:t>
      </w:r>
      <w:r>
        <w:rPr>
          <w:rFonts w:hint="eastAsia" w:ascii="宋体" w:hAnsi="宋体"/>
          <w:sz w:val="24"/>
          <w:lang w:eastAsia="zh-CN"/>
        </w:rPr>
        <w:t>技术规范</w:t>
      </w:r>
      <w:r>
        <w:rPr>
          <w:rFonts w:ascii="宋体" w:hAnsi="宋体"/>
          <w:sz w:val="24"/>
        </w:rPr>
        <w:t>未尽事宜，由</w:t>
      </w:r>
      <w:r>
        <w:rPr>
          <w:rFonts w:hint="eastAsia" w:ascii="宋体" w:hAnsi="宋体"/>
          <w:sz w:val="24"/>
          <w:lang w:eastAsia="zh-CN"/>
        </w:rPr>
        <w:t>采购人</w:t>
      </w:r>
      <w:r>
        <w:rPr>
          <w:rFonts w:hint="eastAsia" w:ascii="宋体" w:hAnsi="宋体"/>
          <w:sz w:val="24"/>
        </w:rPr>
        <w:t>、</w:t>
      </w:r>
      <w:r>
        <w:rPr>
          <w:rFonts w:hint="eastAsia" w:ascii="宋体" w:hAnsi="宋体"/>
          <w:sz w:val="24"/>
          <w:lang w:eastAsia="zh-CN"/>
        </w:rPr>
        <w:t>报价人</w:t>
      </w:r>
      <w:r>
        <w:rPr>
          <w:rFonts w:ascii="宋体" w:hAnsi="宋体"/>
          <w:sz w:val="24"/>
        </w:rPr>
        <w:t>双方协商确定。</w:t>
      </w:r>
    </w:p>
    <w:p>
      <w:pPr>
        <w:numPr>
          <w:ilvl w:val="0"/>
          <w:numId w:val="11"/>
        </w:numPr>
        <w:adjustRightInd w:val="0"/>
        <w:snapToGrid w:val="0"/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报价人</w:t>
      </w:r>
      <w:r>
        <w:rPr>
          <w:rFonts w:hint="eastAsia" w:ascii="宋体" w:hAnsi="宋体"/>
          <w:sz w:val="24"/>
          <w:lang w:val="en-US" w:eastAsia="zh-CN"/>
        </w:rPr>
        <w:t>需</w:t>
      </w:r>
      <w:r>
        <w:rPr>
          <w:rFonts w:hint="eastAsia" w:ascii="宋体" w:hAnsi="宋体"/>
          <w:sz w:val="24"/>
        </w:rPr>
        <w:t>对技术</w:t>
      </w:r>
      <w:r>
        <w:rPr>
          <w:rFonts w:hint="eastAsia" w:ascii="宋体" w:hAnsi="宋体"/>
          <w:sz w:val="24"/>
          <w:lang w:val="en-US" w:eastAsia="zh-CN"/>
        </w:rPr>
        <w:t>规范书</w:t>
      </w:r>
      <w:r>
        <w:rPr>
          <w:rFonts w:hint="eastAsia" w:ascii="宋体" w:hAnsi="宋体"/>
          <w:sz w:val="24"/>
        </w:rPr>
        <w:t>进行点对点进行响应</w:t>
      </w:r>
      <w:r>
        <w:rPr>
          <w:rFonts w:hint="eastAsia" w:ascii="宋体" w:hAnsi="宋体"/>
          <w:sz w:val="24"/>
          <w:lang w:val="en-US" w:eastAsia="zh-CN"/>
        </w:rPr>
        <w:t>,</w:t>
      </w:r>
      <w:r>
        <w:rPr>
          <w:rFonts w:hint="eastAsia" w:ascii="宋体" w:hAnsi="宋体"/>
          <w:sz w:val="24"/>
        </w:rPr>
        <w:t>报价人</w:t>
      </w:r>
      <w:r>
        <w:rPr>
          <w:rFonts w:ascii="宋体" w:hAnsi="宋体"/>
          <w:sz w:val="24"/>
        </w:rPr>
        <w:t>若不能完全响应或优于响应</w:t>
      </w:r>
      <w:r>
        <w:rPr>
          <w:rFonts w:hint="eastAsia" w:ascii="宋体" w:hAnsi="宋体"/>
          <w:sz w:val="24"/>
        </w:rPr>
        <w:t>本</w:t>
      </w:r>
      <w:r>
        <w:rPr>
          <w:rFonts w:hint="eastAsia" w:ascii="宋体" w:hAnsi="宋体"/>
          <w:sz w:val="24"/>
          <w:lang w:eastAsia="zh-CN"/>
        </w:rPr>
        <w:t>技术</w:t>
      </w:r>
      <w:r>
        <w:rPr>
          <w:rFonts w:hint="eastAsia" w:ascii="宋体" w:hAnsi="宋体" w:eastAsia="宋体" w:cs="Times New Roman"/>
          <w:sz w:val="24"/>
          <w:lang w:eastAsia="zh-CN"/>
        </w:rPr>
        <w:t>规范</w:t>
      </w:r>
      <w:r>
        <w:rPr>
          <w:rFonts w:hint="eastAsia" w:ascii="宋体" w:hAnsi="宋体"/>
          <w:sz w:val="24"/>
        </w:rPr>
        <w:t>要求，则视为报价无效</w:t>
      </w:r>
      <w:bookmarkStart w:id="29" w:name="_GoBack"/>
      <w:bookmarkEnd w:id="29"/>
      <w:r>
        <w:rPr>
          <w:rFonts w:hint="eastAsia" w:ascii="宋体" w:hAnsi="宋体"/>
          <w:sz w:val="24"/>
        </w:rPr>
        <w:t>。</w:t>
      </w:r>
    </w:p>
    <w:p>
      <w:pPr>
        <w:numPr>
          <w:ilvl w:val="0"/>
          <w:numId w:val="10"/>
        </w:numPr>
        <w:adjustRightInd w:val="0"/>
        <w:snapToGrid w:val="0"/>
        <w:spacing w:line="360" w:lineRule="auto"/>
        <w:textAlignment w:val="baseline"/>
        <w:outlineLvl w:val="0"/>
        <w:rPr>
          <w:rFonts w:hint="eastAsia" w:ascii="宋体" w:hAnsi="宋体"/>
          <w:b/>
          <w:kern w:val="0"/>
          <w:sz w:val="24"/>
        </w:rPr>
      </w:pPr>
      <w:bookmarkStart w:id="5" w:name="_Toc1766"/>
      <w:bookmarkStart w:id="6" w:name="_Toc6144"/>
      <w:r>
        <w:rPr>
          <w:rFonts w:ascii="宋体" w:hAnsi="宋体"/>
          <w:b/>
          <w:kern w:val="0"/>
          <w:sz w:val="24"/>
        </w:rPr>
        <w:t>应遵循的主要标准</w:t>
      </w:r>
      <w:bookmarkEnd w:id="5"/>
      <w:bookmarkEnd w:id="6"/>
    </w:p>
    <w:p>
      <w:pPr>
        <w:tabs>
          <w:tab w:val="left" w:pos="1440"/>
          <w:tab w:val="left" w:pos="3960"/>
        </w:tabs>
        <w:adjustRightInd w:val="0"/>
        <w:snapToGrid w:val="0"/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ascii="宋体" w:hAnsi="宋体"/>
          <w:sz w:val="24"/>
        </w:rPr>
        <w:t>下列标准所包含的条文，通过在本</w:t>
      </w:r>
      <w:r>
        <w:rPr>
          <w:rFonts w:hint="eastAsia" w:ascii="宋体" w:hAnsi="宋体"/>
          <w:sz w:val="24"/>
          <w:lang w:eastAsia="zh-CN"/>
        </w:rPr>
        <w:t>技术规范</w:t>
      </w:r>
      <w:r>
        <w:rPr>
          <w:rFonts w:ascii="宋体" w:hAnsi="宋体"/>
          <w:sz w:val="24"/>
        </w:rPr>
        <w:t>中引用而构成本</w:t>
      </w:r>
      <w:r>
        <w:rPr>
          <w:rFonts w:hint="eastAsia" w:ascii="宋体" w:hAnsi="宋体"/>
          <w:sz w:val="24"/>
          <w:lang w:eastAsia="zh-CN"/>
        </w:rPr>
        <w:t>技术规范</w:t>
      </w:r>
      <w:r>
        <w:rPr>
          <w:rFonts w:ascii="宋体" w:hAnsi="宋体"/>
          <w:sz w:val="24"/>
        </w:rPr>
        <w:t>的基本条文。在本</w:t>
      </w:r>
      <w:r>
        <w:rPr>
          <w:rFonts w:hint="eastAsia" w:ascii="宋体" w:hAnsi="宋体"/>
          <w:sz w:val="24"/>
          <w:lang w:eastAsia="zh-CN"/>
        </w:rPr>
        <w:t>技术规范</w:t>
      </w:r>
      <w:r>
        <w:rPr>
          <w:rFonts w:ascii="宋体" w:hAnsi="宋体"/>
          <w:sz w:val="24"/>
        </w:rPr>
        <w:t>出版时，所示版本均为有效。所有标准都会被修订，使用本</w:t>
      </w:r>
      <w:r>
        <w:rPr>
          <w:rFonts w:hint="eastAsia" w:ascii="宋体" w:hAnsi="宋体"/>
          <w:sz w:val="24"/>
          <w:lang w:eastAsia="zh-CN"/>
        </w:rPr>
        <w:t>技术规范</w:t>
      </w:r>
      <w:r>
        <w:rPr>
          <w:rFonts w:ascii="宋体" w:hAnsi="宋体"/>
          <w:sz w:val="24"/>
        </w:rPr>
        <w:t>的各方应探讨使用下列标准最新版本的可能性。按标准号顺序排列标准，如果各标准要求有所不同，满足更高的标准要求。</w:t>
      </w:r>
    </w:p>
    <w:p>
      <w:pPr>
        <w:numPr>
          <w:ilvl w:val="0"/>
          <w:numId w:val="12"/>
        </w:numPr>
        <w:spacing w:line="360" w:lineRule="auto"/>
        <w:ind w:left="901"/>
        <w:rPr>
          <w:rFonts w:ascii="Segoe UI" w:hAnsi="Segoe UI" w:cs="Segoe UI"/>
          <w:sz w:val="24"/>
          <w:shd w:val="clear" w:color="auto" w:fill="FFFFFF"/>
          <w:lang w:val="sv-SE"/>
        </w:rPr>
      </w:pPr>
      <w:bookmarkStart w:id="7" w:name="_Toc24736"/>
      <w:bookmarkStart w:id="8" w:name="_Toc12013"/>
      <w:bookmarkStart w:id="9" w:name="_Toc306129423"/>
      <w:r>
        <w:rPr>
          <w:rFonts w:hint="eastAsia" w:ascii="Segoe UI" w:hAnsi="Segoe UI" w:cs="Segoe UI"/>
          <w:sz w:val="24"/>
          <w:shd w:val="clear" w:color="auto" w:fill="FFFFFF"/>
        </w:rPr>
        <w:t>IEC61000-4-9  电磁兼容性（EMC） 第 4-9 部分：试验和测量技术 脉冲磁场抗扰度试验</w:t>
      </w:r>
    </w:p>
    <w:p>
      <w:pPr>
        <w:numPr>
          <w:ilvl w:val="0"/>
          <w:numId w:val="12"/>
        </w:numPr>
        <w:spacing w:line="360" w:lineRule="auto"/>
        <w:ind w:left="901"/>
        <w:rPr>
          <w:rFonts w:ascii="Segoe UI" w:hAnsi="Segoe UI" w:cs="Segoe UI"/>
          <w:sz w:val="24"/>
          <w:shd w:val="clear" w:color="auto" w:fill="FFFFFF"/>
          <w:lang w:val="sv-SE"/>
        </w:rPr>
      </w:pPr>
      <w:r>
        <w:rPr>
          <w:rFonts w:hint="eastAsia" w:ascii="Segoe UI" w:hAnsi="Segoe UI" w:cs="Segoe UI"/>
          <w:sz w:val="24"/>
          <w:shd w:val="clear" w:color="auto" w:fill="FFFFFF"/>
          <w:lang w:val="en-US" w:eastAsia="zh-CN"/>
        </w:rPr>
        <w:t>IEC 61000-4-8电磁兼容性（EMC） 第4-8部分：测试和测量技术 工频磁场抗扰度试验</w:t>
      </w:r>
    </w:p>
    <w:p>
      <w:pPr>
        <w:numPr>
          <w:ilvl w:val="0"/>
          <w:numId w:val="12"/>
        </w:numPr>
        <w:spacing w:line="360" w:lineRule="auto"/>
        <w:ind w:left="901"/>
        <w:rPr>
          <w:rFonts w:ascii="Segoe UI" w:hAnsi="Segoe UI" w:cs="Segoe UI"/>
          <w:sz w:val="24"/>
          <w:shd w:val="clear" w:color="auto" w:fill="FFFFFF"/>
          <w:lang w:val="sv-SE"/>
        </w:rPr>
      </w:pPr>
      <w:r>
        <w:rPr>
          <w:rFonts w:hint="eastAsia" w:ascii="Segoe UI" w:hAnsi="Segoe UI" w:cs="Segoe UI"/>
          <w:sz w:val="24"/>
          <w:shd w:val="clear" w:color="auto" w:fill="FFFFFF"/>
          <w:lang w:val="en-US" w:eastAsia="zh-CN"/>
        </w:rPr>
        <w:t>IEC 61000-4-10是电磁兼容性（EMC）第4-10部分：试验和测量技术——阻尼振荡磁场抗扰度试验</w:t>
      </w:r>
    </w:p>
    <w:p>
      <w:pPr>
        <w:numPr>
          <w:ilvl w:val="0"/>
          <w:numId w:val="12"/>
        </w:numPr>
        <w:spacing w:line="360" w:lineRule="auto"/>
        <w:ind w:left="901"/>
        <w:rPr>
          <w:rFonts w:hint="eastAsia" w:ascii="Segoe UI" w:hAnsi="Segoe UI" w:eastAsia="Segoe UI" w:cs="Segoe UI"/>
          <w:sz w:val="24"/>
          <w:shd w:val="clear" w:color="auto" w:fill="FFFFFF"/>
          <w:lang w:val="sv-SE" w:eastAsia="zh-CN"/>
        </w:rPr>
      </w:pPr>
      <w:r>
        <w:rPr>
          <w:rFonts w:ascii="Segoe UI" w:hAnsi="Segoe UI" w:eastAsia="Segoe UI" w:cs="Segoe UI"/>
          <w:sz w:val="24"/>
          <w:shd w:val="clear" w:color="auto" w:fill="FFFFFF"/>
        </w:rPr>
        <w:t>GB/T17626.</w:t>
      </w:r>
      <w:r>
        <w:rPr>
          <w:rFonts w:hint="eastAsia" w:ascii="Segoe UI" w:hAnsi="Segoe UI" w:cs="Segoe UI"/>
          <w:sz w:val="24"/>
          <w:shd w:val="clear" w:color="auto" w:fill="FFFFFF"/>
          <w:lang w:val="en-US" w:eastAsia="zh-CN"/>
        </w:rPr>
        <w:t>8</w:t>
      </w:r>
      <w:r>
        <w:rPr>
          <w:rFonts w:ascii="Segoe UI" w:hAnsi="Segoe UI" w:eastAsia="Segoe UI" w:cs="Segoe UI"/>
          <w:sz w:val="24"/>
          <w:shd w:val="clear" w:color="auto" w:fill="FFFFFF"/>
        </w:rPr>
        <w:t xml:space="preserve"> </w:t>
      </w:r>
      <w:r>
        <w:rPr>
          <w:rFonts w:hint="eastAsia" w:ascii="Segoe UI" w:hAnsi="Segoe UI" w:eastAsia="Segoe UI" w:cs="Segoe UI"/>
          <w:sz w:val="24"/>
          <w:shd w:val="clear" w:color="auto" w:fill="FFFFFF"/>
          <w:lang w:val="en-US" w:eastAsia="zh-CN"/>
        </w:rPr>
        <w:t xml:space="preserve"> 电磁兼容 工频磁场抗扰度试验</w:t>
      </w:r>
    </w:p>
    <w:p>
      <w:pPr>
        <w:numPr>
          <w:ilvl w:val="0"/>
          <w:numId w:val="12"/>
        </w:numPr>
        <w:spacing w:line="360" w:lineRule="auto"/>
        <w:ind w:left="901"/>
        <w:rPr>
          <w:lang w:val="sv-SE"/>
        </w:rPr>
      </w:pPr>
      <w:r>
        <w:rPr>
          <w:rFonts w:hint="eastAsia" w:ascii="Segoe UI" w:hAnsi="Segoe UI" w:eastAsia="Segoe UI" w:cs="Segoe UI"/>
          <w:sz w:val="24"/>
          <w:shd w:val="clear" w:color="auto" w:fill="FFFFFF"/>
          <w:lang w:val="en-US" w:eastAsia="zh-CN"/>
        </w:rPr>
        <w:t>GB/T 17626.9 电磁兼容 脉冲磁场试验</w:t>
      </w:r>
    </w:p>
    <w:p>
      <w:pPr>
        <w:numPr>
          <w:ilvl w:val="0"/>
          <w:numId w:val="12"/>
        </w:numPr>
        <w:spacing w:line="360" w:lineRule="auto"/>
        <w:ind w:left="901"/>
        <w:rPr>
          <w:lang w:val="sv-SE"/>
        </w:rPr>
      </w:pPr>
      <w:r>
        <w:rPr>
          <w:rFonts w:hint="eastAsia" w:ascii="Segoe UI" w:hAnsi="Segoe UI" w:eastAsia="Segoe UI" w:cs="Segoe UI"/>
          <w:sz w:val="24"/>
          <w:shd w:val="clear" w:color="auto" w:fill="FFFFFF"/>
          <w:lang w:val="en-US" w:eastAsia="zh-CN"/>
        </w:rPr>
        <w:t>GB/T 17626.10 电磁兼容 阻尼振荡磁场试验</w:t>
      </w:r>
      <w:r>
        <w:rPr>
          <w:rFonts w:hint="eastAsia" w:ascii="Segoe UI" w:hAnsi="Segoe UI" w:cs="Segoe UI"/>
          <w:sz w:val="24"/>
          <w:shd w:val="clear" w:color="auto" w:fill="FFFFFF"/>
          <w:lang w:val="en-US" w:eastAsia="zh-CN"/>
        </w:rPr>
        <w:t>.</w:t>
      </w:r>
    </w:p>
    <w:p>
      <w:pPr>
        <w:numPr>
          <w:ilvl w:val="0"/>
          <w:numId w:val="10"/>
        </w:numPr>
        <w:adjustRightInd w:val="0"/>
        <w:snapToGrid w:val="0"/>
        <w:spacing w:before="240" w:beforeLines="100" w:line="360" w:lineRule="auto"/>
        <w:textAlignment w:val="baseline"/>
        <w:outlineLvl w:val="0"/>
        <w:rPr>
          <w:rFonts w:hint="eastAsia" w:ascii="宋体" w:hAnsi="宋体"/>
          <w:b/>
          <w:kern w:val="0"/>
          <w:sz w:val="24"/>
        </w:rPr>
      </w:pPr>
      <w:r>
        <w:rPr>
          <w:rFonts w:hint="eastAsia" w:ascii="宋体" w:hAnsi="宋体"/>
          <w:b/>
          <w:kern w:val="0"/>
          <w:sz w:val="24"/>
        </w:rPr>
        <w:t>使用条件</w:t>
      </w:r>
      <w:bookmarkEnd w:id="7"/>
      <w:bookmarkEnd w:id="8"/>
    </w:p>
    <w:p>
      <w:pPr>
        <w:numPr>
          <w:ilvl w:val="0"/>
          <w:numId w:val="13"/>
        </w:numPr>
        <w:adjustRightInd w:val="0"/>
        <w:snapToGrid w:val="0"/>
        <w:spacing w:line="360" w:lineRule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工作环境条件</w:t>
      </w:r>
    </w:p>
    <w:p>
      <w:pPr>
        <w:numPr>
          <w:ilvl w:val="0"/>
          <w:numId w:val="14"/>
        </w:numPr>
        <w:adjustRightInd w:val="0"/>
        <w:snapToGrid w:val="0"/>
        <w:spacing w:line="360" w:lineRule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环境温度：0℃～+40℃；</w:t>
      </w:r>
    </w:p>
    <w:p>
      <w:pPr>
        <w:numPr>
          <w:ilvl w:val="0"/>
          <w:numId w:val="14"/>
        </w:numPr>
        <w:adjustRightInd w:val="0"/>
        <w:snapToGrid w:val="0"/>
        <w:spacing w:line="360" w:lineRule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相对湿度：5%～95％；</w:t>
      </w:r>
    </w:p>
    <w:p>
      <w:pPr>
        <w:numPr>
          <w:ilvl w:val="0"/>
          <w:numId w:val="14"/>
        </w:numPr>
        <w:adjustRightInd w:val="0"/>
        <w:snapToGrid w:val="0"/>
        <w:spacing w:line="360" w:lineRule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大气压力：</w:t>
      </w:r>
      <w:r>
        <w:rPr>
          <w:rFonts w:ascii="宋体" w:hAnsi="宋体"/>
          <w:sz w:val="24"/>
        </w:rPr>
        <w:t xml:space="preserve"> 70kPa～106kPa；</w:t>
      </w:r>
    </w:p>
    <w:p>
      <w:pPr>
        <w:numPr>
          <w:ilvl w:val="0"/>
          <w:numId w:val="13"/>
        </w:numPr>
        <w:adjustRightInd w:val="0"/>
        <w:snapToGrid w:val="0"/>
        <w:spacing w:line="360" w:lineRule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贮存、运输极限环境温度</w:t>
      </w:r>
    </w:p>
    <w:p>
      <w:pPr>
        <w:tabs>
          <w:tab w:val="left" w:pos="1440"/>
          <w:tab w:val="left" w:pos="3960"/>
        </w:tabs>
        <w:adjustRightInd w:val="0"/>
        <w:snapToGrid w:val="0"/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贮存、运输环境温度极限值为-5℃～+50℃，在不施加任何激励量的条件下，装置应不出现不可逆变化。温度恢复正常后，装置的性能应仍符合本部分中的有关要求。</w:t>
      </w:r>
    </w:p>
    <w:p>
      <w:pPr>
        <w:pStyle w:val="97"/>
        <w:numPr>
          <w:ilvl w:val="255"/>
          <w:numId w:val="0"/>
        </w:numPr>
        <w:adjustRightInd w:val="0"/>
        <w:snapToGrid w:val="0"/>
        <w:spacing w:line="360" w:lineRule="auto"/>
        <w:ind w:left="420" w:leftChars="200"/>
        <w:jc w:val="left"/>
        <w:rPr>
          <w:color w:val="FF0000"/>
        </w:rPr>
      </w:pPr>
      <w:r>
        <w:rPr>
          <w:rFonts w:hint="eastAsia" w:ascii="宋体" w:hAnsi="宋体"/>
          <w:b/>
          <w:bCs/>
          <w:color w:val="FF0000"/>
          <w:sz w:val="28"/>
          <w:szCs w:val="28"/>
        </w:rPr>
        <w:t>报价人响应：</w:t>
      </w:r>
    </w:p>
    <w:p>
      <w:pPr>
        <w:numPr>
          <w:ilvl w:val="0"/>
          <w:numId w:val="10"/>
        </w:numPr>
        <w:adjustRightInd w:val="0"/>
        <w:snapToGrid w:val="0"/>
        <w:spacing w:before="240" w:beforeLines="100" w:line="360" w:lineRule="auto"/>
        <w:textAlignment w:val="baseline"/>
        <w:outlineLvl w:val="0"/>
        <w:rPr>
          <w:rFonts w:hint="eastAsia" w:ascii="宋体" w:hAnsi="宋体"/>
          <w:b/>
          <w:sz w:val="24"/>
        </w:rPr>
      </w:pPr>
      <w:bookmarkStart w:id="10" w:name="_Toc21795"/>
      <w:bookmarkStart w:id="11" w:name="_Toc8488"/>
      <w:r>
        <w:rPr>
          <w:rFonts w:hint="eastAsia" w:ascii="宋体" w:hAnsi="宋体"/>
          <w:b/>
          <w:kern w:val="0"/>
          <w:sz w:val="24"/>
        </w:rPr>
        <w:t>技术</w:t>
      </w:r>
      <w:bookmarkEnd w:id="9"/>
      <w:bookmarkEnd w:id="10"/>
      <w:bookmarkEnd w:id="11"/>
      <w:r>
        <w:rPr>
          <w:rFonts w:hint="eastAsia" w:ascii="宋体" w:hAnsi="宋体"/>
          <w:b/>
          <w:kern w:val="0"/>
          <w:sz w:val="24"/>
        </w:rPr>
        <w:t>要求</w:t>
      </w:r>
    </w:p>
    <w:p>
      <w:pPr>
        <w:numPr>
          <w:ilvl w:val="0"/>
          <w:numId w:val="15"/>
        </w:numPr>
        <w:adjustRightInd w:val="0"/>
        <w:snapToGrid w:val="0"/>
        <w:spacing w:line="360" w:lineRule="auto"/>
        <w:outlineLvl w:val="1"/>
        <w:rPr>
          <w:rFonts w:hint="eastAsia"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>瞬态磁场抗扰度测试装置技术要求</w:t>
      </w:r>
    </w:p>
    <w:p>
      <w:pPr>
        <w:tabs>
          <w:tab w:val="left" w:pos="1440"/>
          <w:tab w:val="left" w:pos="3960"/>
        </w:tabs>
        <w:adjustRightInd w:val="0"/>
        <w:snapToGrid w:val="0"/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各项配置、功能与性能不低于普锐马PFM61009TG瞬态磁场抗扰度测试装置</w:t>
      </w:r>
    </w:p>
    <w:tbl>
      <w:tblPr>
        <w:tblStyle w:val="35"/>
        <w:tblpPr w:leftFromText="180" w:rightFromText="180" w:vertAnchor="text" w:horzAnchor="page" w:tblpX="1316" w:tblpY="455"/>
        <w:tblOverlap w:val="never"/>
        <w:tblW w:w="4995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31"/>
        <w:gridCol w:w="747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2"/>
              </w:rPr>
              <w:t>测试标准</w:t>
            </w:r>
          </w:p>
        </w:tc>
        <w:tc>
          <w:tcPr>
            <w:tcW w:w="7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符合 IEC61000-4-9和GB/T17626.9新标准要求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屏幕与显示</w:t>
            </w:r>
          </w:p>
        </w:tc>
        <w:tc>
          <w:tcPr>
            <w:tcW w:w="7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7.0寸触摸屏，内置温湿度显示、实时电流显示，实时判断实验可靠性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模式</w:t>
            </w:r>
          </w:p>
        </w:tc>
        <w:tc>
          <w:tcPr>
            <w:tcW w:w="7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支持国标模式、用户自定义模式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脉冲磁场输出波形</w:t>
            </w:r>
          </w:p>
        </w:tc>
        <w:tc>
          <w:tcPr>
            <w:tcW w:w="7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电压波:1.2/50us;电流波:6.4/16us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2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磁场强度</w:t>
            </w:r>
          </w:p>
        </w:tc>
        <w:tc>
          <w:tcPr>
            <w:tcW w:w="7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0A/m～3000A/m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" w:hRule="atLeast"/>
        </w:trPr>
        <w:tc>
          <w:tcPr>
            <w:tcW w:w="2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上升时间</w:t>
            </w:r>
          </w:p>
        </w:tc>
        <w:tc>
          <w:tcPr>
            <w:tcW w:w="7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6.4us士30%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持续时间</w:t>
            </w:r>
          </w:p>
        </w:tc>
        <w:tc>
          <w:tcPr>
            <w:tcW w:w="7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16us士30%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综合波输出阻抗</w:t>
            </w:r>
          </w:p>
        </w:tc>
        <w:tc>
          <w:tcPr>
            <w:tcW w:w="7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2Ω±0.25Ω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最大开路电压</w:t>
            </w:r>
          </w:p>
        </w:tc>
        <w:tc>
          <w:tcPr>
            <w:tcW w:w="7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6KV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最大短路电流</w:t>
            </w:r>
          </w:p>
        </w:tc>
        <w:tc>
          <w:tcPr>
            <w:tcW w:w="7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3KA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输出极性</w:t>
            </w:r>
          </w:p>
        </w:tc>
        <w:tc>
          <w:tcPr>
            <w:tcW w:w="7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正或负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2"/>
              </w:rPr>
              <w:t>脉冲触发方式</w:t>
            </w:r>
          </w:p>
        </w:tc>
        <w:tc>
          <w:tcPr>
            <w:tcW w:w="7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2"/>
              </w:rPr>
              <w:t>手动或自动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2"/>
              </w:rPr>
              <w:t>脉冲次数</w:t>
            </w:r>
          </w:p>
        </w:tc>
        <w:tc>
          <w:tcPr>
            <w:tcW w:w="7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2"/>
              </w:rPr>
              <w:t>1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～</w:t>
            </w:r>
            <w:r>
              <w:rPr>
                <w:rFonts w:hint="eastAsia" w:ascii="宋体" w:hAnsi="宋体" w:cs="宋体"/>
                <w:color w:val="000000"/>
                <w:sz w:val="22"/>
                <w:szCs w:val="22"/>
              </w:rPr>
              <w:t>9999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2"/>
              </w:rPr>
              <w:t>脉冲间隔</w:t>
            </w:r>
          </w:p>
        </w:tc>
        <w:tc>
          <w:tcPr>
            <w:tcW w:w="7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2"/>
              </w:rPr>
              <w:t>10s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～</w:t>
            </w:r>
            <w:r>
              <w:rPr>
                <w:rFonts w:hint="eastAsia" w:ascii="宋体" w:hAnsi="宋体" w:cs="宋体"/>
                <w:color w:val="000000"/>
                <w:sz w:val="22"/>
                <w:szCs w:val="22"/>
              </w:rPr>
              <w:t>99s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2"/>
              </w:rPr>
              <w:t>工作电源</w:t>
            </w:r>
          </w:p>
        </w:tc>
        <w:tc>
          <w:tcPr>
            <w:tcW w:w="7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2"/>
              </w:rPr>
              <w:t>AC220V 50/60Hz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2"/>
              </w:rPr>
              <w:t>磁场方向</w:t>
            </w:r>
          </w:p>
        </w:tc>
        <w:tc>
          <w:tcPr>
            <w:tcW w:w="7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2"/>
              </w:rPr>
              <w:t>水平180°/垂直90°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2"/>
              </w:rPr>
              <w:t>包含</w:t>
            </w:r>
            <w:r>
              <w:rPr>
                <w:rFonts w:ascii="宋体" w:hAnsi="宋体" w:cs="宋体"/>
                <w:color w:val="000000"/>
                <w:sz w:val="22"/>
                <w:szCs w:val="22"/>
              </w:rPr>
              <w:t>磁场线圈</w:t>
            </w:r>
          </w:p>
        </w:tc>
        <w:tc>
          <w:tcPr>
            <w:tcW w:w="74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2"/>
              </w:rPr>
              <w:t>满足IEC61000-4-8/9/10、GB/T17626.8/9/10，单匝1M*1M</w:t>
            </w:r>
          </w:p>
        </w:tc>
      </w:tr>
    </w:tbl>
    <w:p>
      <w:pPr>
        <w:pStyle w:val="97"/>
        <w:adjustRightInd w:val="0"/>
        <w:snapToGrid w:val="0"/>
        <w:spacing w:line="360" w:lineRule="auto"/>
        <w:ind w:firstLine="0" w:firstLineChars="0"/>
        <w:jc w:val="left"/>
        <w:rPr>
          <w:rFonts w:hint="eastAsia" w:ascii="宋体" w:hAnsi="宋体"/>
          <w:sz w:val="24"/>
        </w:rPr>
      </w:pPr>
    </w:p>
    <w:p>
      <w:pPr>
        <w:pStyle w:val="97"/>
        <w:numPr>
          <w:ilvl w:val="255"/>
          <w:numId w:val="0"/>
        </w:numPr>
        <w:adjustRightInd w:val="0"/>
        <w:snapToGrid w:val="0"/>
        <w:spacing w:line="360" w:lineRule="auto"/>
        <w:ind w:left="420" w:leftChars="200"/>
        <w:jc w:val="left"/>
        <w:rPr>
          <w:rFonts w:hint="eastAsia" w:ascii="宋体" w:hAnsi="宋体"/>
          <w:b/>
          <w:bCs/>
          <w:color w:val="FF0000"/>
          <w:sz w:val="28"/>
          <w:szCs w:val="28"/>
        </w:rPr>
      </w:pPr>
      <w:r>
        <w:rPr>
          <w:rFonts w:hint="eastAsia" w:ascii="宋体" w:hAnsi="宋体"/>
          <w:b/>
          <w:bCs/>
          <w:color w:val="FF0000"/>
          <w:sz w:val="28"/>
          <w:szCs w:val="28"/>
        </w:rPr>
        <w:t>报价人响应：</w:t>
      </w:r>
    </w:p>
    <w:p>
      <w:pPr>
        <w:pStyle w:val="97"/>
        <w:numPr>
          <w:ilvl w:val="255"/>
          <w:numId w:val="0"/>
        </w:numPr>
        <w:adjustRightInd w:val="0"/>
        <w:snapToGrid w:val="0"/>
        <w:spacing w:line="360" w:lineRule="auto"/>
        <w:ind w:left="420" w:leftChars="200"/>
        <w:jc w:val="left"/>
        <w:rPr>
          <w:rFonts w:hint="eastAsia" w:ascii="宋体" w:hAnsi="宋体"/>
          <w:b/>
          <w:bCs/>
          <w:color w:val="FF0000"/>
          <w:sz w:val="28"/>
          <w:szCs w:val="28"/>
        </w:rPr>
      </w:pPr>
    </w:p>
    <w:p>
      <w:pPr>
        <w:numPr>
          <w:ilvl w:val="0"/>
          <w:numId w:val="10"/>
        </w:numPr>
        <w:adjustRightInd w:val="0"/>
        <w:snapToGrid w:val="0"/>
        <w:spacing w:line="360" w:lineRule="auto"/>
        <w:textAlignment w:val="baseline"/>
        <w:outlineLvl w:val="0"/>
        <w:rPr>
          <w:rFonts w:hint="eastAsia" w:ascii="宋体" w:hAnsi="宋体"/>
          <w:b/>
          <w:kern w:val="0"/>
          <w:sz w:val="24"/>
        </w:rPr>
      </w:pPr>
      <w:r>
        <w:rPr>
          <w:rFonts w:hint="eastAsia" w:ascii="宋体" w:hAnsi="宋体"/>
          <w:b/>
          <w:kern w:val="0"/>
          <w:sz w:val="24"/>
        </w:rPr>
        <w:t>设备生产与交付</w:t>
      </w:r>
    </w:p>
    <w:p>
      <w:pPr>
        <w:widowControl/>
        <w:numPr>
          <w:ilvl w:val="0"/>
          <w:numId w:val="16"/>
        </w:numPr>
        <w:spacing w:line="360" w:lineRule="auto"/>
        <w:ind w:left="0" w:firstLine="480" w:firstLineChars="200"/>
        <w:jc w:val="left"/>
        <w:rPr>
          <w:rFonts w:hint="eastAsia" w:asciiTheme="minorEastAsia" w:hAnsiTheme="minorEastAsia" w:eastAsiaTheme="minorEastAsia" w:cstheme="minorEastAsia"/>
          <w:color w:val="000000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  <w:lang w:eastAsia="zh-CN"/>
        </w:rPr>
        <w:t>报价人</w:t>
      </w:r>
      <w:r>
        <w:rPr>
          <w:rFonts w:hint="eastAsia" w:asciiTheme="minorEastAsia" w:hAnsiTheme="minorEastAsia" w:eastAsiaTheme="minorEastAsia" w:cstheme="minorEastAsia"/>
          <w:sz w:val="24"/>
        </w:rPr>
        <w:t>应于</w:t>
      </w:r>
      <w:r>
        <w:rPr>
          <w:rFonts w:asciiTheme="minorEastAsia" w:hAnsiTheme="minorEastAsia" w:eastAsiaTheme="minorEastAsia" w:cstheme="minorEastAsia"/>
          <w:sz w:val="24"/>
        </w:rPr>
        <w:t>2026</w:t>
      </w:r>
      <w:r>
        <w:rPr>
          <w:rFonts w:hint="eastAsia" w:asciiTheme="minorEastAsia" w:hAnsiTheme="minorEastAsia" w:eastAsiaTheme="minorEastAsia" w:cstheme="minorEastAsia"/>
          <w:sz w:val="24"/>
        </w:rPr>
        <w:t>年2月10日前完成所有设备生产并送达至</w:t>
      </w:r>
      <w:r>
        <w:rPr>
          <w:rFonts w:hint="eastAsia" w:asciiTheme="minorEastAsia" w:hAnsiTheme="minorEastAsia" w:eastAsiaTheme="minorEastAsia" w:cstheme="minorEastAsia"/>
          <w:sz w:val="24"/>
          <w:lang w:eastAsia="zh-CN"/>
        </w:rPr>
        <w:t>采购人</w:t>
      </w:r>
      <w:r>
        <w:rPr>
          <w:rFonts w:hint="eastAsia" w:asciiTheme="minorEastAsia" w:hAnsiTheme="minorEastAsia" w:eastAsiaTheme="minorEastAsia" w:cstheme="minorEastAsia"/>
          <w:sz w:val="24"/>
        </w:rPr>
        <w:t>指定地点，同时</w:t>
      </w:r>
      <w:r>
        <w:rPr>
          <w:rFonts w:hint="eastAsia" w:asciiTheme="minorEastAsia" w:hAnsiTheme="minorEastAsia" w:eastAsiaTheme="minorEastAsia" w:cstheme="minorEastAsia"/>
          <w:color w:val="000000"/>
          <w:sz w:val="24"/>
        </w:rPr>
        <w:t>提供设备的相关资料，包括产品的测试认证报告、使用说明书、合格证、购买发票等资料。</w:t>
      </w:r>
    </w:p>
    <w:p>
      <w:pPr>
        <w:pStyle w:val="97"/>
        <w:numPr>
          <w:ilvl w:val="255"/>
          <w:numId w:val="0"/>
        </w:numPr>
        <w:adjustRightInd w:val="0"/>
        <w:snapToGrid w:val="0"/>
        <w:spacing w:line="360" w:lineRule="auto"/>
        <w:ind w:left="420" w:leftChars="200"/>
        <w:jc w:val="left"/>
        <w:rPr>
          <w:rFonts w:hint="eastAsia" w:ascii="宋体" w:hAnsi="宋体"/>
          <w:b/>
          <w:bCs/>
          <w:color w:val="FF0000"/>
          <w:sz w:val="28"/>
          <w:szCs w:val="28"/>
        </w:rPr>
      </w:pPr>
      <w:r>
        <w:rPr>
          <w:rFonts w:hint="eastAsia" w:ascii="宋体" w:hAnsi="宋体"/>
          <w:b/>
          <w:bCs/>
          <w:color w:val="FF0000"/>
          <w:sz w:val="28"/>
          <w:szCs w:val="28"/>
        </w:rPr>
        <w:t>报价人响应：</w:t>
      </w:r>
    </w:p>
    <w:p>
      <w:pPr>
        <w:pStyle w:val="97"/>
        <w:numPr>
          <w:ilvl w:val="255"/>
          <w:numId w:val="0"/>
        </w:numPr>
        <w:adjustRightInd w:val="0"/>
        <w:snapToGrid w:val="0"/>
        <w:spacing w:line="360" w:lineRule="auto"/>
        <w:ind w:left="420" w:leftChars="200"/>
        <w:jc w:val="left"/>
        <w:rPr>
          <w:rFonts w:hint="eastAsia" w:ascii="宋体" w:hAnsi="宋体"/>
          <w:b/>
          <w:bCs/>
          <w:color w:val="FF0000"/>
          <w:sz w:val="28"/>
          <w:szCs w:val="28"/>
        </w:rPr>
      </w:pPr>
    </w:p>
    <w:p>
      <w:pPr>
        <w:numPr>
          <w:ilvl w:val="0"/>
          <w:numId w:val="10"/>
        </w:numPr>
        <w:adjustRightInd w:val="0"/>
        <w:snapToGrid w:val="0"/>
        <w:spacing w:line="360" w:lineRule="auto"/>
        <w:textAlignment w:val="baseline"/>
        <w:outlineLvl w:val="0"/>
        <w:rPr>
          <w:rFonts w:hint="eastAsia" w:ascii="宋体" w:hAnsi="宋体"/>
          <w:b/>
          <w:kern w:val="0"/>
          <w:sz w:val="24"/>
        </w:rPr>
      </w:pPr>
      <w:bookmarkStart w:id="12" w:name="_Toc74925183"/>
      <w:bookmarkStart w:id="13" w:name="_Toc75893344"/>
      <w:bookmarkStart w:id="14" w:name="_Toc74918148"/>
      <w:r>
        <w:rPr>
          <w:rFonts w:hint="eastAsia" w:ascii="宋体" w:hAnsi="宋体"/>
          <w:b/>
          <w:kern w:val="0"/>
          <w:sz w:val="24"/>
        </w:rPr>
        <w:t>设备</w:t>
      </w:r>
      <w:bookmarkEnd w:id="12"/>
      <w:bookmarkEnd w:id="13"/>
      <w:bookmarkEnd w:id="14"/>
      <w:r>
        <w:rPr>
          <w:rFonts w:hint="eastAsia" w:ascii="宋体" w:hAnsi="宋体"/>
          <w:b/>
          <w:kern w:val="0"/>
          <w:sz w:val="24"/>
        </w:rPr>
        <w:t>培训</w:t>
      </w:r>
    </w:p>
    <w:p>
      <w:pPr>
        <w:pStyle w:val="49"/>
        <w:tabs>
          <w:tab w:val="center" w:pos="4201"/>
          <w:tab w:val="right" w:leader="dot" w:pos="9298"/>
        </w:tabs>
        <w:spacing w:line="360" w:lineRule="auto"/>
        <w:ind w:firstLine="480"/>
        <w:rPr>
          <w:rFonts w:hint="eastAsia" w:asciiTheme="minorEastAsia" w:hAnsiTheme="minorEastAsia" w:eastAsiaTheme="minorEastAsia" w:cstheme="minorEastAsia"/>
          <w:color w:val="00000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  <w:szCs w:val="24"/>
          <w:lang w:eastAsia="zh-CN"/>
        </w:rPr>
        <w:t>报价人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szCs w:val="24"/>
        </w:rPr>
        <w:t>应负责设备的培训，保障设备正常使用。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szCs w:val="24"/>
          <w:lang w:eastAsia="zh-CN"/>
        </w:rPr>
        <w:t>报价人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szCs w:val="24"/>
        </w:rPr>
        <w:t xml:space="preserve">需明确以下内容： </w:t>
      </w:r>
    </w:p>
    <w:p>
      <w:pPr>
        <w:widowControl/>
        <w:numPr>
          <w:ilvl w:val="0"/>
          <w:numId w:val="17"/>
        </w:numPr>
        <w:spacing w:line="360" w:lineRule="auto"/>
        <w:ind w:left="0" w:firstLine="480" w:firstLineChars="200"/>
        <w:jc w:val="left"/>
        <w:rPr>
          <w:rFonts w:hint="eastAsia" w:asciiTheme="minorEastAsia" w:hAnsiTheme="minorEastAsia" w:eastAsiaTheme="minorEastAsia" w:cstheme="minorEastAsia"/>
          <w:color w:val="000000"/>
          <w:sz w:val="24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</w:rPr>
        <w:t>设备培训由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lang w:eastAsia="zh-CN"/>
        </w:rPr>
        <w:t>报价人</w:t>
      </w:r>
      <w:r>
        <w:rPr>
          <w:rFonts w:hint="eastAsia" w:asciiTheme="minorEastAsia" w:hAnsiTheme="minorEastAsia" w:eastAsiaTheme="minorEastAsia" w:cstheme="minorEastAsia"/>
          <w:color w:val="000000"/>
          <w:sz w:val="24"/>
        </w:rPr>
        <w:t>负责。</w:t>
      </w:r>
    </w:p>
    <w:p>
      <w:pPr>
        <w:widowControl/>
        <w:numPr>
          <w:ilvl w:val="0"/>
          <w:numId w:val="17"/>
        </w:numPr>
        <w:spacing w:line="360" w:lineRule="auto"/>
        <w:ind w:left="0" w:firstLine="480" w:firstLineChars="200"/>
        <w:jc w:val="left"/>
        <w:rPr>
          <w:rFonts w:hint="eastAsia" w:asciiTheme="minorEastAsia" w:hAnsiTheme="minorEastAsia" w:eastAsiaTheme="minorEastAsia" w:cstheme="minorEastAsia"/>
          <w:color w:val="000000"/>
          <w:sz w:val="24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  <w:lang w:eastAsia="zh-CN"/>
        </w:rPr>
        <w:t>报价人</w:t>
      </w:r>
      <w:r>
        <w:rPr>
          <w:rFonts w:hint="eastAsia" w:asciiTheme="minorEastAsia" w:hAnsiTheme="minorEastAsia" w:eastAsiaTheme="minorEastAsia" w:cstheme="minorEastAsia"/>
          <w:color w:val="000000"/>
          <w:sz w:val="24"/>
        </w:rPr>
        <w:t>培训前应提出完整的培训计划并经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lang w:eastAsia="zh-CN"/>
        </w:rPr>
        <w:t>采购人</w:t>
      </w:r>
      <w:r>
        <w:rPr>
          <w:rFonts w:hint="eastAsia" w:asciiTheme="minorEastAsia" w:hAnsiTheme="minorEastAsia" w:eastAsiaTheme="minorEastAsia" w:cstheme="minorEastAsia"/>
          <w:color w:val="000000"/>
          <w:sz w:val="24"/>
        </w:rPr>
        <w:t>确认，包括设备培训的内容、项目、指标、方法和进度。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lang w:eastAsia="zh-CN"/>
        </w:rPr>
        <w:t>报价人</w:t>
      </w:r>
      <w:r>
        <w:rPr>
          <w:rFonts w:hint="eastAsia" w:asciiTheme="minorEastAsia" w:hAnsiTheme="minorEastAsia" w:eastAsiaTheme="minorEastAsia" w:cstheme="minorEastAsia"/>
          <w:color w:val="000000"/>
          <w:sz w:val="24"/>
        </w:rPr>
        <w:t>有责任对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lang w:eastAsia="zh-CN"/>
        </w:rPr>
        <w:t>采购人</w:t>
      </w:r>
      <w:r>
        <w:rPr>
          <w:rFonts w:hint="eastAsia" w:asciiTheme="minorEastAsia" w:hAnsiTheme="minorEastAsia" w:eastAsiaTheme="minorEastAsia" w:cstheme="minorEastAsia"/>
          <w:color w:val="000000"/>
          <w:sz w:val="24"/>
        </w:rPr>
        <w:t>的技术人员提出的问题做出解答。培训应进行详细记录，培训结束后，由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lang w:eastAsia="zh-CN"/>
        </w:rPr>
        <w:t>报价人</w:t>
      </w:r>
      <w:r>
        <w:rPr>
          <w:rFonts w:hint="eastAsia" w:asciiTheme="minorEastAsia" w:hAnsiTheme="minorEastAsia" w:eastAsiaTheme="minorEastAsia" w:cstheme="minorEastAsia"/>
          <w:color w:val="000000"/>
          <w:sz w:val="24"/>
        </w:rPr>
        <w:t>技术人员签字后交给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lang w:eastAsia="zh-CN"/>
        </w:rPr>
        <w:t>采购人</w:t>
      </w:r>
      <w:r>
        <w:rPr>
          <w:rFonts w:hint="eastAsia" w:asciiTheme="minorEastAsia" w:hAnsiTheme="minorEastAsia" w:eastAsiaTheme="minorEastAsia" w:cstheme="minorEastAsia"/>
          <w:color w:val="000000"/>
          <w:sz w:val="24"/>
        </w:rPr>
        <w:t>验收。</w:t>
      </w:r>
    </w:p>
    <w:p>
      <w:pPr>
        <w:pStyle w:val="97"/>
        <w:numPr>
          <w:ilvl w:val="255"/>
          <w:numId w:val="0"/>
        </w:numPr>
        <w:adjustRightInd w:val="0"/>
        <w:snapToGrid w:val="0"/>
        <w:spacing w:line="360" w:lineRule="auto"/>
        <w:ind w:left="420" w:leftChars="200"/>
        <w:jc w:val="left"/>
        <w:rPr>
          <w:rFonts w:hint="eastAsia" w:ascii="宋体" w:hAnsi="宋体" w:eastAsia="宋体" w:cs="Times New Roman"/>
          <w:b/>
          <w:bCs/>
          <w:color w:val="FF0000"/>
          <w:sz w:val="28"/>
          <w:szCs w:val="28"/>
        </w:rPr>
      </w:pPr>
      <w:r>
        <w:rPr>
          <w:rFonts w:hint="eastAsia" w:ascii="宋体" w:hAnsi="宋体" w:eastAsia="宋体" w:cs="Times New Roman"/>
          <w:b/>
          <w:bCs/>
          <w:color w:val="FF0000"/>
          <w:sz w:val="28"/>
          <w:szCs w:val="28"/>
        </w:rPr>
        <w:t>报价人响应：</w:t>
      </w:r>
    </w:p>
    <w:p>
      <w:pPr>
        <w:pStyle w:val="97"/>
        <w:numPr>
          <w:ilvl w:val="255"/>
          <w:numId w:val="0"/>
        </w:numPr>
        <w:adjustRightInd w:val="0"/>
        <w:snapToGrid w:val="0"/>
        <w:spacing w:line="360" w:lineRule="auto"/>
        <w:ind w:left="420" w:leftChars="200"/>
        <w:jc w:val="left"/>
        <w:rPr>
          <w:rFonts w:hint="eastAsia" w:ascii="宋体" w:hAnsi="宋体" w:eastAsia="宋体" w:cs="Times New Roman"/>
          <w:b/>
          <w:bCs/>
          <w:color w:val="FF0000"/>
          <w:sz w:val="28"/>
          <w:szCs w:val="28"/>
        </w:rPr>
      </w:pPr>
    </w:p>
    <w:p>
      <w:pPr>
        <w:numPr>
          <w:ilvl w:val="0"/>
          <w:numId w:val="10"/>
        </w:numPr>
        <w:adjustRightInd w:val="0"/>
        <w:snapToGrid w:val="0"/>
        <w:spacing w:line="360" w:lineRule="auto"/>
        <w:textAlignment w:val="baseline"/>
        <w:outlineLvl w:val="0"/>
        <w:rPr>
          <w:rFonts w:hint="eastAsia" w:ascii="宋体" w:hAnsi="宋体"/>
          <w:b/>
          <w:kern w:val="0"/>
          <w:sz w:val="24"/>
        </w:rPr>
      </w:pPr>
      <w:r>
        <w:rPr>
          <w:rFonts w:hint="eastAsia" w:ascii="宋体" w:hAnsi="宋体"/>
          <w:b/>
          <w:kern w:val="0"/>
          <w:sz w:val="24"/>
        </w:rPr>
        <w:t>技术服务</w:t>
      </w:r>
    </w:p>
    <w:p>
      <w:pPr>
        <w:adjustRightInd w:val="0"/>
        <w:snapToGrid w:val="0"/>
        <w:spacing w:line="360" w:lineRule="auto"/>
        <w:outlineLvl w:val="1"/>
        <w:rPr>
          <w:rFonts w:hint="eastAsia"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>7.1技术支持</w:t>
      </w:r>
    </w:p>
    <w:p>
      <w:pPr>
        <w:overflowPunct w:val="0"/>
        <w:topLinePunct/>
        <w:spacing w:line="360" w:lineRule="auto"/>
        <w:ind w:firstLine="480" w:firstLineChars="200"/>
        <w:rPr>
          <w:rFonts w:hint="eastAsia" w:asciiTheme="minorEastAsia" w:hAnsiTheme="minorEastAsia" w:eastAsiaTheme="minorEastAsia" w:cstheme="minorEastAsia"/>
          <w:color w:val="000000"/>
          <w:sz w:val="24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  <w:lang w:eastAsia="zh-CN"/>
        </w:rPr>
        <w:t>报价人</w:t>
      </w:r>
      <w:r>
        <w:rPr>
          <w:rFonts w:hint="eastAsia" w:asciiTheme="minorEastAsia" w:hAnsiTheme="minorEastAsia" w:eastAsiaTheme="minorEastAsia" w:cstheme="minorEastAsia"/>
          <w:color w:val="000000"/>
          <w:sz w:val="24"/>
        </w:rPr>
        <w:t>必须向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lang w:eastAsia="zh-CN"/>
        </w:rPr>
        <w:t>采购人</w:t>
      </w:r>
      <w:r>
        <w:rPr>
          <w:rFonts w:hint="eastAsia" w:asciiTheme="minorEastAsia" w:hAnsiTheme="minorEastAsia" w:eastAsiaTheme="minorEastAsia" w:cstheme="minorEastAsia"/>
          <w:color w:val="000000"/>
          <w:sz w:val="24"/>
        </w:rPr>
        <w:t>承诺技术支持。</w:t>
      </w:r>
    </w:p>
    <w:p>
      <w:pPr>
        <w:adjustRightInd w:val="0"/>
        <w:snapToGrid w:val="0"/>
        <w:spacing w:line="360" w:lineRule="auto"/>
        <w:outlineLvl w:val="1"/>
        <w:rPr>
          <w:rFonts w:hint="eastAsia"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>7.2远程技术支持</w:t>
      </w:r>
    </w:p>
    <w:p>
      <w:pPr>
        <w:overflowPunct w:val="0"/>
        <w:topLinePunct/>
        <w:spacing w:line="360" w:lineRule="auto"/>
        <w:ind w:firstLine="480" w:firstLineChars="200"/>
        <w:rPr>
          <w:rFonts w:hint="eastAsia" w:asciiTheme="minorEastAsia" w:hAnsiTheme="minorEastAsia" w:eastAsiaTheme="minorEastAsia" w:cstheme="minorEastAsia"/>
          <w:color w:val="000000"/>
          <w:sz w:val="24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  <w:lang w:eastAsia="zh-CN"/>
        </w:rPr>
        <w:t>报价人</w:t>
      </w:r>
      <w:r>
        <w:rPr>
          <w:rFonts w:hint="eastAsia" w:asciiTheme="minorEastAsia" w:hAnsiTheme="minorEastAsia" w:eastAsiaTheme="minorEastAsia" w:cstheme="minorEastAsia"/>
          <w:color w:val="000000"/>
          <w:sz w:val="24"/>
        </w:rPr>
        <w:t>能通过电话、电子邮件、传真等手段，提供技术咨询、各级故障排除等远程技术支持服务。</w:t>
      </w:r>
    </w:p>
    <w:p>
      <w:pPr>
        <w:adjustRightInd w:val="0"/>
        <w:snapToGrid w:val="0"/>
        <w:spacing w:line="360" w:lineRule="auto"/>
        <w:outlineLvl w:val="1"/>
        <w:rPr>
          <w:rFonts w:hint="eastAsia" w:ascii="宋体" w:hAnsi="宋体"/>
          <w:b/>
          <w:sz w:val="24"/>
        </w:rPr>
      </w:pPr>
      <w:bookmarkStart w:id="15" w:name="_Toc27734"/>
      <w:bookmarkStart w:id="16" w:name="_Toc292976451"/>
      <w:bookmarkStart w:id="17" w:name="_Toc306799826"/>
      <w:bookmarkStart w:id="18" w:name="_Toc293907321"/>
      <w:bookmarkStart w:id="19" w:name="_Toc306801490"/>
      <w:r>
        <w:rPr>
          <w:rFonts w:hint="eastAsia" w:ascii="宋体" w:hAnsi="宋体"/>
          <w:b/>
          <w:sz w:val="24"/>
        </w:rPr>
        <w:t>7.3现场技术支持</w:t>
      </w:r>
      <w:bookmarkEnd w:id="15"/>
      <w:bookmarkEnd w:id="16"/>
      <w:bookmarkEnd w:id="17"/>
      <w:bookmarkEnd w:id="18"/>
      <w:bookmarkEnd w:id="19"/>
    </w:p>
    <w:p>
      <w:pPr>
        <w:overflowPunct w:val="0"/>
        <w:topLinePunct/>
        <w:spacing w:line="360" w:lineRule="auto"/>
        <w:ind w:firstLine="480" w:firstLineChars="200"/>
        <w:rPr>
          <w:rFonts w:hint="eastAsia" w:asciiTheme="minorEastAsia" w:hAnsiTheme="minorEastAsia" w:eastAsiaTheme="minorEastAsia" w:cstheme="minorEastAsia"/>
          <w:color w:val="000000"/>
          <w:sz w:val="24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  <w:lang w:eastAsia="zh-CN"/>
        </w:rPr>
        <w:t>报价人</w:t>
      </w:r>
      <w:r>
        <w:rPr>
          <w:rFonts w:hint="eastAsia" w:asciiTheme="minorEastAsia" w:hAnsiTheme="minorEastAsia" w:eastAsiaTheme="minorEastAsia" w:cstheme="minorEastAsia"/>
          <w:color w:val="000000"/>
          <w:sz w:val="24"/>
        </w:rPr>
        <w:t>针对远程技术支持无法解决的事项，按规定时限派出专业技术人员进行现场排除故障的服务。</w:t>
      </w:r>
    </w:p>
    <w:p>
      <w:pPr>
        <w:pStyle w:val="97"/>
        <w:numPr>
          <w:ilvl w:val="255"/>
          <w:numId w:val="0"/>
        </w:numPr>
        <w:adjustRightInd w:val="0"/>
        <w:snapToGrid w:val="0"/>
        <w:spacing w:line="360" w:lineRule="auto"/>
        <w:ind w:left="420" w:leftChars="200"/>
        <w:jc w:val="left"/>
        <w:rPr>
          <w:rFonts w:hint="eastAsia" w:ascii="宋体" w:hAnsi="宋体" w:eastAsia="宋体" w:cs="Times New Roman"/>
          <w:b/>
          <w:bCs/>
          <w:color w:val="FF0000"/>
          <w:sz w:val="28"/>
          <w:szCs w:val="28"/>
        </w:rPr>
      </w:pPr>
      <w:r>
        <w:rPr>
          <w:rFonts w:hint="eastAsia" w:ascii="宋体" w:hAnsi="宋体" w:eastAsia="宋体" w:cs="Times New Roman"/>
          <w:b/>
          <w:bCs/>
          <w:color w:val="FF0000"/>
          <w:sz w:val="28"/>
          <w:szCs w:val="28"/>
        </w:rPr>
        <w:t>报价人响应：</w:t>
      </w:r>
    </w:p>
    <w:p>
      <w:pPr>
        <w:pStyle w:val="97"/>
        <w:numPr>
          <w:ilvl w:val="255"/>
          <w:numId w:val="0"/>
        </w:numPr>
        <w:adjustRightInd w:val="0"/>
        <w:snapToGrid w:val="0"/>
        <w:spacing w:line="360" w:lineRule="auto"/>
        <w:ind w:left="420" w:leftChars="200"/>
        <w:jc w:val="left"/>
        <w:rPr>
          <w:rFonts w:hint="eastAsia" w:ascii="宋体" w:hAnsi="宋体" w:eastAsia="宋体" w:cs="Times New Roman"/>
          <w:b/>
          <w:bCs/>
          <w:color w:val="FF0000"/>
          <w:sz w:val="28"/>
          <w:szCs w:val="28"/>
        </w:rPr>
      </w:pPr>
    </w:p>
    <w:p>
      <w:pPr>
        <w:numPr>
          <w:ilvl w:val="0"/>
          <w:numId w:val="10"/>
        </w:numPr>
        <w:adjustRightInd w:val="0"/>
        <w:snapToGrid w:val="0"/>
        <w:spacing w:line="360" w:lineRule="auto"/>
        <w:textAlignment w:val="baseline"/>
        <w:outlineLvl w:val="0"/>
        <w:rPr>
          <w:rFonts w:hint="eastAsia" w:ascii="宋体" w:hAnsi="宋体"/>
          <w:b/>
          <w:kern w:val="0"/>
          <w:sz w:val="24"/>
        </w:rPr>
      </w:pPr>
      <w:r>
        <w:rPr>
          <w:rFonts w:hint="eastAsia" w:ascii="宋体" w:hAnsi="宋体"/>
          <w:b/>
          <w:kern w:val="0"/>
          <w:sz w:val="24"/>
        </w:rPr>
        <w:t>质量保证</w:t>
      </w:r>
    </w:p>
    <w:p>
      <w:pPr>
        <w:pStyle w:val="14"/>
        <w:numPr>
          <w:ilvl w:val="1"/>
          <w:numId w:val="18"/>
        </w:numPr>
        <w:ind w:left="0" w:firstLine="426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  <w:szCs w:val="24"/>
          <w:lang w:eastAsia="zh-CN"/>
        </w:rPr>
        <w:t>报价人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方应确保其所提供的设备和材料的完整性和可用性，保证设备能够投入正常运行。</w:t>
      </w:r>
    </w:p>
    <w:p>
      <w:pPr>
        <w:pStyle w:val="14"/>
        <w:numPr>
          <w:ilvl w:val="1"/>
          <w:numId w:val="18"/>
        </w:numPr>
        <w:ind w:left="0" w:firstLine="426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  <w:szCs w:val="24"/>
          <w:lang w:eastAsia="zh-CN"/>
        </w:rPr>
        <w:t>报价人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在设计、制造、交货的各个阶段，均应满足设备运行的高度可靠性。</w:t>
      </w:r>
    </w:p>
    <w:p>
      <w:pPr>
        <w:pStyle w:val="14"/>
        <w:numPr>
          <w:ilvl w:val="1"/>
          <w:numId w:val="18"/>
        </w:numPr>
        <w:ind w:left="0" w:firstLine="426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  <w:szCs w:val="24"/>
          <w:lang w:eastAsia="zh-CN"/>
        </w:rPr>
        <w:t>报价人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应提供设备制造商的详细质量保障体系文档供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采购人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对其质量保障体系有效性进行评估。</w:t>
      </w:r>
    </w:p>
    <w:p>
      <w:pPr>
        <w:pStyle w:val="14"/>
        <w:numPr>
          <w:ilvl w:val="1"/>
          <w:numId w:val="18"/>
        </w:numPr>
        <w:ind w:left="0" w:firstLine="426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现场验收合格后即进入质量保证期，在保证期内系统出现故障时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采购人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负责及时通知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szCs w:val="24"/>
          <w:lang w:eastAsia="zh-CN"/>
        </w:rPr>
        <w:t>报价人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。</w:t>
      </w:r>
    </w:p>
    <w:p>
      <w:pPr>
        <w:pStyle w:val="14"/>
        <w:numPr>
          <w:ilvl w:val="1"/>
          <w:numId w:val="18"/>
        </w:numPr>
        <w:ind w:left="0" w:firstLine="426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质量保证期：不少于2年。</w:t>
      </w:r>
    </w:p>
    <w:p>
      <w:pPr>
        <w:pStyle w:val="97"/>
        <w:numPr>
          <w:ilvl w:val="255"/>
          <w:numId w:val="0"/>
        </w:numPr>
        <w:adjustRightInd w:val="0"/>
        <w:snapToGrid w:val="0"/>
        <w:spacing w:line="360" w:lineRule="auto"/>
        <w:ind w:left="420" w:leftChars="200"/>
        <w:jc w:val="left"/>
        <w:rPr>
          <w:rFonts w:hint="eastAsia" w:ascii="宋体" w:hAnsi="宋体"/>
          <w:b/>
          <w:bCs/>
          <w:color w:val="FF0000"/>
          <w:sz w:val="28"/>
          <w:szCs w:val="28"/>
        </w:rPr>
      </w:pPr>
      <w:r>
        <w:rPr>
          <w:rFonts w:hint="eastAsia" w:ascii="宋体" w:hAnsi="宋体"/>
          <w:b/>
          <w:bCs/>
          <w:color w:val="FF0000"/>
          <w:sz w:val="28"/>
          <w:szCs w:val="28"/>
        </w:rPr>
        <w:t>报价人响应：</w:t>
      </w:r>
    </w:p>
    <w:p>
      <w:pPr>
        <w:pStyle w:val="14"/>
        <w:numPr>
          <w:ilvl w:val="255"/>
          <w:numId w:val="0"/>
        </w:numPr>
        <w:ind w:left="426"/>
        <w:rPr>
          <w:rFonts w:hint="eastAsia" w:asciiTheme="minorEastAsia" w:hAnsiTheme="minorEastAsia" w:eastAsiaTheme="minorEastAsia" w:cstheme="minorEastAsia"/>
          <w:sz w:val="24"/>
          <w:szCs w:val="24"/>
        </w:rPr>
      </w:pPr>
    </w:p>
    <w:p>
      <w:pPr>
        <w:numPr>
          <w:ilvl w:val="0"/>
          <w:numId w:val="10"/>
        </w:numPr>
        <w:adjustRightInd w:val="0"/>
        <w:snapToGrid w:val="0"/>
        <w:spacing w:line="360" w:lineRule="auto"/>
        <w:textAlignment w:val="baseline"/>
        <w:outlineLvl w:val="0"/>
        <w:rPr>
          <w:rFonts w:hint="eastAsia" w:ascii="宋体" w:hAnsi="宋体"/>
          <w:b/>
          <w:kern w:val="0"/>
          <w:sz w:val="24"/>
        </w:rPr>
      </w:pPr>
      <w:bookmarkStart w:id="20" w:name="_Toc279695723"/>
      <w:bookmarkEnd w:id="20"/>
      <w:bookmarkStart w:id="21" w:name="_Toc44186753"/>
      <w:bookmarkEnd w:id="21"/>
      <w:bookmarkStart w:id="22" w:name="_Toc53310380"/>
      <w:bookmarkStart w:id="23" w:name="_Toc16989"/>
      <w:r>
        <w:rPr>
          <w:rFonts w:hint="eastAsia" w:ascii="宋体" w:hAnsi="宋体"/>
          <w:b/>
          <w:kern w:val="0"/>
          <w:sz w:val="24"/>
        </w:rPr>
        <w:t>包装、运输、贮存</w:t>
      </w:r>
      <w:bookmarkEnd w:id="22"/>
      <w:bookmarkEnd w:id="23"/>
    </w:p>
    <w:p>
      <w:pPr>
        <w:pStyle w:val="14"/>
        <w:numPr>
          <w:ilvl w:val="1"/>
          <w:numId w:val="19"/>
        </w:numPr>
        <w:ind w:left="0" w:firstLine="426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设备制造完成并通过试验后应及时包装，否则应得到切实的保护，确保其不受污损。</w:t>
      </w:r>
    </w:p>
    <w:p>
      <w:pPr>
        <w:pStyle w:val="14"/>
        <w:numPr>
          <w:ilvl w:val="1"/>
          <w:numId w:val="19"/>
        </w:numPr>
        <w:ind w:left="0" w:firstLine="426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所有部件经妥善包装或装箱后，在运输过程中尚应采取其它防护措施，以免散失损坏或被盗。</w:t>
      </w:r>
    </w:p>
    <w:p>
      <w:pPr>
        <w:pStyle w:val="14"/>
        <w:numPr>
          <w:ilvl w:val="1"/>
          <w:numId w:val="19"/>
        </w:numPr>
        <w:ind w:left="0" w:firstLine="426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各种包装应能确保各零部件在运输过程中不致遭到损坏、丢失、变形、受潮和腐蚀。</w:t>
      </w:r>
    </w:p>
    <w:p>
      <w:pPr>
        <w:pStyle w:val="14"/>
        <w:numPr>
          <w:ilvl w:val="1"/>
          <w:numId w:val="19"/>
        </w:numPr>
        <w:ind w:left="0" w:firstLine="426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随产品提供的技术资料应完整无缺。</w:t>
      </w:r>
    </w:p>
    <w:p>
      <w:pPr>
        <w:pStyle w:val="14"/>
        <w:numPr>
          <w:ilvl w:val="1"/>
          <w:numId w:val="19"/>
        </w:numPr>
        <w:ind w:left="0" w:firstLine="426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  <w:szCs w:val="24"/>
          <w:lang w:eastAsia="zh-CN"/>
        </w:rPr>
        <w:t>报价人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应保证制造过程中的所有工艺、材料等（包括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szCs w:val="24"/>
          <w:lang w:eastAsia="zh-CN"/>
        </w:rPr>
        <w:t>报价人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的外购件在内）均应符合本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技术规范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的规定。</w:t>
      </w:r>
    </w:p>
    <w:p>
      <w:pPr>
        <w:pStyle w:val="14"/>
        <w:numPr>
          <w:ilvl w:val="1"/>
          <w:numId w:val="19"/>
        </w:numPr>
        <w:ind w:left="0" w:firstLine="426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  <w:szCs w:val="24"/>
          <w:lang w:eastAsia="zh-CN"/>
        </w:rPr>
        <w:t>报价人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应遵守本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技术规范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中各条款和工作项目的ISO9000、GB/T19000质量保证体系，该质量保证体系已经过国家认证和正常运转。</w:t>
      </w:r>
    </w:p>
    <w:p>
      <w:pPr>
        <w:pStyle w:val="14"/>
        <w:numPr>
          <w:ilvl w:val="1"/>
          <w:numId w:val="19"/>
        </w:numPr>
        <w:ind w:left="0" w:firstLine="426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质保期间，因制造质量问题而发生损坏，或不能正常工作时，报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szCs w:val="24"/>
          <w:lang w:eastAsia="zh-CN"/>
        </w:rPr>
        <w:t>报价人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应免费为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采购人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修理或更换零部件。</w:t>
      </w:r>
    </w:p>
    <w:p>
      <w:pPr>
        <w:pStyle w:val="97"/>
        <w:numPr>
          <w:ilvl w:val="255"/>
          <w:numId w:val="0"/>
        </w:numPr>
        <w:adjustRightInd w:val="0"/>
        <w:snapToGrid w:val="0"/>
        <w:spacing w:line="360" w:lineRule="auto"/>
        <w:ind w:left="420" w:leftChars="200"/>
        <w:jc w:val="left"/>
        <w:rPr>
          <w:rFonts w:hint="eastAsia" w:ascii="宋体" w:hAnsi="宋体"/>
          <w:b/>
          <w:bCs/>
          <w:sz w:val="28"/>
          <w:szCs w:val="28"/>
        </w:rPr>
      </w:pPr>
      <w:r>
        <w:rPr>
          <w:rFonts w:hint="eastAsia" w:ascii="宋体" w:hAnsi="宋体"/>
          <w:b/>
          <w:bCs/>
          <w:color w:val="FF0000"/>
          <w:sz w:val="28"/>
          <w:szCs w:val="28"/>
        </w:rPr>
        <w:t>报价人响应：</w:t>
      </w:r>
    </w:p>
    <w:p>
      <w:pPr>
        <w:pStyle w:val="2"/>
        <w:spacing w:before="0" w:after="0"/>
        <w:jc w:val="both"/>
        <w:outlineLvl w:val="9"/>
      </w:pPr>
    </w:p>
    <w:p>
      <w:pPr>
        <w:numPr>
          <w:ilvl w:val="0"/>
          <w:numId w:val="10"/>
        </w:numPr>
        <w:adjustRightInd w:val="0"/>
        <w:snapToGrid w:val="0"/>
        <w:spacing w:before="240" w:beforeLines="100" w:line="360" w:lineRule="auto"/>
        <w:textAlignment w:val="baseline"/>
        <w:outlineLvl w:val="0"/>
        <w:rPr>
          <w:rFonts w:hint="eastAsia" w:ascii="宋体" w:hAnsi="宋体"/>
          <w:b/>
          <w:kern w:val="0"/>
          <w:sz w:val="28"/>
          <w:szCs w:val="28"/>
        </w:rPr>
      </w:pPr>
      <w:bookmarkStart w:id="24" w:name="_Toc154395061"/>
      <w:bookmarkStart w:id="25" w:name="_Toc94411974"/>
      <w:bookmarkStart w:id="26" w:name="_Toc158111226"/>
      <w:r>
        <w:rPr>
          <w:rFonts w:hint="eastAsia" w:ascii="宋体" w:hAnsi="宋体"/>
          <w:b/>
          <w:kern w:val="0"/>
          <w:sz w:val="28"/>
          <w:szCs w:val="28"/>
        </w:rPr>
        <w:t>售后要求</w:t>
      </w:r>
    </w:p>
    <w:p>
      <w:pPr>
        <w:adjustRightInd w:val="0"/>
        <w:snapToGrid w:val="0"/>
        <w:spacing w:line="360" w:lineRule="auto"/>
        <w:ind w:firstLine="42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1）培训：</w:t>
      </w:r>
    </w:p>
    <w:p>
      <w:pPr>
        <w:adjustRightInd w:val="0"/>
        <w:snapToGrid w:val="0"/>
        <w:spacing w:line="360" w:lineRule="auto"/>
        <w:ind w:firstLine="42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a)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lang w:eastAsia="zh-CN"/>
        </w:rPr>
        <w:t>报价人</w:t>
      </w:r>
      <w:r>
        <w:rPr>
          <w:rFonts w:hint="eastAsia" w:ascii="宋体" w:hAnsi="宋体"/>
          <w:sz w:val="24"/>
        </w:rPr>
        <w:t>负责对</w:t>
      </w:r>
      <w:r>
        <w:rPr>
          <w:rFonts w:hint="eastAsia" w:ascii="宋体" w:hAnsi="宋体"/>
          <w:sz w:val="24"/>
          <w:lang w:eastAsia="zh-CN"/>
        </w:rPr>
        <w:t>采购人</w:t>
      </w:r>
      <w:r>
        <w:rPr>
          <w:rFonts w:hint="eastAsia" w:ascii="宋体" w:hAnsi="宋体"/>
          <w:sz w:val="24"/>
        </w:rPr>
        <w:t>技术人员及运行、维护人员的现场培训；</w:t>
      </w:r>
    </w:p>
    <w:p>
      <w:pPr>
        <w:adjustRightInd w:val="0"/>
        <w:snapToGrid w:val="0"/>
        <w:spacing w:line="360" w:lineRule="auto"/>
        <w:ind w:firstLine="42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b) 培训内容为系统结构、设计原理、设备接口、现场安装、调试、维护、故障诊断等；</w:t>
      </w:r>
    </w:p>
    <w:p>
      <w:pPr>
        <w:adjustRightInd w:val="0"/>
        <w:snapToGrid w:val="0"/>
        <w:spacing w:line="360" w:lineRule="auto"/>
        <w:ind w:firstLine="42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2）硬件维护：</w:t>
      </w:r>
    </w:p>
    <w:p>
      <w:pPr>
        <w:adjustRightInd w:val="0"/>
        <w:snapToGrid w:val="0"/>
        <w:spacing w:line="360" w:lineRule="auto"/>
        <w:ind w:firstLine="42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a) 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lang w:eastAsia="zh-CN"/>
        </w:rPr>
        <w:t>报价人</w:t>
      </w:r>
      <w:r>
        <w:rPr>
          <w:rFonts w:hint="eastAsia" w:ascii="宋体" w:hAnsi="宋体"/>
          <w:sz w:val="24"/>
        </w:rPr>
        <w:t>应提供7×24小时的技术支持服务，制定相对固定的技术负责人及联络电话、传真号码、e-mail地址等；</w:t>
      </w:r>
    </w:p>
    <w:p>
      <w:pPr>
        <w:adjustRightInd w:val="0"/>
        <w:snapToGrid w:val="0"/>
        <w:spacing w:line="360" w:lineRule="auto"/>
        <w:ind w:firstLine="42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b) 保修期内硬件故障时，所提供的替代硬件设备的性能应等于和高于原产品的性能；</w:t>
      </w:r>
    </w:p>
    <w:p>
      <w:pPr>
        <w:adjustRightInd w:val="0"/>
        <w:snapToGrid w:val="0"/>
        <w:spacing w:line="360" w:lineRule="auto"/>
        <w:ind w:firstLine="42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c) 48小时内故障应得以解决；</w:t>
      </w:r>
    </w:p>
    <w:p>
      <w:pPr>
        <w:adjustRightInd w:val="0"/>
        <w:snapToGrid w:val="0"/>
        <w:spacing w:line="360" w:lineRule="auto"/>
        <w:ind w:firstLine="42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3）软件维护：</w:t>
      </w:r>
    </w:p>
    <w:p>
      <w:pPr>
        <w:adjustRightInd w:val="0"/>
        <w:snapToGrid w:val="0"/>
        <w:spacing w:line="360" w:lineRule="auto"/>
        <w:ind w:firstLine="42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a) 自工程投运之日起五年，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lang w:eastAsia="zh-CN"/>
        </w:rPr>
        <w:t>报价人</w:t>
      </w:r>
      <w:r>
        <w:rPr>
          <w:rFonts w:hint="eastAsia" w:ascii="宋体" w:hAnsi="宋体"/>
          <w:sz w:val="24"/>
        </w:rPr>
        <w:t>应免费提供系统软件升级、培训、设计联络、技术服务，优惠提供有关扩建工程的软件扩容服务；</w:t>
      </w:r>
    </w:p>
    <w:p>
      <w:pPr>
        <w:adjustRightInd w:val="0"/>
        <w:snapToGrid w:val="0"/>
        <w:spacing w:line="360" w:lineRule="auto"/>
        <w:ind w:firstLine="42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b) 提供7×24小时的技术支持服务，制定相对固定的技术负责人及联络电话、传真号码、e-mail地址等；</w:t>
      </w:r>
    </w:p>
    <w:p>
      <w:pPr>
        <w:adjustRightInd w:val="0"/>
        <w:snapToGrid w:val="0"/>
        <w:spacing w:line="360" w:lineRule="auto"/>
        <w:ind w:firstLine="42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c) 在用户发现软件故障时，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lang w:eastAsia="zh-CN"/>
        </w:rPr>
        <w:t>报价人</w:t>
      </w:r>
      <w:r>
        <w:rPr>
          <w:rFonts w:hint="eastAsia" w:ascii="宋体" w:hAnsi="宋体"/>
          <w:sz w:val="24"/>
        </w:rPr>
        <w:t>必须在用户提出维护要求的4小时内作出响应，24小时内提交故障分析报告和解决方案，48小时内故障得以解决；</w:t>
      </w:r>
    </w:p>
    <w:p>
      <w:pPr>
        <w:adjustRightInd w:val="0"/>
        <w:snapToGrid w:val="0"/>
        <w:spacing w:line="360" w:lineRule="auto"/>
        <w:ind w:firstLine="42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d) 对于用户提出的软件性能提高、功能增加等改进要求，如属“</w:t>
      </w:r>
      <w:r>
        <w:rPr>
          <w:rFonts w:hint="eastAsia" w:ascii="宋体" w:hAnsi="宋体"/>
          <w:sz w:val="24"/>
          <w:lang w:val="en-US" w:eastAsia="zh-CN"/>
        </w:rPr>
        <w:t>技术规范书</w:t>
      </w:r>
      <w:r>
        <w:rPr>
          <w:rFonts w:hint="eastAsia" w:ascii="宋体" w:hAnsi="宋体"/>
          <w:sz w:val="24"/>
        </w:rPr>
        <w:t>”或“合同”的范畴，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lang w:eastAsia="zh-CN"/>
        </w:rPr>
        <w:t>报价人</w:t>
      </w:r>
      <w:r>
        <w:rPr>
          <w:rFonts w:hint="eastAsia" w:ascii="宋体" w:hAnsi="宋体"/>
          <w:sz w:val="24"/>
        </w:rPr>
        <w:t>应在2周内予以解决；如属“</w:t>
      </w:r>
      <w:r>
        <w:rPr>
          <w:rFonts w:hint="eastAsia" w:ascii="宋体" w:hAnsi="宋体"/>
          <w:sz w:val="24"/>
          <w:lang w:val="en-US" w:eastAsia="zh-CN"/>
        </w:rPr>
        <w:t>技术规范书</w:t>
      </w:r>
      <w:r>
        <w:rPr>
          <w:rFonts w:hint="eastAsia" w:ascii="宋体" w:hAnsi="宋体"/>
          <w:sz w:val="24"/>
        </w:rPr>
        <w:t>”或“合同”以外的功能开发，也应提供优惠服务。</w:t>
      </w:r>
    </w:p>
    <w:p>
      <w:pPr>
        <w:pStyle w:val="97"/>
        <w:numPr>
          <w:ilvl w:val="255"/>
          <w:numId w:val="0"/>
        </w:numPr>
        <w:adjustRightInd w:val="0"/>
        <w:snapToGrid w:val="0"/>
        <w:spacing w:line="360" w:lineRule="auto"/>
        <w:ind w:left="420" w:leftChars="200"/>
        <w:jc w:val="left"/>
        <w:rPr>
          <w:rFonts w:hint="eastAsia" w:ascii="宋体" w:hAnsi="宋体"/>
          <w:b/>
          <w:bCs/>
          <w:color w:val="FF0000"/>
          <w:sz w:val="28"/>
          <w:szCs w:val="28"/>
        </w:rPr>
      </w:pPr>
      <w:r>
        <w:rPr>
          <w:rFonts w:hint="eastAsia" w:ascii="宋体" w:hAnsi="宋体"/>
          <w:b/>
          <w:bCs/>
          <w:color w:val="FF0000"/>
          <w:sz w:val="28"/>
          <w:szCs w:val="28"/>
        </w:rPr>
        <w:t>报价人响应：</w:t>
      </w:r>
    </w:p>
    <w:p>
      <w:pPr>
        <w:pStyle w:val="97"/>
        <w:numPr>
          <w:ilvl w:val="255"/>
          <w:numId w:val="0"/>
        </w:numPr>
        <w:adjustRightInd w:val="0"/>
        <w:snapToGrid w:val="0"/>
        <w:spacing w:line="360" w:lineRule="auto"/>
        <w:ind w:left="420" w:leftChars="200"/>
        <w:jc w:val="left"/>
        <w:rPr>
          <w:rFonts w:hint="eastAsia" w:ascii="宋体" w:hAnsi="宋体"/>
          <w:b/>
          <w:bCs/>
          <w:color w:val="FF0000"/>
          <w:sz w:val="28"/>
          <w:szCs w:val="28"/>
        </w:rPr>
      </w:pPr>
    </w:p>
    <w:bookmarkEnd w:id="24"/>
    <w:bookmarkEnd w:id="25"/>
    <w:bookmarkEnd w:id="26"/>
    <w:p>
      <w:pPr>
        <w:numPr>
          <w:ilvl w:val="0"/>
          <w:numId w:val="10"/>
        </w:numPr>
        <w:adjustRightInd w:val="0"/>
        <w:snapToGrid w:val="0"/>
        <w:spacing w:line="360" w:lineRule="auto"/>
        <w:textAlignment w:val="baseline"/>
        <w:outlineLvl w:val="0"/>
        <w:rPr>
          <w:rFonts w:hint="eastAsia" w:ascii="宋体" w:hAnsi="宋体"/>
          <w:b/>
          <w:kern w:val="0"/>
          <w:sz w:val="28"/>
          <w:szCs w:val="28"/>
        </w:rPr>
      </w:pPr>
      <w:bookmarkStart w:id="27" w:name="_Toc5636"/>
      <w:bookmarkStart w:id="28" w:name="_Toc11721"/>
      <w:r>
        <w:rPr>
          <w:rFonts w:hint="eastAsia" w:ascii="宋体" w:hAnsi="宋体"/>
          <w:b/>
          <w:kern w:val="0"/>
          <w:sz w:val="28"/>
          <w:szCs w:val="28"/>
        </w:rPr>
        <w:t>配置清单</w:t>
      </w:r>
      <w:bookmarkEnd w:id="27"/>
      <w:bookmarkEnd w:id="28"/>
    </w:p>
    <w:tbl>
      <w:tblPr>
        <w:tblStyle w:val="35"/>
        <w:tblpPr w:leftFromText="180" w:rightFromText="180" w:vertAnchor="text" w:horzAnchor="page" w:tblpX="1305" w:tblpY="342"/>
        <w:tblOverlap w:val="never"/>
        <w:tblW w:w="950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17"/>
        <w:gridCol w:w="2494"/>
        <w:gridCol w:w="1050"/>
        <w:gridCol w:w="840"/>
        <w:gridCol w:w="270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  <w:tblHeader/>
        </w:trPr>
        <w:tc>
          <w:tcPr>
            <w:tcW w:w="2417" w:type="dxa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设备名称</w:t>
            </w:r>
          </w:p>
        </w:tc>
        <w:tc>
          <w:tcPr>
            <w:tcW w:w="2494" w:type="dxa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配置</w:t>
            </w:r>
          </w:p>
        </w:tc>
        <w:tc>
          <w:tcPr>
            <w:tcW w:w="1050" w:type="dxa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单位</w:t>
            </w:r>
          </w:p>
        </w:tc>
        <w:tc>
          <w:tcPr>
            <w:tcW w:w="840" w:type="dxa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数量</w:t>
            </w:r>
          </w:p>
        </w:tc>
        <w:tc>
          <w:tcPr>
            <w:tcW w:w="2702" w:type="dxa"/>
            <w:vAlign w:val="center"/>
          </w:tcPr>
          <w:p>
            <w:pPr>
              <w:widowControl/>
              <w:spacing w:line="360" w:lineRule="auto"/>
              <w:jc w:val="center"/>
              <w:textAlignment w:val="center"/>
              <w:rPr>
                <w:rFonts w:hint="eastAsia"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7" w:hRule="atLeast"/>
          <w:tblHeader/>
        </w:trPr>
        <w:tc>
          <w:tcPr>
            <w:tcW w:w="2417" w:type="dxa"/>
            <w:vAlign w:val="center"/>
          </w:tcPr>
          <w:p>
            <w:pPr>
              <w:pStyle w:val="2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Times New Roman" w:hAnsi="Times New Roman"/>
                <w:b w:val="0"/>
                <w:bCs w:val="0"/>
                <w:sz w:val="24"/>
                <w:szCs w:val="24"/>
              </w:rPr>
              <w:t>瞬态磁场抗扰度测试装置</w:t>
            </w:r>
          </w:p>
        </w:tc>
        <w:tc>
          <w:tcPr>
            <w:tcW w:w="2494" w:type="dxa"/>
            <w:vAlign w:val="center"/>
          </w:tcPr>
          <w:p>
            <w:pPr>
              <w:pStyle w:val="2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Times New Roman" w:hAnsi="Times New Roman"/>
                <w:b w:val="0"/>
                <w:bCs w:val="0"/>
                <w:sz w:val="24"/>
                <w:szCs w:val="24"/>
              </w:rPr>
              <w:t>参照技术要求</w:t>
            </w:r>
          </w:p>
        </w:tc>
        <w:tc>
          <w:tcPr>
            <w:tcW w:w="1050" w:type="dxa"/>
            <w:vAlign w:val="center"/>
          </w:tcPr>
          <w:p>
            <w:pPr>
              <w:pStyle w:val="2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Times New Roman" w:hAnsi="Times New Roman"/>
                <w:b w:val="0"/>
                <w:bCs w:val="0"/>
                <w:sz w:val="24"/>
                <w:szCs w:val="24"/>
              </w:rPr>
              <w:t>台</w:t>
            </w:r>
          </w:p>
        </w:tc>
        <w:tc>
          <w:tcPr>
            <w:tcW w:w="840" w:type="dxa"/>
            <w:vAlign w:val="center"/>
          </w:tcPr>
          <w:p>
            <w:pPr>
              <w:pStyle w:val="2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Times New Roman" w:hAnsi="Times New Roman"/>
                <w:b w:val="0"/>
                <w:bCs w:val="0"/>
                <w:sz w:val="24"/>
                <w:szCs w:val="24"/>
              </w:rPr>
              <w:t>1</w:t>
            </w:r>
          </w:p>
        </w:tc>
        <w:tc>
          <w:tcPr>
            <w:tcW w:w="2702" w:type="dxa"/>
            <w:vAlign w:val="center"/>
          </w:tcPr>
          <w:p>
            <w:pPr>
              <w:pStyle w:val="2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Times New Roman" w:hAnsi="Times New Roman"/>
                <w:b w:val="0"/>
                <w:bCs w:val="0"/>
                <w:sz w:val="24"/>
                <w:szCs w:val="24"/>
              </w:rPr>
              <w:t>同时提供必要配件。</w:t>
            </w:r>
          </w:p>
        </w:tc>
      </w:tr>
    </w:tbl>
    <w:p>
      <w:pPr>
        <w:pStyle w:val="97"/>
        <w:numPr>
          <w:ilvl w:val="255"/>
          <w:numId w:val="0"/>
        </w:numPr>
        <w:adjustRightInd w:val="0"/>
        <w:snapToGrid w:val="0"/>
        <w:spacing w:line="360" w:lineRule="auto"/>
        <w:ind w:left="420" w:leftChars="200"/>
        <w:jc w:val="left"/>
        <w:rPr>
          <w:rFonts w:hint="eastAsia" w:ascii="宋体" w:hAnsi="宋体"/>
          <w:b/>
          <w:bCs/>
          <w:color w:val="FF0000"/>
          <w:sz w:val="28"/>
          <w:szCs w:val="28"/>
        </w:rPr>
      </w:pPr>
    </w:p>
    <w:p>
      <w:pPr>
        <w:pStyle w:val="97"/>
        <w:numPr>
          <w:ilvl w:val="255"/>
          <w:numId w:val="0"/>
        </w:numPr>
        <w:adjustRightInd w:val="0"/>
        <w:snapToGrid w:val="0"/>
        <w:spacing w:line="360" w:lineRule="auto"/>
        <w:ind w:left="420" w:leftChars="200"/>
        <w:jc w:val="left"/>
        <w:rPr>
          <w:rFonts w:hint="eastAsia" w:ascii="宋体" w:hAnsi="宋体"/>
          <w:b/>
          <w:bCs/>
          <w:color w:val="FF0000"/>
          <w:sz w:val="28"/>
          <w:szCs w:val="28"/>
        </w:rPr>
      </w:pPr>
      <w:r>
        <w:rPr>
          <w:rFonts w:hint="eastAsia" w:ascii="宋体" w:hAnsi="宋体"/>
          <w:b/>
          <w:bCs/>
          <w:color w:val="FF0000"/>
          <w:sz w:val="28"/>
          <w:szCs w:val="28"/>
        </w:rPr>
        <w:t>报价人响应：</w:t>
      </w:r>
    </w:p>
    <w:p>
      <w:pPr>
        <w:pStyle w:val="97"/>
        <w:numPr>
          <w:ilvl w:val="255"/>
          <w:numId w:val="0"/>
        </w:numPr>
        <w:adjustRightInd w:val="0"/>
        <w:snapToGrid w:val="0"/>
        <w:spacing w:line="360" w:lineRule="auto"/>
        <w:ind w:left="420" w:leftChars="200"/>
        <w:jc w:val="left"/>
        <w:rPr>
          <w:rFonts w:hint="eastAsia" w:ascii="宋体" w:hAnsi="宋体"/>
          <w:b/>
          <w:bCs/>
          <w:color w:val="FF0000"/>
          <w:sz w:val="28"/>
          <w:szCs w:val="28"/>
        </w:rPr>
      </w:pPr>
    </w:p>
    <w:p>
      <w:pPr>
        <w:numPr>
          <w:ilvl w:val="0"/>
          <w:numId w:val="10"/>
        </w:numPr>
        <w:adjustRightInd w:val="0"/>
        <w:snapToGrid w:val="0"/>
        <w:spacing w:line="360" w:lineRule="auto"/>
        <w:textAlignment w:val="baseline"/>
        <w:outlineLvl w:val="0"/>
        <w:rPr>
          <w:rFonts w:hint="default" w:ascii="宋体" w:hAnsi="宋体" w:eastAsia="宋体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/>
          <w:b/>
          <w:bCs/>
          <w:color w:val="auto"/>
          <w:sz w:val="28"/>
          <w:szCs w:val="28"/>
          <w:lang w:val="en-US" w:eastAsia="zh-CN"/>
        </w:rPr>
        <w:t>报价表</w:t>
      </w:r>
    </w:p>
    <w:p>
      <w:pPr>
        <w:spacing w:line="360" w:lineRule="auto"/>
        <w:jc w:val="center"/>
        <w:rPr>
          <w:rFonts w:ascii="Times New Roman" w:hAnsi="Times New Roman" w:eastAsia="仿宋"/>
          <w:b/>
          <w:bCs/>
          <w:szCs w:val="21"/>
          <w:lang w:eastAsia="zh-Hans"/>
        </w:rPr>
      </w:pPr>
      <w:r>
        <w:rPr>
          <w:rFonts w:ascii="Times New Roman" w:hAnsi="Times New Roman" w:eastAsia="仿宋"/>
          <w:b/>
          <w:bCs/>
          <w:szCs w:val="21"/>
        </w:rPr>
        <w:t xml:space="preserve"> </w:t>
      </w:r>
      <w:r>
        <w:rPr>
          <w:rFonts w:hint="eastAsia" w:ascii="Times New Roman" w:hAnsi="Times New Roman" w:eastAsia="仿宋"/>
          <w:b/>
          <w:bCs/>
          <w:szCs w:val="21"/>
          <w:lang w:eastAsia="zh-Hans"/>
        </w:rPr>
        <w:t>报价表</w:t>
      </w:r>
      <w:r>
        <w:rPr>
          <w:rFonts w:ascii="Times New Roman" w:hAnsi="Times New Roman" w:eastAsia="仿宋"/>
          <w:b/>
          <w:bCs/>
          <w:szCs w:val="21"/>
          <w:lang w:eastAsia="zh-Hans"/>
        </w:rPr>
        <w:t>（</w:t>
      </w:r>
      <w:r>
        <w:rPr>
          <w:rFonts w:hint="eastAsia" w:ascii="Times New Roman" w:hAnsi="Times New Roman" w:eastAsia="仿宋"/>
          <w:b/>
          <w:bCs/>
          <w:szCs w:val="21"/>
          <w:lang w:eastAsia="zh-Hans"/>
        </w:rPr>
        <w:t>单位</w:t>
      </w:r>
      <w:r>
        <w:rPr>
          <w:rFonts w:ascii="Times New Roman" w:hAnsi="Times New Roman" w:eastAsia="仿宋"/>
          <w:b/>
          <w:bCs/>
          <w:szCs w:val="21"/>
          <w:lang w:eastAsia="zh-Hans"/>
        </w:rPr>
        <w:t>：</w:t>
      </w:r>
      <w:r>
        <w:rPr>
          <w:rFonts w:hint="eastAsia" w:ascii="Times New Roman" w:hAnsi="Times New Roman" w:eastAsia="仿宋"/>
          <w:b/>
          <w:bCs/>
          <w:szCs w:val="21"/>
          <w:lang w:eastAsia="zh-Hans"/>
        </w:rPr>
        <w:t>元</w:t>
      </w:r>
      <w:r>
        <w:rPr>
          <w:rFonts w:ascii="Times New Roman" w:hAnsi="Times New Roman" w:eastAsia="仿宋"/>
          <w:b/>
          <w:bCs/>
          <w:szCs w:val="21"/>
          <w:lang w:eastAsia="zh-Hans"/>
        </w:rPr>
        <w:t>）</w:t>
      </w:r>
    </w:p>
    <w:tbl>
      <w:tblPr>
        <w:tblStyle w:val="35"/>
        <w:tblW w:w="8317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7"/>
        <w:gridCol w:w="1545"/>
        <w:gridCol w:w="795"/>
        <w:gridCol w:w="733"/>
        <w:gridCol w:w="1793"/>
        <w:gridCol w:w="281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  <w:lang w:bidi="ar"/>
              </w:rPr>
              <w:t>序号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  <w:lang w:bidi="ar"/>
              </w:rPr>
              <w:t>设备名称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  <w:lang w:bidi="ar"/>
              </w:rPr>
              <w:t>单位</w:t>
            </w:r>
          </w:p>
        </w:tc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  <w:lang w:bidi="ar"/>
              </w:rPr>
              <w:t>数量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  <w:lang w:bidi="ar"/>
              </w:rPr>
              <w:t>最高限价单价</w:t>
            </w:r>
          </w:p>
        </w:tc>
        <w:tc>
          <w:tcPr>
            <w:tcW w:w="2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Times New Roman Regular" w:hAnsi="Times New Roman Regular" w:eastAsia="宋体" w:cs="Times New Roman Regular"/>
                <w:b/>
                <w:bCs/>
                <w:szCs w:val="21"/>
              </w:rPr>
            </w:pPr>
            <w:r>
              <w:rPr>
                <w:rFonts w:hint="eastAsia" w:ascii="Times New Roman Regular" w:hAnsi="Times New Roman Regular" w:cs="Times New Roman Regular"/>
                <w:b/>
                <w:bCs/>
                <w:szCs w:val="21"/>
                <w:lang w:val="en-US" w:eastAsia="zh-CN"/>
              </w:rPr>
              <w:t>单项</w:t>
            </w:r>
            <w:r>
              <w:rPr>
                <w:rFonts w:hint="eastAsia" w:ascii="Times New Roman Regular" w:hAnsi="Times New Roman Regular" w:eastAsia="宋体" w:cs="Times New Roman Regular"/>
                <w:b/>
                <w:bCs/>
                <w:szCs w:val="21"/>
                <w:lang w:eastAsia="zh-Hans"/>
              </w:rPr>
              <w:t>报价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4" w:hRule="atLeast"/>
        </w:trPr>
        <w:tc>
          <w:tcPr>
            <w:tcW w:w="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 Regular" w:hAnsi="Times New Roman Regular" w:eastAsia="Times New Roman Regular" w:cs="Times New Roman Regular"/>
                <w:color w:val="000000"/>
                <w:szCs w:val="21"/>
              </w:rPr>
            </w:pPr>
            <w:r>
              <w:rPr>
                <w:rFonts w:ascii="Times New Roman Regular" w:hAnsi="Times New Roman Regular" w:eastAsia="Times New Roman Regular" w:cs="Times New Roman Regular"/>
                <w:color w:val="000000"/>
                <w:kern w:val="0"/>
                <w:szCs w:val="21"/>
                <w:lang w:bidi="ar"/>
              </w:rPr>
              <w:t>1</w:t>
            </w:r>
          </w:p>
        </w:tc>
        <w:tc>
          <w:tcPr>
            <w:tcW w:w="1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bidi="ar"/>
              </w:rPr>
              <w:t>瞬态磁场抗扰度测试装置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bidi="ar"/>
              </w:rPr>
              <w:t>台</w:t>
            </w:r>
          </w:p>
        </w:tc>
        <w:tc>
          <w:tcPr>
            <w:tcW w:w="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Cs w:val="21"/>
              </w:rPr>
              <w:t>1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szCs w:val="21"/>
              </w:rPr>
              <w:t>43000</w:t>
            </w:r>
          </w:p>
        </w:tc>
        <w:tc>
          <w:tcPr>
            <w:tcW w:w="2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Cs w:val="21"/>
                <w:lang w:eastAsia="zh-Han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1" w:hRule="atLeast"/>
        </w:trPr>
        <w:tc>
          <w:tcPr>
            <w:tcW w:w="371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合计</w:t>
            </w:r>
          </w:p>
        </w:tc>
        <w:tc>
          <w:tcPr>
            <w:tcW w:w="17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43000</w:t>
            </w:r>
          </w:p>
        </w:tc>
        <w:tc>
          <w:tcPr>
            <w:tcW w:w="2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</w:rPr>
            </w:pPr>
          </w:p>
        </w:tc>
      </w:tr>
    </w:tbl>
    <w:p>
      <w:pPr>
        <w:pStyle w:val="2"/>
        <w:jc w:val="left"/>
        <w:outlineLvl w:val="9"/>
        <w:rPr>
          <w:rFonts w:hint="default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/>
          <w:b w:val="0"/>
          <w:bCs w:val="0"/>
          <w:sz w:val="21"/>
          <w:szCs w:val="21"/>
        </w:rPr>
        <w:t>说明</w:t>
      </w:r>
      <w:r>
        <w:rPr>
          <w:rFonts w:ascii="宋体" w:hAnsi="宋体" w:eastAsia="宋体"/>
          <w:b w:val="0"/>
          <w:bCs w:val="0"/>
          <w:sz w:val="21"/>
          <w:szCs w:val="21"/>
        </w:rPr>
        <w:t>：</w:t>
      </w:r>
      <w:r>
        <w:rPr>
          <w:rFonts w:hint="eastAsia" w:ascii="宋体" w:hAnsi="宋体" w:eastAsia="宋体"/>
          <w:b w:val="0"/>
          <w:bCs w:val="0"/>
          <w:sz w:val="21"/>
          <w:szCs w:val="21"/>
        </w:rPr>
        <w:t>（1）表格货币单位：人民币，元</w:t>
      </w:r>
      <w:r>
        <w:rPr>
          <w:rFonts w:hint="eastAsia" w:ascii="宋体" w:hAnsi="宋体"/>
          <w:b w:val="0"/>
          <w:bCs w:val="0"/>
          <w:sz w:val="21"/>
          <w:szCs w:val="21"/>
          <w:lang w:val="en-US" w:eastAsia="zh-CN"/>
        </w:rPr>
        <w:t>,金额保留2位小数</w:t>
      </w:r>
      <w:r>
        <w:rPr>
          <w:rFonts w:hint="eastAsia" w:ascii="宋体" w:hAnsi="宋体" w:eastAsia="宋体"/>
          <w:b w:val="0"/>
          <w:bCs w:val="0"/>
          <w:sz w:val="21"/>
          <w:szCs w:val="21"/>
        </w:rPr>
        <w:t>；（2）</w:t>
      </w:r>
      <w:r>
        <w:rPr>
          <w:rFonts w:ascii="宋体" w:hAnsi="宋体" w:eastAsia="宋体"/>
          <w:b w:val="0"/>
          <w:bCs w:val="0"/>
          <w:sz w:val="21"/>
          <w:szCs w:val="21"/>
        </w:rPr>
        <w:t>以上</w:t>
      </w:r>
      <w:r>
        <w:rPr>
          <w:rFonts w:hint="eastAsia" w:ascii="宋体" w:hAnsi="宋体" w:eastAsia="宋体"/>
          <w:b w:val="0"/>
          <w:bCs w:val="0"/>
          <w:sz w:val="21"/>
          <w:szCs w:val="21"/>
        </w:rPr>
        <w:t>产品报价</w:t>
      </w:r>
      <w:r>
        <w:rPr>
          <w:rFonts w:ascii="宋体" w:hAnsi="宋体" w:eastAsia="宋体"/>
          <w:b w:val="0"/>
          <w:bCs w:val="0"/>
          <w:sz w:val="21"/>
          <w:szCs w:val="21"/>
        </w:rPr>
        <w:t>均含13%增值税</w:t>
      </w:r>
    </w:p>
    <w:p>
      <w:r>
        <w:rPr>
          <w:rFonts w:hint="eastAsia" w:ascii="宋体" w:hAnsi="宋体"/>
          <w:b/>
          <w:bCs/>
          <w:color w:val="FF0000"/>
          <w:sz w:val="28"/>
          <w:szCs w:val="28"/>
        </w:rPr>
        <w:t>报价人响应：</w:t>
      </w:r>
    </w:p>
    <w:sectPr>
      <w:headerReference r:id="rId3" w:type="default"/>
      <w:footerReference r:id="rId4" w:type="default"/>
      <w:pgSz w:w="11906" w:h="16838"/>
      <w:pgMar w:top="1701" w:right="1304" w:bottom="1418" w:left="1304" w:header="851" w:footer="992" w:gutter="0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_GB2312">
    <w:altName w:val="楷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华文细黑">
    <w:altName w:val="微软雅黑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Arial Unicode MS">
    <w:altName w:val="宋体"/>
    <w:panose1 w:val="020B0604020202020204"/>
    <w:charset w:val="86"/>
    <w:family w:val="auto"/>
    <w:pitch w:val="default"/>
    <w:sig w:usb0="00000000" w:usb1="00000000" w:usb2="0000003F" w:usb3="00000000" w:csb0="603F01FF" w:csb1="FFFF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imes New Roman Regular">
    <w:altName w:val="Times New Roman"/>
    <w:panose1 w:val="00000000000000000000"/>
    <w:charset w:val="00"/>
    <w:family w:val="auto"/>
    <w:pitch w:val="default"/>
    <w:sig w:usb0="00000000" w:usb1="00000000" w:usb2="00000001" w:usb3="00000000" w:csb0="400001BF" w:csb1="DFF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5"/>
      <w:ind w:right="360" w:firstLine="360"/>
      <w:rPr>
        <w:rStyle w:val="37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1FFD4B9"/>
    <w:multiLevelType w:val="multilevel"/>
    <w:tmpl w:val="E1FFD4B9"/>
    <w:lvl w:ilvl="0" w:tentative="0">
      <w:start w:val="6"/>
      <w:numFmt w:val="decimal"/>
      <w:lvlText w:val="%1"/>
      <w:lvlJc w:val="left"/>
      <w:pPr>
        <w:tabs>
          <w:tab w:val="left" w:pos="420"/>
        </w:tabs>
        <w:ind w:left="0" w:firstLine="0"/>
      </w:pPr>
      <w:rPr>
        <w:rFonts w:hint="default" w:ascii="宋体" w:hAnsi="宋体" w:eastAsia="宋体" w:cs="宋体"/>
      </w:rPr>
    </w:lvl>
    <w:lvl w:ilvl="1" w:tentative="0">
      <w:start w:val="2"/>
      <w:numFmt w:val="decimal"/>
      <w:isLgl/>
      <w:suff w:val="nothing"/>
      <w:lvlText w:val="%1.%2　"/>
      <w:lvlJc w:val="left"/>
      <w:pPr>
        <w:ind w:left="0" w:firstLine="0"/>
      </w:pPr>
      <w:rPr>
        <w:rFonts w:hint="default" w:ascii="宋体" w:hAnsi="宋体" w:eastAsia="宋体" w:cs="宋体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position w:val="0"/>
        <w:u w:val="none"/>
      </w:rPr>
    </w:lvl>
    <w:lvl w:ilvl="2" w:tentative="0">
      <w:start w:val="1"/>
      <w:numFmt w:val="decimal"/>
      <w:pStyle w:val="113"/>
      <w:isLgl/>
      <w:suff w:val="nothing"/>
      <w:lvlText w:val="%1.%2.%3　"/>
      <w:lvlJc w:val="left"/>
      <w:pPr>
        <w:tabs>
          <w:tab w:val="left" w:pos="0"/>
        </w:tabs>
        <w:ind w:left="0" w:firstLine="0"/>
      </w:pPr>
      <w:rPr>
        <w:rFonts w:hint="eastAsia" w:ascii="黑体" w:eastAsia="黑体"/>
        <w:b w:val="0"/>
        <w:bCs w:val="0"/>
        <w:i w:val="0"/>
        <w:iCs w:val="0"/>
        <w:caps w:val="0"/>
        <w:smallCaps w:val="0"/>
        <w:strike w:val="0"/>
        <w:dstrike w:val="0"/>
        <w:color w:val="auto"/>
        <w:spacing w:val="0"/>
        <w:w w:val="100"/>
        <w:position w:val="0"/>
        <w:sz w:val="21"/>
        <w:u w:val="none"/>
      </w:rPr>
    </w:lvl>
    <w:lvl w:ilvl="3" w:tentative="0">
      <w:start w:val="1"/>
      <w:numFmt w:val="decimal"/>
      <w:isLgl/>
      <w:suff w:val="nothing"/>
      <w:lvlText w:val="%1.%2.%3.%4　"/>
      <w:lvlJc w:val="left"/>
      <w:pPr>
        <w:ind w:left="0" w:firstLine="0"/>
      </w:pPr>
      <w:rPr>
        <w:rFonts w:hint="eastAsia" w:ascii="黑体" w:hAnsi="黑体" w:eastAsia="黑体"/>
      </w:rPr>
    </w:lvl>
    <w:lvl w:ilvl="4" w:tentative="0">
      <w:start w:val="1"/>
      <w:numFmt w:val="decimal"/>
      <w:isLgl/>
      <w:suff w:val="nothing"/>
      <w:lvlText w:val="%1.%2.%3.%4.%5　"/>
      <w:lvlJc w:val="left"/>
      <w:pPr>
        <w:ind w:left="0" w:firstLine="0"/>
      </w:pPr>
      <w:rPr>
        <w:rFonts w:hint="eastAsia" w:ascii="黑体" w:eastAsia="黑体"/>
        <w:b w:val="0"/>
        <w:i w:val="0"/>
        <w:caps w:val="0"/>
        <w:strike w:val="0"/>
        <w:dstrike w:val="0"/>
        <w:color w:val="auto"/>
        <w:spacing w:val="0"/>
        <w:w w:val="100"/>
        <w:position w:val="0"/>
        <w:sz w:val="21"/>
        <w:u w:val="none"/>
      </w:rPr>
    </w:lvl>
    <w:lvl w:ilvl="5" w:tentative="0">
      <w:start w:val="1"/>
      <w:numFmt w:val="lowerLetter"/>
      <w:pStyle w:val="114"/>
      <w:lvlText w:val="%6)"/>
      <w:lvlJc w:val="left"/>
      <w:pPr>
        <w:tabs>
          <w:tab w:val="left" w:pos="839"/>
        </w:tabs>
        <w:ind w:left="839" w:hanging="419"/>
      </w:pPr>
      <w:rPr>
        <w:rFonts w:hint="default" w:ascii="Times New Roman" w:hAnsi="Times New Roman" w:eastAsia="宋体"/>
        <w:b w:val="0"/>
        <w:i w:val="0"/>
        <w:caps w:val="0"/>
        <w:strike w:val="0"/>
        <w:dstrike w:val="0"/>
        <w:color w:val="auto"/>
        <w:spacing w:val="40"/>
        <w:w w:val="100"/>
        <w:position w:val="0"/>
        <w:sz w:val="21"/>
        <w:u w:val="none"/>
      </w:rPr>
    </w:lvl>
    <w:lvl w:ilvl="6" w:tentative="0">
      <w:start w:val="1"/>
      <w:numFmt w:val="decimal"/>
      <w:pStyle w:val="115"/>
      <w:lvlText w:val="%7)"/>
      <w:lvlJc w:val="left"/>
      <w:pPr>
        <w:tabs>
          <w:tab w:val="left" w:pos="562"/>
        </w:tabs>
        <w:ind w:left="562" w:hanging="420"/>
      </w:pPr>
      <w:rPr>
        <w:rFonts w:hint="default" w:ascii="Times New Roman" w:hAnsi="Times New Roman" w:eastAsia="宋体"/>
        <w:b w:val="0"/>
        <w:i w:val="0"/>
        <w:caps w:val="0"/>
        <w:strike w:val="0"/>
        <w:dstrike w:val="0"/>
        <w:color w:val="auto"/>
        <w:spacing w:val="40"/>
        <w:w w:val="100"/>
        <w:position w:val="0"/>
        <w:sz w:val="21"/>
        <w:u w:val="none"/>
      </w:rPr>
    </w:lvl>
    <w:lvl w:ilvl="7" w:tentative="0">
      <w:start w:val="1"/>
      <w:numFmt w:val="decimal"/>
      <w:lvlText w:val="注%8："/>
      <w:lvlJc w:val="left"/>
      <w:pPr>
        <w:tabs>
          <w:tab w:val="left" w:pos="839"/>
        </w:tabs>
        <w:ind w:left="839" w:hanging="419"/>
      </w:pPr>
      <w:rPr>
        <w:rFonts w:hint="default" w:ascii="Times New Roman" w:hAnsi="Times New Roman" w:eastAsia="宋体"/>
        <w:b w:val="0"/>
        <w:i w:val="0"/>
        <w:caps w:val="0"/>
        <w:strike w:val="0"/>
        <w:dstrike w:val="0"/>
        <w:color w:val="auto"/>
        <w:spacing w:val="0"/>
        <w:w w:val="100"/>
        <w:position w:val="0"/>
        <w:sz w:val="18"/>
        <w:u w:val="none"/>
      </w:rPr>
    </w:lvl>
    <w:lvl w:ilvl="8" w:tentative="0">
      <w:start w:val="1"/>
      <w:numFmt w:val="decimal"/>
      <w:lvlText w:val="示例%9："/>
      <w:lvlJc w:val="left"/>
      <w:pPr>
        <w:tabs>
          <w:tab w:val="left" w:pos="907"/>
        </w:tabs>
        <w:ind w:left="0" w:firstLine="420"/>
      </w:pPr>
      <w:rPr>
        <w:rFonts w:hint="default" w:ascii="Times New Roman" w:hAnsi="Times New Roman" w:eastAsia="宋体"/>
        <w:b w:val="0"/>
        <w:i w:val="0"/>
        <w:caps w:val="0"/>
        <w:strike w:val="0"/>
        <w:dstrike w:val="0"/>
        <w:color w:val="auto"/>
        <w:spacing w:val="0"/>
        <w:w w:val="100"/>
        <w:position w:val="0"/>
        <w:sz w:val="18"/>
        <w:u w:val="none"/>
      </w:rPr>
    </w:lvl>
  </w:abstractNum>
  <w:abstractNum w:abstractNumId="1">
    <w:nsid w:val="00000004"/>
    <w:multiLevelType w:val="multilevel"/>
    <w:tmpl w:val="00000004"/>
    <w:lvl w:ilvl="0" w:tentative="0">
      <w:start w:val="1"/>
      <w:numFmt w:val="none"/>
      <w:pStyle w:val="60"/>
      <w:lvlText w:val="表"/>
      <w:lvlJc w:val="left"/>
      <w:pPr>
        <w:tabs>
          <w:tab w:val="left" w:pos="360"/>
        </w:tabs>
        <w:ind w:left="0" w:firstLine="0"/>
      </w:pPr>
      <w:rPr>
        <w:rFonts w:hint="eastAsia" w:ascii="黑体" w:eastAsia="黑体"/>
        <w:b/>
        <w:i w:val="0"/>
        <w:sz w:val="20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2">
    <w:nsid w:val="095110CC"/>
    <w:multiLevelType w:val="multilevel"/>
    <w:tmpl w:val="095110CC"/>
    <w:lvl w:ilvl="0" w:tentative="0">
      <w:start w:val="1"/>
      <w:numFmt w:val="decimal"/>
      <w:suff w:val="space"/>
      <w:lvlText w:val="4.%1 "/>
      <w:lvlJc w:val="left"/>
      <w:pPr>
        <w:tabs>
          <w:tab w:val="left" w:pos="0"/>
        </w:tabs>
        <w:ind w:left="0" w:firstLine="0"/>
      </w:pPr>
      <w:rPr>
        <w:rFonts w:hint="default" w:ascii="宋体" w:hAnsi="宋体" w:eastAsia="宋体" w:cs="宋体"/>
        <w:color w:val="000000" w:themeColor="text1"/>
        <w14:textFill>
          <w14:solidFill>
            <w14:schemeClr w14:val="tx1"/>
          </w14:solidFill>
        </w14:textFill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  <w:rPr>
        <w:rFonts w:hint="eastAsia"/>
      </w:r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  <w:rPr>
        <w:rFonts w:hint="eastAsia"/>
      </w:r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  <w:rPr>
        <w:rFonts w:hint="eastAsia"/>
      </w:r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  <w:rPr>
        <w:rFonts w:hint="eastAsia"/>
      </w:r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  <w:rPr>
        <w:rFonts w:hint="eastAsia"/>
      </w:r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  <w:rPr>
        <w:rFonts w:hint="eastAsia"/>
      </w:r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  <w:rPr>
        <w:rFonts w:hint="eastAsia"/>
      </w:r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  <w:rPr>
        <w:rFonts w:hint="eastAsia"/>
      </w:rPr>
    </w:lvl>
  </w:abstractNum>
  <w:abstractNum w:abstractNumId="3">
    <w:nsid w:val="0BDE74DE"/>
    <w:multiLevelType w:val="multilevel"/>
    <w:tmpl w:val="0BDE74DE"/>
    <w:lvl w:ilvl="0" w:tentative="0">
      <w:start w:val="1"/>
      <w:numFmt w:val="decimal"/>
      <w:suff w:val="space"/>
      <w:lvlText w:val="3.%1 "/>
      <w:lvlJc w:val="left"/>
      <w:pPr>
        <w:ind w:left="0" w:firstLine="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0" w:firstLine="482"/>
      </w:pPr>
      <w:rPr>
        <w:rFonts w:hint="eastAsia"/>
      </w:r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4">
    <w:nsid w:val="11F401D6"/>
    <w:multiLevelType w:val="multilevel"/>
    <w:tmpl w:val="11F401D6"/>
    <w:lvl w:ilvl="0" w:tentative="0">
      <w:start w:val="1"/>
      <w:numFmt w:val="lowerLetter"/>
      <w:pStyle w:val="44"/>
      <w:lvlText w:val="%1）"/>
      <w:lvlJc w:val="left"/>
      <w:pPr>
        <w:tabs>
          <w:tab w:val="left" w:pos="420"/>
        </w:tabs>
        <w:ind w:left="732" w:hanging="312"/>
      </w:pPr>
      <w:rPr>
        <w:rFonts w:hint="eastAsia"/>
        <w:color w:val="000000"/>
      </w:rPr>
    </w:lvl>
    <w:lvl w:ilvl="1" w:tentative="0">
      <w:start w:val="1"/>
      <w:numFmt w:val="lowerLetter"/>
      <w:lvlText w:val="%2)"/>
      <w:lvlJc w:val="left"/>
      <w:pPr>
        <w:ind w:left="1155" w:hanging="420"/>
      </w:pPr>
    </w:lvl>
    <w:lvl w:ilvl="2" w:tentative="0">
      <w:start w:val="10"/>
      <w:numFmt w:val="decimal"/>
      <w:lvlText w:val="%3"/>
      <w:lvlJc w:val="left"/>
      <w:pPr>
        <w:tabs>
          <w:tab w:val="left" w:pos="1605"/>
        </w:tabs>
        <w:ind w:left="1605" w:hanging="45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ind w:left="1995" w:hanging="420"/>
      </w:pPr>
    </w:lvl>
    <w:lvl w:ilvl="4" w:tentative="0">
      <w:start w:val="1"/>
      <w:numFmt w:val="lowerLetter"/>
      <w:lvlText w:val="%5)"/>
      <w:lvlJc w:val="left"/>
      <w:pPr>
        <w:ind w:left="2415" w:hanging="420"/>
      </w:pPr>
    </w:lvl>
    <w:lvl w:ilvl="5" w:tentative="0">
      <w:start w:val="1"/>
      <w:numFmt w:val="lowerRoman"/>
      <w:lvlText w:val="%6."/>
      <w:lvlJc w:val="right"/>
      <w:pPr>
        <w:ind w:left="2835" w:hanging="420"/>
      </w:pPr>
    </w:lvl>
    <w:lvl w:ilvl="6" w:tentative="0">
      <w:start w:val="1"/>
      <w:numFmt w:val="decimal"/>
      <w:lvlText w:val="%7."/>
      <w:lvlJc w:val="left"/>
      <w:pPr>
        <w:ind w:left="3255" w:hanging="420"/>
      </w:pPr>
    </w:lvl>
    <w:lvl w:ilvl="7" w:tentative="0">
      <w:start w:val="1"/>
      <w:numFmt w:val="lowerLetter"/>
      <w:lvlText w:val="%8)"/>
      <w:lvlJc w:val="left"/>
      <w:pPr>
        <w:ind w:left="3675" w:hanging="420"/>
      </w:pPr>
    </w:lvl>
    <w:lvl w:ilvl="8" w:tentative="0">
      <w:start w:val="1"/>
      <w:numFmt w:val="lowerRoman"/>
      <w:lvlText w:val="%9."/>
      <w:lvlJc w:val="right"/>
      <w:pPr>
        <w:ind w:left="4095" w:hanging="420"/>
      </w:pPr>
    </w:lvl>
  </w:abstractNum>
  <w:abstractNum w:abstractNumId="5">
    <w:nsid w:val="22B12BD2"/>
    <w:multiLevelType w:val="multilevel"/>
    <w:tmpl w:val="22B12BD2"/>
    <w:lvl w:ilvl="0" w:tentative="0">
      <w:start w:val="1"/>
      <w:numFmt w:val="decimal"/>
      <w:suff w:val="space"/>
      <w:lvlText w:val="1.%1 "/>
      <w:lvlJc w:val="left"/>
      <w:pPr>
        <w:ind w:left="0" w:firstLine="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6">
    <w:nsid w:val="2B3A053B"/>
    <w:multiLevelType w:val="multilevel"/>
    <w:tmpl w:val="2B3A053B"/>
    <w:lvl w:ilvl="0" w:tentative="0">
      <w:start w:val="1"/>
      <w:numFmt w:val="decimal"/>
      <w:lvlText w:val="%1)"/>
      <w:lvlJc w:val="left"/>
      <w:pPr>
        <w:ind w:left="0" w:firstLine="0"/>
      </w:pPr>
      <w:rPr>
        <w:rFonts w:hint="eastAsia"/>
        <w:b w:val="0"/>
        <w:i w:val="0"/>
        <w:sz w:val="21"/>
        <w:szCs w:val="21"/>
      </w:rPr>
    </w:lvl>
    <w:lvl w:ilvl="1" w:tentative="0">
      <w:start w:val="1"/>
      <w:numFmt w:val="decimal"/>
      <w:suff w:val="nothing"/>
      <w:lvlText w:val="%1%2 "/>
      <w:lvlJc w:val="left"/>
      <w:pPr>
        <w:ind w:left="0" w:firstLine="0"/>
      </w:pPr>
      <w:rPr>
        <w:rFonts w:hint="eastAsia" w:ascii="黑体" w:hAnsi="Times New Roman" w:eastAsia="黑体"/>
        <w:b/>
        <w:i w:val="0"/>
        <w:sz w:val="28"/>
      </w:rPr>
    </w:lvl>
    <w:lvl w:ilvl="2" w:tentative="0">
      <w:start w:val="1"/>
      <w:numFmt w:val="decimal"/>
      <w:suff w:val="nothing"/>
      <w:lvlText w:val="%1%2.%3　"/>
      <w:lvlJc w:val="left"/>
      <w:pPr>
        <w:ind w:left="0" w:firstLine="0"/>
      </w:pPr>
      <w:rPr>
        <w:rFonts w:hint="eastAsia" w:ascii="黑体" w:hAnsi="Times New Roman" w:eastAsia="黑体"/>
        <w:b/>
        <w:i w:val="0"/>
        <w:sz w:val="21"/>
      </w:rPr>
    </w:lvl>
    <w:lvl w:ilvl="3" w:tentative="0">
      <w:start w:val="1"/>
      <w:numFmt w:val="lowerLetter"/>
      <w:pStyle w:val="62"/>
      <w:lvlText w:val="%4)"/>
      <w:lvlJc w:val="left"/>
      <w:pPr>
        <w:ind w:left="0" w:firstLine="0"/>
      </w:pPr>
      <w:rPr>
        <w:rFonts w:hint="eastAsia"/>
        <w:b/>
        <w:i w:val="0"/>
        <w:sz w:val="21"/>
      </w:rPr>
    </w:lvl>
    <w:lvl w:ilvl="4" w:tentative="0">
      <w:start w:val="1"/>
      <w:numFmt w:val="decimal"/>
      <w:suff w:val="nothing"/>
      <w:lvlText w:val="表%1%2.%3.%4-%5 "/>
      <w:lvlJc w:val="left"/>
      <w:pPr>
        <w:ind w:left="0" w:firstLine="0"/>
      </w:pPr>
      <w:rPr>
        <w:rFonts w:hint="eastAsia" w:ascii="黑体" w:hAnsi="Times New Roman" w:eastAsia="黑体"/>
        <w:b/>
        <w:i w:val="0"/>
        <w:sz w:val="21"/>
      </w:rPr>
    </w:lvl>
    <w:lvl w:ilvl="5" w:tentative="0">
      <w:start w:val="1"/>
      <w:numFmt w:val="decimal"/>
      <w:lvlRestart w:val="4"/>
      <w:suff w:val="nothing"/>
      <w:lvlText w:val="%1图%2.%3.%4-%6 "/>
      <w:lvlJc w:val="left"/>
      <w:pPr>
        <w:ind w:left="0" w:firstLine="0"/>
      </w:pPr>
      <w:rPr>
        <w:rFonts w:hint="eastAsia" w:ascii="黑体" w:hAnsi="Times New Roman" w:eastAsia="黑体"/>
        <w:b/>
        <w:i w:val="0"/>
        <w:sz w:val="21"/>
      </w:rPr>
    </w:lvl>
    <w:lvl w:ilvl="6" w:tentative="0">
      <w:start w:val="1"/>
      <w:numFmt w:val="decimal"/>
      <w:lvlRestart w:val="4"/>
      <w:suff w:val="nothing"/>
      <w:lvlText w:val="(%2.%3.%4-%7)"/>
      <w:lvlJc w:val="center"/>
      <w:pPr>
        <w:ind w:left="288" w:firstLine="288"/>
      </w:pPr>
      <w:rPr>
        <w:rFonts w:hint="eastAsia" w:ascii="黑体" w:hAnsi="Times New Roman" w:eastAsia="黑体"/>
        <w:b/>
        <w:i w:val="0"/>
        <w:sz w:val="21"/>
      </w:rPr>
    </w:lvl>
    <w:lvl w:ilvl="7" w:tentative="0">
      <w:start w:val="1"/>
      <w:numFmt w:val="decimal"/>
      <w:lvlRestart w:val="2"/>
      <w:lvlText w:val="    %1%8"/>
      <w:lvlJc w:val="left"/>
      <w:pPr>
        <w:tabs>
          <w:tab w:val="left" w:pos="720"/>
        </w:tabs>
        <w:ind w:left="0" w:firstLine="0"/>
      </w:pPr>
      <w:rPr>
        <w:rFonts w:hint="eastAsia" w:ascii="黑体" w:eastAsia="黑体"/>
        <w:b/>
        <w:i w:val="0"/>
        <w:sz w:val="21"/>
      </w:rPr>
    </w:lvl>
    <w:lvl w:ilvl="8" w:tentative="0">
      <w:start w:val="1"/>
      <w:numFmt w:val="decimal"/>
      <w:lvlRestart w:val="2"/>
      <w:lvlText w:val="%2.0.%9"/>
      <w:lvlJc w:val="left"/>
      <w:pPr>
        <w:tabs>
          <w:tab w:val="left" w:pos="720"/>
        </w:tabs>
        <w:ind w:left="0" w:firstLine="0"/>
      </w:pPr>
      <w:rPr>
        <w:rFonts w:hint="eastAsia" w:ascii="黑体" w:hAnsi="华文细黑" w:eastAsia="黑体"/>
        <w:b/>
        <w:i w:val="0"/>
        <w:sz w:val="21"/>
      </w:rPr>
    </w:lvl>
  </w:abstractNum>
  <w:abstractNum w:abstractNumId="7">
    <w:nsid w:val="2E1D4BD0"/>
    <w:multiLevelType w:val="multilevel"/>
    <w:tmpl w:val="2E1D4BD0"/>
    <w:lvl w:ilvl="0" w:tentative="0">
      <w:start w:val="1"/>
      <w:numFmt w:val="lowerLetter"/>
      <w:suff w:val="space"/>
      <w:lvlText w:val="%1) "/>
      <w:lvlJc w:val="left"/>
      <w:pPr>
        <w:ind w:left="0" w:firstLine="482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1322"/>
        </w:tabs>
        <w:ind w:left="1322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742"/>
        </w:tabs>
        <w:ind w:left="1742" w:hanging="420"/>
      </w:pPr>
    </w:lvl>
    <w:lvl w:ilvl="3" w:tentative="0">
      <w:start w:val="1"/>
      <w:numFmt w:val="decimal"/>
      <w:pStyle w:val="74"/>
      <w:lvlText w:val="%4."/>
      <w:lvlJc w:val="left"/>
      <w:pPr>
        <w:tabs>
          <w:tab w:val="left" w:pos="2162"/>
        </w:tabs>
        <w:ind w:left="2162" w:hanging="420"/>
      </w:pPr>
    </w:lvl>
    <w:lvl w:ilvl="4" w:tentative="0">
      <w:start w:val="1"/>
      <w:numFmt w:val="lowerLetter"/>
      <w:pStyle w:val="73"/>
      <w:lvlText w:val="%5)"/>
      <w:lvlJc w:val="left"/>
      <w:pPr>
        <w:tabs>
          <w:tab w:val="left" w:pos="2582"/>
        </w:tabs>
        <w:ind w:left="2582" w:hanging="420"/>
      </w:pPr>
    </w:lvl>
    <w:lvl w:ilvl="5" w:tentative="0">
      <w:start w:val="1"/>
      <w:numFmt w:val="lowerRoman"/>
      <w:pStyle w:val="52"/>
      <w:lvlText w:val="%6."/>
      <w:lvlJc w:val="right"/>
      <w:pPr>
        <w:tabs>
          <w:tab w:val="left" w:pos="3002"/>
        </w:tabs>
        <w:ind w:left="3002" w:hanging="420"/>
      </w:pPr>
    </w:lvl>
    <w:lvl w:ilvl="6" w:tentative="0">
      <w:start w:val="1"/>
      <w:numFmt w:val="decimal"/>
      <w:lvlText w:val="%7."/>
      <w:lvlJc w:val="left"/>
      <w:pPr>
        <w:tabs>
          <w:tab w:val="left" w:pos="3422"/>
        </w:tabs>
        <w:ind w:left="3422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842"/>
        </w:tabs>
        <w:ind w:left="3842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4262"/>
        </w:tabs>
        <w:ind w:left="4262" w:hanging="420"/>
      </w:pPr>
    </w:lvl>
  </w:abstractNum>
  <w:abstractNum w:abstractNumId="8">
    <w:nsid w:val="43DE53CB"/>
    <w:multiLevelType w:val="multilevel"/>
    <w:tmpl w:val="43DE53CB"/>
    <w:lvl w:ilvl="0" w:tentative="0">
      <w:start w:val="1"/>
      <w:numFmt w:val="decimal"/>
      <w:pStyle w:val="103"/>
      <w:lvlText w:val="%1 "/>
      <w:lvlJc w:val="left"/>
      <w:pPr>
        <w:ind w:left="566" w:hanging="425"/>
      </w:pPr>
      <w:rPr>
        <w:rFonts w:hint="eastAsia" w:ascii="黑体" w:hAnsi="黑体" w:eastAsia="黑体"/>
      </w:rPr>
    </w:lvl>
    <w:lvl w:ilvl="1" w:tentative="0">
      <w:start w:val="1"/>
      <w:numFmt w:val="decimal"/>
      <w:pStyle w:val="101"/>
      <w:lvlText w:val="%1.%2 "/>
      <w:lvlJc w:val="left"/>
      <w:pPr>
        <w:ind w:left="2552" w:hanging="567"/>
      </w:pPr>
      <w:rPr>
        <w:rFonts w:hint="eastAsia"/>
      </w:rPr>
    </w:lvl>
    <w:lvl w:ilvl="2" w:tentative="0">
      <w:start w:val="1"/>
      <w:numFmt w:val="decimal"/>
      <w:pStyle w:val="102"/>
      <w:lvlText w:val="%1.%2.%3"/>
      <w:lvlJc w:val="left"/>
      <w:pPr>
        <w:ind w:left="1418" w:hanging="1021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ind w:left="1984" w:hanging="1530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9">
    <w:nsid w:val="4BE90005"/>
    <w:multiLevelType w:val="multilevel"/>
    <w:tmpl w:val="4BE90005"/>
    <w:lvl w:ilvl="0" w:tentative="0">
      <w:start w:val="1"/>
      <w:numFmt w:val="lowerLetter"/>
      <w:suff w:val="space"/>
      <w:lvlText w:val="%1) "/>
      <w:lvlJc w:val="left"/>
      <w:pPr>
        <w:ind w:left="0" w:firstLine="482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1322"/>
        </w:tabs>
        <w:ind w:left="1322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742"/>
        </w:tabs>
        <w:ind w:left="1742" w:hanging="420"/>
      </w:pPr>
    </w:lvl>
    <w:lvl w:ilvl="3" w:tentative="0">
      <w:start w:val="1"/>
      <w:numFmt w:val="decimal"/>
      <w:lvlText w:val="%4."/>
      <w:lvlJc w:val="left"/>
      <w:pPr>
        <w:tabs>
          <w:tab w:val="left" w:pos="2162"/>
        </w:tabs>
        <w:ind w:left="2162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582"/>
        </w:tabs>
        <w:ind w:left="2582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3002"/>
        </w:tabs>
        <w:ind w:left="3002" w:hanging="420"/>
      </w:pPr>
    </w:lvl>
    <w:lvl w:ilvl="6" w:tentative="0">
      <w:start w:val="1"/>
      <w:numFmt w:val="decimal"/>
      <w:lvlText w:val="%7."/>
      <w:lvlJc w:val="left"/>
      <w:pPr>
        <w:tabs>
          <w:tab w:val="left" w:pos="3422"/>
        </w:tabs>
        <w:ind w:left="3422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842"/>
        </w:tabs>
        <w:ind w:left="3842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4262"/>
        </w:tabs>
        <w:ind w:left="4262" w:hanging="420"/>
      </w:pPr>
    </w:lvl>
  </w:abstractNum>
  <w:abstractNum w:abstractNumId="10">
    <w:nsid w:val="4EA438E5"/>
    <w:multiLevelType w:val="multilevel"/>
    <w:tmpl w:val="4EA438E5"/>
    <w:lvl w:ilvl="0" w:tentative="0">
      <w:start w:val="1"/>
      <w:numFmt w:val="decimal"/>
      <w:pStyle w:val="80"/>
      <w:lvlText w:val="%1）"/>
      <w:lvlJc w:val="left"/>
      <w:pPr>
        <w:ind w:left="1155" w:hanging="420"/>
      </w:pPr>
      <w:rPr>
        <w:rFonts w:hint="default" w:ascii="Times New Roman" w:hAnsi="Times New Roman" w:eastAsia="宋体"/>
        <w:sz w:val="21"/>
      </w:rPr>
    </w:lvl>
    <w:lvl w:ilvl="1" w:tentative="0">
      <w:start w:val="1"/>
      <w:numFmt w:val="lowerLetter"/>
      <w:lvlText w:val="%2)"/>
      <w:lvlJc w:val="left"/>
      <w:pPr>
        <w:ind w:left="1560" w:hanging="420"/>
      </w:pPr>
    </w:lvl>
    <w:lvl w:ilvl="2" w:tentative="0">
      <w:start w:val="1"/>
      <w:numFmt w:val="lowerRoman"/>
      <w:lvlText w:val="%3."/>
      <w:lvlJc w:val="right"/>
      <w:pPr>
        <w:ind w:left="1980" w:hanging="420"/>
      </w:pPr>
    </w:lvl>
    <w:lvl w:ilvl="3" w:tentative="0">
      <w:start w:val="1"/>
      <w:numFmt w:val="decimal"/>
      <w:lvlText w:val="%4."/>
      <w:lvlJc w:val="left"/>
      <w:pPr>
        <w:ind w:left="2400" w:hanging="420"/>
      </w:pPr>
    </w:lvl>
    <w:lvl w:ilvl="4" w:tentative="0">
      <w:start w:val="1"/>
      <w:numFmt w:val="lowerLetter"/>
      <w:lvlText w:val="%5)"/>
      <w:lvlJc w:val="left"/>
      <w:pPr>
        <w:ind w:left="2820" w:hanging="420"/>
      </w:pPr>
    </w:lvl>
    <w:lvl w:ilvl="5" w:tentative="0">
      <w:start w:val="1"/>
      <w:numFmt w:val="lowerRoman"/>
      <w:lvlText w:val="%6."/>
      <w:lvlJc w:val="right"/>
      <w:pPr>
        <w:ind w:left="3240" w:hanging="420"/>
      </w:pPr>
    </w:lvl>
    <w:lvl w:ilvl="6" w:tentative="0">
      <w:start w:val="1"/>
      <w:numFmt w:val="decimal"/>
      <w:lvlText w:val="%7."/>
      <w:lvlJc w:val="left"/>
      <w:pPr>
        <w:ind w:left="3660" w:hanging="420"/>
      </w:pPr>
    </w:lvl>
    <w:lvl w:ilvl="7" w:tentative="0">
      <w:start w:val="1"/>
      <w:numFmt w:val="lowerLetter"/>
      <w:lvlText w:val="%8)"/>
      <w:lvlJc w:val="left"/>
      <w:pPr>
        <w:ind w:left="4080" w:hanging="420"/>
      </w:pPr>
    </w:lvl>
    <w:lvl w:ilvl="8" w:tentative="0">
      <w:start w:val="1"/>
      <w:numFmt w:val="lowerRoman"/>
      <w:lvlText w:val="%9."/>
      <w:lvlJc w:val="right"/>
      <w:pPr>
        <w:ind w:left="4500" w:hanging="420"/>
      </w:pPr>
    </w:lvl>
  </w:abstractNum>
  <w:abstractNum w:abstractNumId="11">
    <w:nsid w:val="4FC04D3E"/>
    <w:multiLevelType w:val="multilevel"/>
    <w:tmpl w:val="4FC04D3E"/>
    <w:lvl w:ilvl="0" w:tentative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color w:val="auto"/>
      </w:rPr>
    </w:lvl>
    <w:lvl w:ilvl="1" w:tentative="0">
      <w:start w:val="0"/>
      <w:numFmt w:val="none"/>
      <w:lvlText w:val=""/>
      <w:lvlJc w:val="left"/>
      <w:pPr>
        <w:tabs>
          <w:tab w:val="left" w:pos="360"/>
        </w:tabs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</w:lvl>
    <w:lvl w:ilvl="4" w:tentative="0">
      <w:start w:val="0"/>
      <w:numFmt w:val="none"/>
      <w:lvlText w:val=""/>
      <w:lvlJc w:val="left"/>
      <w:pPr>
        <w:tabs>
          <w:tab w:val="left" w:pos="360"/>
        </w:tabs>
      </w:pPr>
    </w:lvl>
    <w:lvl w:ilvl="5" w:tentative="0">
      <w:start w:val="0"/>
      <w:numFmt w:val="none"/>
      <w:lvlText w:val=""/>
      <w:lvlJc w:val="left"/>
      <w:pPr>
        <w:tabs>
          <w:tab w:val="left" w:pos="360"/>
        </w:tabs>
      </w:pPr>
    </w:lvl>
    <w:lvl w:ilvl="6" w:tentative="0">
      <w:start w:val="0"/>
      <w:numFmt w:val="none"/>
      <w:lvlText w:val=""/>
      <w:lvlJc w:val="left"/>
      <w:pPr>
        <w:tabs>
          <w:tab w:val="left" w:pos="360"/>
        </w:tabs>
      </w:pPr>
    </w:lvl>
    <w:lvl w:ilvl="7" w:tentative="0">
      <w:start w:val="0"/>
      <w:numFmt w:val="none"/>
      <w:lvlText w:val=""/>
      <w:lvlJc w:val="left"/>
      <w:pPr>
        <w:tabs>
          <w:tab w:val="left" w:pos="360"/>
        </w:tabs>
      </w:pPr>
    </w:lvl>
    <w:lvl w:ilvl="8" w:tentative="0">
      <w:start w:val="0"/>
      <w:numFmt w:val="none"/>
      <w:lvlText w:val=""/>
      <w:lvlJc w:val="left"/>
      <w:pPr>
        <w:tabs>
          <w:tab w:val="left" w:pos="360"/>
        </w:tabs>
      </w:pPr>
    </w:lvl>
  </w:abstractNum>
  <w:abstractNum w:abstractNumId="12">
    <w:nsid w:val="50AD4338"/>
    <w:multiLevelType w:val="multilevel"/>
    <w:tmpl w:val="50AD4338"/>
    <w:lvl w:ilvl="0" w:tentative="0">
      <w:start w:val="1"/>
      <w:numFmt w:val="decimal"/>
      <w:lvlText w:val="%1)"/>
      <w:lvlJc w:val="left"/>
      <w:pPr>
        <w:tabs>
          <w:tab w:val="left" w:pos="900"/>
        </w:tabs>
        <w:ind w:left="900" w:hanging="420"/>
      </w:pPr>
    </w:lvl>
    <w:lvl w:ilvl="1" w:tentative="0">
      <w:start w:val="1"/>
      <w:numFmt w:val="lowerLetter"/>
      <w:lvlText w:val="%2)"/>
      <w:lvlJc w:val="left"/>
      <w:pPr>
        <w:tabs>
          <w:tab w:val="left" w:pos="1320"/>
        </w:tabs>
        <w:ind w:left="132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740"/>
        </w:tabs>
        <w:ind w:left="1740" w:hanging="420"/>
      </w:pPr>
    </w:lvl>
    <w:lvl w:ilvl="3" w:tentative="0">
      <w:start w:val="1"/>
      <w:numFmt w:val="decimal"/>
      <w:lvlText w:val="%4."/>
      <w:lvlJc w:val="left"/>
      <w:pPr>
        <w:tabs>
          <w:tab w:val="left" w:pos="2160"/>
        </w:tabs>
        <w:ind w:left="216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580"/>
        </w:tabs>
        <w:ind w:left="258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3000"/>
        </w:tabs>
        <w:ind w:left="3000" w:hanging="420"/>
      </w:pPr>
    </w:lvl>
    <w:lvl w:ilvl="6" w:tentative="0">
      <w:start w:val="1"/>
      <w:numFmt w:val="decimal"/>
      <w:lvlText w:val="%7."/>
      <w:lvlJc w:val="left"/>
      <w:pPr>
        <w:tabs>
          <w:tab w:val="left" w:pos="3420"/>
        </w:tabs>
        <w:ind w:left="342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840"/>
        </w:tabs>
        <w:ind w:left="384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4260"/>
        </w:tabs>
        <w:ind w:left="4260" w:hanging="420"/>
      </w:pPr>
    </w:lvl>
  </w:abstractNum>
  <w:abstractNum w:abstractNumId="13">
    <w:nsid w:val="63EC75FF"/>
    <w:multiLevelType w:val="multilevel"/>
    <w:tmpl w:val="63EC75FF"/>
    <w:lvl w:ilvl="0" w:tentative="0">
      <w:start w:val="1"/>
      <w:numFmt w:val="decimal"/>
      <w:lvlText w:val="%1)"/>
      <w:lvlJc w:val="left"/>
      <w:pPr>
        <w:ind w:left="420" w:hanging="420"/>
      </w:pPr>
      <w:rPr>
        <w:rFonts w:hint="eastAsia"/>
        <w:color w:val="auto"/>
      </w:rPr>
    </w:lvl>
    <w:lvl w:ilvl="1" w:tentative="0">
      <w:start w:val="1"/>
      <w:numFmt w:val="decimal"/>
      <w:lvlText w:val="%2)"/>
      <w:lvlJc w:val="left"/>
      <w:pPr>
        <w:ind w:left="840" w:hanging="420"/>
      </w:pPr>
      <w:rPr>
        <w:rFonts w:hint="eastAsia"/>
        <w:color w:val="auto"/>
      </w:r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4">
    <w:nsid w:val="63EC7612"/>
    <w:multiLevelType w:val="multilevel"/>
    <w:tmpl w:val="63EC7612"/>
    <w:lvl w:ilvl="0" w:tentative="0">
      <w:start w:val="1"/>
      <w:numFmt w:val="decimal"/>
      <w:lvlText w:val="%1)"/>
      <w:lvlJc w:val="left"/>
      <w:pPr>
        <w:ind w:left="420" w:hanging="420"/>
      </w:pPr>
      <w:rPr>
        <w:rFonts w:hint="eastAsia"/>
        <w:color w:val="auto"/>
      </w:rPr>
    </w:lvl>
    <w:lvl w:ilvl="1" w:tentative="0">
      <w:start w:val="1"/>
      <w:numFmt w:val="decimal"/>
      <w:lvlText w:val="%2)"/>
      <w:lvlJc w:val="left"/>
      <w:pPr>
        <w:ind w:left="840" w:hanging="420"/>
      </w:pPr>
      <w:rPr>
        <w:rFonts w:hint="eastAsia"/>
        <w:color w:val="auto"/>
      </w:r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5">
    <w:nsid w:val="63EC787E"/>
    <w:multiLevelType w:val="multilevel"/>
    <w:tmpl w:val="63EC787E"/>
    <w:lvl w:ilvl="0" w:tentative="0">
      <w:start w:val="1"/>
      <w:numFmt w:val="decimal"/>
      <w:lvlText w:val="%1)"/>
      <w:lvlJc w:val="left"/>
      <w:pPr>
        <w:ind w:left="420" w:hanging="420"/>
      </w:pPr>
      <w:rPr>
        <w:rFonts w:hint="eastAsia"/>
        <w:color w:val="auto"/>
      </w:rPr>
    </w:lvl>
    <w:lvl w:ilvl="1" w:tentative="0">
      <w:start w:val="1"/>
      <w:numFmt w:val="decimal"/>
      <w:lvlText w:val="%2)"/>
      <w:lvlJc w:val="left"/>
      <w:pPr>
        <w:ind w:left="840" w:hanging="420"/>
      </w:pPr>
      <w:rPr>
        <w:rFonts w:hint="eastAsia"/>
        <w:color w:val="auto"/>
      </w:r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6">
    <w:nsid w:val="63EC7897"/>
    <w:multiLevelType w:val="multilevel"/>
    <w:tmpl w:val="63EC7897"/>
    <w:lvl w:ilvl="0" w:tentative="0">
      <w:start w:val="1"/>
      <w:numFmt w:val="decimal"/>
      <w:lvlText w:val="%1)"/>
      <w:lvlJc w:val="left"/>
      <w:pPr>
        <w:ind w:left="420" w:hanging="420"/>
      </w:pPr>
      <w:rPr>
        <w:rFonts w:hint="eastAsia"/>
        <w:color w:val="auto"/>
      </w:rPr>
    </w:lvl>
    <w:lvl w:ilvl="1" w:tentative="0">
      <w:start w:val="1"/>
      <w:numFmt w:val="decimal"/>
      <w:lvlText w:val="%2)"/>
      <w:lvlJc w:val="left"/>
      <w:pPr>
        <w:ind w:left="840" w:hanging="420"/>
      </w:pPr>
      <w:rPr>
        <w:rFonts w:hint="eastAsia"/>
        <w:color w:val="auto"/>
      </w:r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7">
    <w:nsid w:val="646260FA"/>
    <w:multiLevelType w:val="multilevel"/>
    <w:tmpl w:val="646260FA"/>
    <w:lvl w:ilvl="0" w:tentative="0">
      <w:start w:val="1"/>
      <w:numFmt w:val="decimal"/>
      <w:pStyle w:val="93"/>
      <w:suff w:val="nothing"/>
      <w:lvlText w:val="表%1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1" w:tentative="0">
      <w:start w:val="1"/>
      <w:numFmt w:val="decimal"/>
      <w:lvlText w:val="%1.%2"/>
      <w:lvlJc w:val="left"/>
      <w:pPr>
        <w:tabs>
          <w:tab w:val="left" w:pos="992"/>
        </w:tabs>
        <w:ind w:left="992" w:hanging="567"/>
      </w:pPr>
      <w:rPr>
        <w:rFonts w:hint="eastAsia"/>
      </w:rPr>
    </w:lvl>
    <w:lvl w:ilvl="2" w:tentative="0">
      <w:start w:val="1"/>
      <w:numFmt w:val="decimal"/>
      <w:lvlText w:val="%1.%2.%3"/>
      <w:lvlJc w:val="left"/>
      <w:pPr>
        <w:tabs>
          <w:tab w:val="left" w:pos="1418"/>
        </w:tabs>
        <w:ind w:left="1418" w:hanging="567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tabs>
          <w:tab w:val="left" w:pos="1984"/>
        </w:tabs>
        <w:ind w:left="1984" w:hanging="708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2551"/>
        </w:tabs>
        <w:ind w:left="2551" w:hanging="85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3260"/>
        </w:tabs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3827"/>
        </w:tabs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94"/>
        </w:tabs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5102"/>
        </w:tabs>
        <w:ind w:left="5102" w:hanging="1700"/>
      </w:pPr>
      <w:rPr>
        <w:rFonts w:hint="eastAsia"/>
      </w:rPr>
    </w:lvl>
  </w:abstractNum>
  <w:abstractNum w:abstractNumId="18">
    <w:nsid w:val="763A6836"/>
    <w:multiLevelType w:val="multilevel"/>
    <w:tmpl w:val="763A6836"/>
    <w:lvl w:ilvl="0" w:tentative="0">
      <w:start w:val="1"/>
      <w:numFmt w:val="decimal"/>
      <w:lvlText w:val="%1)"/>
      <w:lvlJc w:val="left"/>
      <w:pPr>
        <w:ind w:left="0" w:firstLine="0"/>
      </w:pPr>
      <w:rPr>
        <w:rFonts w:hint="eastAsia"/>
        <w:b w:val="0"/>
        <w:i w:val="0"/>
        <w:sz w:val="21"/>
        <w:szCs w:val="21"/>
      </w:rPr>
    </w:lvl>
    <w:lvl w:ilvl="1" w:tentative="0">
      <w:start w:val="1"/>
      <w:numFmt w:val="decimal"/>
      <w:pStyle w:val="59"/>
      <w:suff w:val="nothing"/>
      <w:lvlText w:val="%1%2 "/>
      <w:lvlJc w:val="left"/>
      <w:pPr>
        <w:ind w:left="0" w:firstLine="0"/>
      </w:pPr>
      <w:rPr>
        <w:rFonts w:hint="eastAsia" w:ascii="黑体" w:hAnsi="Times New Roman" w:eastAsia="黑体"/>
        <w:b/>
        <w:i w:val="0"/>
        <w:sz w:val="28"/>
      </w:rPr>
    </w:lvl>
    <w:lvl w:ilvl="2" w:tentative="0">
      <w:start w:val="1"/>
      <w:numFmt w:val="decimal"/>
      <w:pStyle w:val="58"/>
      <w:suff w:val="nothing"/>
      <w:lvlText w:val="%1%2.%3　"/>
      <w:lvlJc w:val="left"/>
      <w:pPr>
        <w:ind w:left="0" w:firstLine="0"/>
      </w:pPr>
      <w:rPr>
        <w:rFonts w:hint="eastAsia" w:ascii="黑体" w:hAnsi="Times New Roman" w:eastAsia="黑体"/>
        <w:b/>
        <w:i w:val="0"/>
        <w:sz w:val="21"/>
      </w:rPr>
    </w:lvl>
    <w:lvl w:ilvl="3" w:tentative="0">
      <w:start w:val="1"/>
      <w:numFmt w:val="decimal"/>
      <w:suff w:val="nothing"/>
      <w:lvlText w:val="%1%2.%3.%4　"/>
      <w:lvlJc w:val="left"/>
      <w:pPr>
        <w:ind w:left="0" w:firstLine="0"/>
      </w:pPr>
      <w:rPr>
        <w:rFonts w:hint="eastAsia" w:ascii="黑体" w:hAnsi="Times New Roman" w:eastAsia="黑体"/>
        <w:b/>
        <w:i w:val="0"/>
        <w:sz w:val="21"/>
      </w:rPr>
    </w:lvl>
    <w:lvl w:ilvl="4" w:tentative="0">
      <w:start w:val="1"/>
      <w:numFmt w:val="decimal"/>
      <w:pStyle w:val="61"/>
      <w:suff w:val="nothing"/>
      <w:lvlText w:val="表%1%2.%3.%4-%5 "/>
      <w:lvlJc w:val="left"/>
      <w:pPr>
        <w:ind w:left="0" w:firstLine="0"/>
      </w:pPr>
      <w:rPr>
        <w:rFonts w:hint="eastAsia" w:ascii="黑体" w:hAnsi="Times New Roman" w:eastAsia="黑体"/>
        <w:b/>
        <w:i w:val="0"/>
        <w:sz w:val="21"/>
      </w:rPr>
    </w:lvl>
    <w:lvl w:ilvl="5" w:tentative="0">
      <w:start w:val="1"/>
      <w:numFmt w:val="decimal"/>
      <w:lvlRestart w:val="4"/>
      <w:pStyle w:val="72"/>
      <w:suff w:val="nothing"/>
      <w:lvlText w:val="%1图%2.%3.%4-%6 "/>
      <w:lvlJc w:val="left"/>
      <w:pPr>
        <w:ind w:left="0" w:firstLine="0"/>
      </w:pPr>
      <w:rPr>
        <w:rFonts w:hint="eastAsia" w:ascii="黑体" w:hAnsi="Times New Roman" w:eastAsia="黑体"/>
        <w:b/>
        <w:i w:val="0"/>
        <w:sz w:val="21"/>
      </w:rPr>
    </w:lvl>
    <w:lvl w:ilvl="6" w:tentative="0">
      <w:start w:val="1"/>
      <w:numFmt w:val="decimal"/>
      <w:lvlRestart w:val="4"/>
      <w:pStyle w:val="79"/>
      <w:suff w:val="nothing"/>
      <w:lvlText w:val="(%2.%3.%4-%7)"/>
      <w:lvlJc w:val="center"/>
      <w:pPr>
        <w:ind w:left="288" w:firstLine="288"/>
      </w:pPr>
      <w:rPr>
        <w:rFonts w:hint="eastAsia" w:ascii="黑体" w:hAnsi="Times New Roman" w:eastAsia="黑体"/>
        <w:b/>
        <w:i w:val="0"/>
        <w:sz w:val="21"/>
      </w:rPr>
    </w:lvl>
    <w:lvl w:ilvl="7" w:tentative="0">
      <w:start w:val="1"/>
      <w:numFmt w:val="decimal"/>
      <w:lvlRestart w:val="2"/>
      <w:pStyle w:val="64"/>
      <w:lvlText w:val="    %1%8"/>
      <w:lvlJc w:val="left"/>
      <w:pPr>
        <w:tabs>
          <w:tab w:val="left" w:pos="720"/>
        </w:tabs>
        <w:ind w:left="0" w:firstLine="0"/>
      </w:pPr>
      <w:rPr>
        <w:rFonts w:hint="eastAsia" w:ascii="黑体" w:eastAsia="黑体"/>
        <w:b/>
        <w:i w:val="0"/>
        <w:sz w:val="21"/>
      </w:rPr>
    </w:lvl>
    <w:lvl w:ilvl="8" w:tentative="0">
      <w:start w:val="1"/>
      <w:numFmt w:val="decimal"/>
      <w:lvlRestart w:val="2"/>
      <w:pStyle w:val="84"/>
      <w:lvlText w:val="%2.0.%9"/>
      <w:lvlJc w:val="left"/>
      <w:pPr>
        <w:tabs>
          <w:tab w:val="left" w:pos="720"/>
        </w:tabs>
        <w:ind w:left="0" w:firstLine="0"/>
      </w:pPr>
      <w:rPr>
        <w:rFonts w:hint="eastAsia" w:ascii="黑体" w:hAnsi="华文细黑" w:eastAsia="黑体"/>
        <w:b/>
        <w:i w:val="0"/>
        <w:sz w:val="21"/>
      </w:rPr>
    </w:lvl>
  </w:abstractNum>
  <w:num w:numId="1">
    <w:abstractNumId w:val="4"/>
  </w:num>
  <w:num w:numId="2">
    <w:abstractNumId w:val="7"/>
  </w:num>
  <w:num w:numId="3">
    <w:abstractNumId w:val="18"/>
  </w:num>
  <w:num w:numId="4">
    <w:abstractNumId w:val="1"/>
  </w:num>
  <w:num w:numId="5">
    <w:abstractNumId w:val="6"/>
  </w:num>
  <w:num w:numId="6">
    <w:abstractNumId w:val="10"/>
  </w:num>
  <w:num w:numId="7">
    <w:abstractNumId w:val="17"/>
  </w:num>
  <w:num w:numId="8">
    <w:abstractNumId w:val="8"/>
  </w:num>
  <w:num w:numId="9">
    <w:abstractNumId w:val="0"/>
  </w:num>
  <w:num w:numId="10">
    <w:abstractNumId w:val="11"/>
  </w:num>
  <w:num w:numId="11">
    <w:abstractNumId w:val="5"/>
  </w:num>
  <w:num w:numId="12">
    <w:abstractNumId w:val="12"/>
  </w:num>
  <w:num w:numId="13">
    <w:abstractNumId w:val="3"/>
  </w:num>
  <w:num w:numId="14">
    <w:abstractNumId w:val="9"/>
  </w:num>
  <w:num w:numId="15">
    <w:abstractNumId w:val="2"/>
  </w:num>
  <w:num w:numId="16">
    <w:abstractNumId w:val="15"/>
  </w:num>
  <w:num w:numId="17">
    <w:abstractNumId w:val="16"/>
  </w:num>
  <w:num w:numId="18">
    <w:abstractNumId w:val="13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420"/>
  <w:drawingGridVerticalSpacing w:val="156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jE0Mzc0ZmE4YzUwYjRkYzU1NWUyYmE1NzViNDAzNGMifQ=="/>
  </w:docVars>
  <w:rsids>
    <w:rsidRoot w:val="00172A27"/>
    <w:rsid w:val="00000F0C"/>
    <w:rsid w:val="00001059"/>
    <w:rsid w:val="00001A46"/>
    <w:rsid w:val="000029F5"/>
    <w:rsid w:val="000034A2"/>
    <w:rsid w:val="00003925"/>
    <w:rsid w:val="000046CB"/>
    <w:rsid w:val="0000479E"/>
    <w:rsid w:val="00005442"/>
    <w:rsid w:val="000064B0"/>
    <w:rsid w:val="0001255B"/>
    <w:rsid w:val="000138D5"/>
    <w:rsid w:val="00013A9D"/>
    <w:rsid w:val="00015F4F"/>
    <w:rsid w:val="000162AE"/>
    <w:rsid w:val="00016336"/>
    <w:rsid w:val="000167B1"/>
    <w:rsid w:val="00017D15"/>
    <w:rsid w:val="00021815"/>
    <w:rsid w:val="00021F4D"/>
    <w:rsid w:val="0002404C"/>
    <w:rsid w:val="00026BA8"/>
    <w:rsid w:val="00030796"/>
    <w:rsid w:val="00031F56"/>
    <w:rsid w:val="000341DD"/>
    <w:rsid w:val="000442AF"/>
    <w:rsid w:val="00044353"/>
    <w:rsid w:val="000476FB"/>
    <w:rsid w:val="0005051E"/>
    <w:rsid w:val="00051416"/>
    <w:rsid w:val="00051434"/>
    <w:rsid w:val="00051A85"/>
    <w:rsid w:val="000543D7"/>
    <w:rsid w:val="00054EF3"/>
    <w:rsid w:val="00054FD9"/>
    <w:rsid w:val="0005743F"/>
    <w:rsid w:val="00060D47"/>
    <w:rsid w:val="00061474"/>
    <w:rsid w:val="0006265D"/>
    <w:rsid w:val="00065134"/>
    <w:rsid w:val="00066239"/>
    <w:rsid w:val="000676BE"/>
    <w:rsid w:val="000717AA"/>
    <w:rsid w:val="00071CE5"/>
    <w:rsid w:val="000720A3"/>
    <w:rsid w:val="00075481"/>
    <w:rsid w:val="00081134"/>
    <w:rsid w:val="000812E1"/>
    <w:rsid w:val="00081802"/>
    <w:rsid w:val="00081804"/>
    <w:rsid w:val="00081F5D"/>
    <w:rsid w:val="000822CF"/>
    <w:rsid w:val="00082446"/>
    <w:rsid w:val="00082BD0"/>
    <w:rsid w:val="00082DA2"/>
    <w:rsid w:val="00082EF7"/>
    <w:rsid w:val="000863EA"/>
    <w:rsid w:val="00086B83"/>
    <w:rsid w:val="00086DBB"/>
    <w:rsid w:val="00092D10"/>
    <w:rsid w:val="000965BE"/>
    <w:rsid w:val="000A36BE"/>
    <w:rsid w:val="000A4BFA"/>
    <w:rsid w:val="000A4D9A"/>
    <w:rsid w:val="000A7458"/>
    <w:rsid w:val="000B0D92"/>
    <w:rsid w:val="000B11D1"/>
    <w:rsid w:val="000B5AFD"/>
    <w:rsid w:val="000B61A3"/>
    <w:rsid w:val="000C13A3"/>
    <w:rsid w:val="000C267D"/>
    <w:rsid w:val="000C423A"/>
    <w:rsid w:val="000C653F"/>
    <w:rsid w:val="000D0D20"/>
    <w:rsid w:val="000D2517"/>
    <w:rsid w:val="000D2CCD"/>
    <w:rsid w:val="000D4C16"/>
    <w:rsid w:val="000D56CB"/>
    <w:rsid w:val="000D715E"/>
    <w:rsid w:val="000E0F18"/>
    <w:rsid w:val="000E4F65"/>
    <w:rsid w:val="000E632F"/>
    <w:rsid w:val="000E7931"/>
    <w:rsid w:val="000F0B5A"/>
    <w:rsid w:val="000F213F"/>
    <w:rsid w:val="000F2219"/>
    <w:rsid w:val="000F360A"/>
    <w:rsid w:val="000F4245"/>
    <w:rsid w:val="000F45FA"/>
    <w:rsid w:val="00101971"/>
    <w:rsid w:val="001023EC"/>
    <w:rsid w:val="00102720"/>
    <w:rsid w:val="00102C84"/>
    <w:rsid w:val="00103198"/>
    <w:rsid w:val="00106DC9"/>
    <w:rsid w:val="00113695"/>
    <w:rsid w:val="0012202A"/>
    <w:rsid w:val="00127794"/>
    <w:rsid w:val="00133E5E"/>
    <w:rsid w:val="001363A8"/>
    <w:rsid w:val="00136765"/>
    <w:rsid w:val="001404EB"/>
    <w:rsid w:val="00142DD4"/>
    <w:rsid w:val="00144115"/>
    <w:rsid w:val="00146CD7"/>
    <w:rsid w:val="00147C3E"/>
    <w:rsid w:val="00147D33"/>
    <w:rsid w:val="0015173E"/>
    <w:rsid w:val="001553DA"/>
    <w:rsid w:val="00156163"/>
    <w:rsid w:val="0015647D"/>
    <w:rsid w:val="00157F47"/>
    <w:rsid w:val="0016009F"/>
    <w:rsid w:val="00160959"/>
    <w:rsid w:val="00160FF5"/>
    <w:rsid w:val="00161C5A"/>
    <w:rsid w:val="00162D82"/>
    <w:rsid w:val="00165FE4"/>
    <w:rsid w:val="00171362"/>
    <w:rsid w:val="00172A27"/>
    <w:rsid w:val="00173108"/>
    <w:rsid w:val="00173DCD"/>
    <w:rsid w:val="0017432B"/>
    <w:rsid w:val="00176FB2"/>
    <w:rsid w:val="00180AC2"/>
    <w:rsid w:val="00182E0A"/>
    <w:rsid w:val="001836A4"/>
    <w:rsid w:val="00183D66"/>
    <w:rsid w:val="00184C33"/>
    <w:rsid w:val="00185827"/>
    <w:rsid w:val="001859E1"/>
    <w:rsid w:val="00186517"/>
    <w:rsid w:val="001934E7"/>
    <w:rsid w:val="001937CC"/>
    <w:rsid w:val="001942B4"/>
    <w:rsid w:val="001947F9"/>
    <w:rsid w:val="00196AB2"/>
    <w:rsid w:val="00196C9A"/>
    <w:rsid w:val="00197E40"/>
    <w:rsid w:val="00197FBE"/>
    <w:rsid w:val="001A098E"/>
    <w:rsid w:val="001A140E"/>
    <w:rsid w:val="001A16AA"/>
    <w:rsid w:val="001A1921"/>
    <w:rsid w:val="001A3A3B"/>
    <w:rsid w:val="001A490D"/>
    <w:rsid w:val="001A59C7"/>
    <w:rsid w:val="001A6BDD"/>
    <w:rsid w:val="001B0C04"/>
    <w:rsid w:val="001B2B09"/>
    <w:rsid w:val="001B2C50"/>
    <w:rsid w:val="001B300F"/>
    <w:rsid w:val="001B3754"/>
    <w:rsid w:val="001B504E"/>
    <w:rsid w:val="001B5EEB"/>
    <w:rsid w:val="001B6307"/>
    <w:rsid w:val="001B65DA"/>
    <w:rsid w:val="001B6DE4"/>
    <w:rsid w:val="001C0A89"/>
    <w:rsid w:val="001C27D0"/>
    <w:rsid w:val="001C6006"/>
    <w:rsid w:val="001C791E"/>
    <w:rsid w:val="001C7AE3"/>
    <w:rsid w:val="001D2C62"/>
    <w:rsid w:val="001D3E90"/>
    <w:rsid w:val="001E0688"/>
    <w:rsid w:val="001E0FC2"/>
    <w:rsid w:val="001E1059"/>
    <w:rsid w:val="001E33B1"/>
    <w:rsid w:val="001E551E"/>
    <w:rsid w:val="001E6201"/>
    <w:rsid w:val="001E687B"/>
    <w:rsid w:val="001E7B01"/>
    <w:rsid w:val="001F0035"/>
    <w:rsid w:val="001F046A"/>
    <w:rsid w:val="001F0CFE"/>
    <w:rsid w:val="001F2D3E"/>
    <w:rsid w:val="001F32C9"/>
    <w:rsid w:val="001F3944"/>
    <w:rsid w:val="00200028"/>
    <w:rsid w:val="00204081"/>
    <w:rsid w:val="0020536C"/>
    <w:rsid w:val="00205FBE"/>
    <w:rsid w:val="00207F2F"/>
    <w:rsid w:val="002116B6"/>
    <w:rsid w:val="00211A68"/>
    <w:rsid w:val="00215089"/>
    <w:rsid w:val="00220050"/>
    <w:rsid w:val="002214DB"/>
    <w:rsid w:val="0022294D"/>
    <w:rsid w:val="00223502"/>
    <w:rsid w:val="0022487C"/>
    <w:rsid w:val="00226CFB"/>
    <w:rsid w:val="002323BD"/>
    <w:rsid w:val="00234019"/>
    <w:rsid w:val="002351D7"/>
    <w:rsid w:val="002362E1"/>
    <w:rsid w:val="002366A0"/>
    <w:rsid w:val="00242B51"/>
    <w:rsid w:val="0024347E"/>
    <w:rsid w:val="00243853"/>
    <w:rsid w:val="00243D24"/>
    <w:rsid w:val="0024603C"/>
    <w:rsid w:val="002511E1"/>
    <w:rsid w:val="0025256E"/>
    <w:rsid w:val="0025367E"/>
    <w:rsid w:val="00253727"/>
    <w:rsid w:val="00260E85"/>
    <w:rsid w:val="00264FF3"/>
    <w:rsid w:val="0026673D"/>
    <w:rsid w:val="0027134A"/>
    <w:rsid w:val="002714DC"/>
    <w:rsid w:val="00271D61"/>
    <w:rsid w:val="00271D63"/>
    <w:rsid w:val="0027220A"/>
    <w:rsid w:val="00272E6E"/>
    <w:rsid w:val="00273146"/>
    <w:rsid w:val="00273656"/>
    <w:rsid w:val="002744F5"/>
    <w:rsid w:val="002746F2"/>
    <w:rsid w:val="00276172"/>
    <w:rsid w:val="002775AB"/>
    <w:rsid w:val="002778ED"/>
    <w:rsid w:val="002802F7"/>
    <w:rsid w:val="0028036C"/>
    <w:rsid w:val="002815DB"/>
    <w:rsid w:val="002828ED"/>
    <w:rsid w:val="002915CC"/>
    <w:rsid w:val="00294643"/>
    <w:rsid w:val="00295892"/>
    <w:rsid w:val="00295D88"/>
    <w:rsid w:val="0029676C"/>
    <w:rsid w:val="00296EA4"/>
    <w:rsid w:val="002A38B4"/>
    <w:rsid w:val="002A3A16"/>
    <w:rsid w:val="002B0C6B"/>
    <w:rsid w:val="002B1CC6"/>
    <w:rsid w:val="002B202B"/>
    <w:rsid w:val="002B2403"/>
    <w:rsid w:val="002B3531"/>
    <w:rsid w:val="002B5158"/>
    <w:rsid w:val="002B525A"/>
    <w:rsid w:val="002B6DA6"/>
    <w:rsid w:val="002B7F38"/>
    <w:rsid w:val="002C0D56"/>
    <w:rsid w:val="002C2747"/>
    <w:rsid w:val="002C54DC"/>
    <w:rsid w:val="002D0166"/>
    <w:rsid w:val="002D0F7A"/>
    <w:rsid w:val="002D17EB"/>
    <w:rsid w:val="002D187D"/>
    <w:rsid w:val="002D30D7"/>
    <w:rsid w:val="002D31E0"/>
    <w:rsid w:val="002D5550"/>
    <w:rsid w:val="002D6086"/>
    <w:rsid w:val="002E24ED"/>
    <w:rsid w:val="002E7D54"/>
    <w:rsid w:val="002F02F2"/>
    <w:rsid w:val="002F16A7"/>
    <w:rsid w:val="002F2F43"/>
    <w:rsid w:val="002F4890"/>
    <w:rsid w:val="002F6A0B"/>
    <w:rsid w:val="002F6EA2"/>
    <w:rsid w:val="0030188F"/>
    <w:rsid w:val="003023FD"/>
    <w:rsid w:val="00302415"/>
    <w:rsid w:val="00302EF2"/>
    <w:rsid w:val="00304584"/>
    <w:rsid w:val="00306039"/>
    <w:rsid w:val="0030644F"/>
    <w:rsid w:val="003073C9"/>
    <w:rsid w:val="00312F0B"/>
    <w:rsid w:val="003144F0"/>
    <w:rsid w:val="00315078"/>
    <w:rsid w:val="00320749"/>
    <w:rsid w:val="00321B35"/>
    <w:rsid w:val="00323FE7"/>
    <w:rsid w:val="00326BA6"/>
    <w:rsid w:val="003276C4"/>
    <w:rsid w:val="00330D3F"/>
    <w:rsid w:val="00332C63"/>
    <w:rsid w:val="003337DA"/>
    <w:rsid w:val="003373DD"/>
    <w:rsid w:val="00337BCF"/>
    <w:rsid w:val="00342002"/>
    <w:rsid w:val="0034223B"/>
    <w:rsid w:val="0034300F"/>
    <w:rsid w:val="0034367F"/>
    <w:rsid w:val="00344EFC"/>
    <w:rsid w:val="003451E3"/>
    <w:rsid w:val="00345289"/>
    <w:rsid w:val="00345697"/>
    <w:rsid w:val="00346C96"/>
    <w:rsid w:val="00347962"/>
    <w:rsid w:val="00350C5C"/>
    <w:rsid w:val="003518A3"/>
    <w:rsid w:val="00352AA8"/>
    <w:rsid w:val="003562C2"/>
    <w:rsid w:val="003568AA"/>
    <w:rsid w:val="00356BC6"/>
    <w:rsid w:val="0035707B"/>
    <w:rsid w:val="0035716E"/>
    <w:rsid w:val="00357986"/>
    <w:rsid w:val="00361A71"/>
    <w:rsid w:val="00362885"/>
    <w:rsid w:val="00363D75"/>
    <w:rsid w:val="0036448F"/>
    <w:rsid w:val="00364CC8"/>
    <w:rsid w:val="00367466"/>
    <w:rsid w:val="0037201B"/>
    <w:rsid w:val="00373827"/>
    <w:rsid w:val="003738CD"/>
    <w:rsid w:val="00375D07"/>
    <w:rsid w:val="003770BD"/>
    <w:rsid w:val="00377ED5"/>
    <w:rsid w:val="00380100"/>
    <w:rsid w:val="00382F24"/>
    <w:rsid w:val="0038318F"/>
    <w:rsid w:val="00383751"/>
    <w:rsid w:val="00386596"/>
    <w:rsid w:val="00395039"/>
    <w:rsid w:val="003A0695"/>
    <w:rsid w:val="003A14AE"/>
    <w:rsid w:val="003A3AE2"/>
    <w:rsid w:val="003A50C6"/>
    <w:rsid w:val="003A6419"/>
    <w:rsid w:val="003B0666"/>
    <w:rsid w:val="003B11B5"/>
    <w:rsid w:val="003B221A"/>
    <w:rsid w:val="003B4098"/>
    <w:rsid w:val="003C011B"/>
    <w:rsid w:val="003C24BA"/>
    <w:rsid w:val="003C45DB"/>
    <w:rsid w:val="003C4A71"/>
    <w:rsid w:val="003C75FE"/>
    <w:rsid w:val="003D03F8"/>
    <w:rsid w:val="003D1EEC"/>
    <w:rsid w:val="003D6E66"/>
    <w:rsid w:val="003E0604"/>
    <w:rsid w:val="003E3677"/>
    <w:rsid w:val="003E62F1"/>
    <w:rsid w:val="003E6BA3"/>
    <w:rsid w:val="003F0493"/>
    <w:rsid w:val="003F2AD8"/>
    <w:rsid w:val="003F2DB4"/>
    <w:rsid w:val="003F450F"/>
    <w:rsid w:val="003F468F"/>
    <w:rsid w:val="003F4DF4"/>
    <w:rsid w:val="003F555D"/>
    <w:rsid w:val="003F5B81"/>
    <w:rsid w:val="00402E98"/>
    <w:rsid w:val="004040B1"/>
    <w:rsid w:val="0040567B"/>
    <w:rsid w:val="00410C10"/>
    <w:rsid w:val="00412921"/>
    <w:rsid w:val="00412D65"/>
    <w:rsid w:val="00415810"/>
    <w:rsid w:val="00416507"/>
    <w:rsid w:val="004177D1"/>
    <w:rsid w:val="004178A2"/>
    <w:rsid w:val="00420C31"/>
    <w:rsid w:val="00426F0D"/>
    <w:rsid w:val="00427FCF"/>
    <w:rsid w:val="00431513"/>
    <w:rsid w:val="004315AD"/>
    <w:rsid w:val="00431B6E"/>
    <w:rsid w:val="0043273E"/>
    <w:rsid w:val="004329E9"/>
    <w:rsid w:val="0043421E"/>
    <w:rsid w:val="0043443F"/>
    <w:rsid w:val="00435848"/>
    <w:rsid w:val="004374D7"/>
    <w:rsid w:val="00437B3B"/>
    <w:rsid w:val="00440543"/>
    <w:rsid w:val="00440708"/>
    <w:rsid w:val="00440805"/>
    <w:rsid w:val="00440881"/>
    <w:rsid w:val="00442110"/>
    <w:rsid w:val="00447FB0"/>
    <w:rsid w:val="00453119"/>
    <w:rsid w:val="00460174"/>
    <w:rsid w:val="004624C4"/>
    <w:rsid w:val="00462BA5"/>
    <w:rsid w:val="0046477B"/>
    <w:rsid w:val="00465ABA"/>
    <w:rsid w:val="004674A5"/>
    <w:rsid w:val="00472E09"/>
    <w:rsid w:val="00473045"/>
    <w:rsid w:val="004812E0"/>
    <w:rsid w:val="00481902"/>
    <w:rsid w:val="00481A9B"/>
    <w:rsid w:val="004822B7"/>
    <w:rsid w:val="00484006"/>
    <w:rsid w:val="00486227"/>
    <w:rsid w:val="004867A0"/>
    <w:rsid w:val="004906E8"/>
    <w:rsid w:val="0049247C"/>
    <w:rsid w:val="00492859"/>
    <w:rsid w:val="00492E60"/>
    <w:rsid w:val="00494446"/>
    <w:rsid w:val="00496496"/>
    <w:rsid w:val="00497028"/>
    <w:rsid w:val="004977D6"/>
    <w:rsid w:val="00497FBB"/>
    <w:rsid w:val="004A13B4"/>
    <w:rsid w:val="004A169C"/>
    <w:rsid w:val="004A21E0"/>
    <w:rsid w:val="004A2424"/>
    <w:rsid w:val="004A2CCE"/>
    <w:rsid w:val="004A3E6E"/>
    <w:rsid w:val="004B0068"/>
    <w:rsid w:val="004B050E"/>
    <w:rsid w:val="004B0EB6"/>
    <w:rsid w:val="004B1939"/>
    <w:rsid w:val="004B2CD4"/>
    <w:rsid w:val="004B5468"/>
    <w:rsid w:val="004B6499"/>
    <w:rsid w:val="004B6A34"/>
    <w:rsid w:val="004C60A6"/>
    <w:rsid w:val="004C60E2"/>
    <w:rsid w:val="004C7140"/>
    <w:rsid w:val="004C7C69"/>
    <w:rsid w:val="004D0D6B"/>
    <w:rsid w:val="004D1055"/>
    <w:rsid w:val="004D17DE"/>
    <w:rsid w:val="004D3995"/>
    <w:rsid w:val="004E01D3"/>
    <w:rsid w:val="004E0A4C"/>
    <w:rsid w:val="004E2A53"/>
    <w:rsid w:val="004E4739"/>
    <w:rsid w:val="004E5EAF"/>
    <w:rsid w:val="004E7406"/>
    <w:rsid w:val="004F041F"/>
    <w:rsid w:val="004F33DB"/>
    <w:rsid w:val="004F6194"/>
    <w:rsid w:val="004F6E18"/>
    <w:rsid w:val="004F7258"/>
    <w:rsid w:val="00500E89"/>
    <w:rsid w:val="00502E64"/>
    <w:rsid w:val="005033DC"/>
    <w:rsid w:val="00505BBA"/>
    <w:rsid w:val="005062D4"/>
    <w:rsid w:val="00507776"/>
    <w:rsid w:val="005120D7"/>
    <w:rsid w:val="00513ABB"/>
    <w:rsid w:val="00514D57"/>
    <w:rsid w:val="005155EA"/>
    <w:rsid w:val="0051569B"/>
    <w:rsid w:val="005237A8"/>
    <w:rsid w:val="00523E78"/>
    <w:rsid w:val="0052510E"/>
    <w:rsid w:val="0052747B"/>
    <w:rsid w:val="005340B3"/>
    <w:rsid w:val="0054205C"/>
    <w:rsid w:val="00543C7B"/>
    <w:rsid w:val="0054567B"/>
    <w:rsid w:val="00545C21"/>
    <w:rsid w:val="00546557"/>
    <w:rsid w:val="005470C3"/>
    <w:rsid w:val="00550224"/>
    <w:rsid w:val="00550778"/>
    <w:rsid w:val="00552E18"/>
    <w:rsid w:val="00553EE2"/>
    <w:rsid w:val="00553FC0"/>
    <w:rsid w:val="00557EAC"/>
    <w:rsid w:val="00563884"/>
    <w:rsid w:val="00563A6F"/>
    <w:rsid w:val="00565C50"/>
    <w:rsid w:val="00566CE7"/>
    <w:rsid w:val="005675AB"/>
    <w:rsid w:val="00570668"/>
    <w:rsid w:val="005709BA"/>
    <w:rsid w:val="00570C9C"/>
    <w:rsid w:val="005719C7"/>
    <w:rsid w:val="00572784"/>
    <w:rsid w:val="005756F6"/>
    <w:rsid w:val="005760B8"/>
    <w:rsid w:val="00577449"/>
    <w:rsid w:val="005825AD"/>
    <w:rsid w:val="00582C5C"/>
    <w:rsid w:val="005863FD"/>
    <w:rsid w:val="00587CB5"/>
    <w:rsid w:val="00590681"/>
    <w:rsid w:val="005907B7"/>
    <w:rsid w:val="0059088A"/>
    <w:rsid w:val="00590DA9"/>
    <w:rsid w:val="00593D7D"/>
    <w:rsid w:val="00594963"/>
    <w:rsid w:val="005949CF"/>
    <w:rsid w:val="00594FD4"/>
    <w:rsid w:val="0059708B"/>
    <w:rsid w:val="0059737E"/>
    <w:rsid w:val="005A0938"/>
    <w:rsid w:val="005A15C8"/>
    <w:rsid w:val="005A2115"/>
    <w:rsid w:val="005A3043"/>
    <w:rsid w:val="005A46C8"/>
    <w:rsid w:val="005A54DA"/>
    <w:rsid w:val="005A66C8"/>
    <w:rsid w:val="005B04CB"/>
    <w:rsid w:val="005B4F06"/>
    <w:rsid w:val="005B5DE7"/>
    <w:rsid w:val="005B7DBA"/>
    <w:rsid w:val="005C2F40"/>
    <w:rsid w:val="005C3255"/>
    <w:rsid w:val="005C573A"/>
    <w:rsid w:val="005C7199"/>
    <w:rsid w:val="005D2C79"/>
    <w:rsid w:val="005D3114"/>
    <w:rsid w:val="005D410B"/>
    <w:rsid w:val="005D54EB"/>
    <w:rsid w:val="005D587C"/>
    <w:rsid w:val="005D6A20"/>
    <w:rsid w:val="005D6DF5"/>
    <w:rsid w:val="005D7C53"/>
    <w:rsid w:val="005D7ECA"/>
    <w:rsid w:val="005E49F8"/>
    <w:rsid w:val="005E51C9"/>
    <w:rsid w:val="005E5F69"/>
    <w:rsid w:val="005E60C8"/>
    <w:rsid w:val="005E68B4"/>
    <w:rsid w:val="005E69D4"/>
    <w:rsid w:val="005E7815"/>
    <w:rsid w:val="005F317F"/>
    <w:rsid w:val="005F5160"/>
    <w:rsid w:val="005F71D3"/>
    <w:rsid w:val="0060058B"/>
    <w:rsid w:val="00602D51"/>
    <w:rsid w:val="00604445"/>
    <w:rsid w:val="00604455"/>
    <w:rsid w:val="00605F4B"/>
    <w:rsid w:val="00607FCB"/>
    <w:rsid w:val="006119C1"/>
    <w:rsid w:val="006136E8"/>
    <w:rsid w:val="006138E9"/>
    <w:rsid w:val="00616F48"/>
    <w:rsid w:val="0062368D"/>
    <w:rsid w:val="00624E13"/>
    <w:rsid w:val="00625047"/>
    <w:rsid w:val="006256F4"/>
    <w:rsid w:val="00630789"/>
    <w:rsid w:val="00631830"/>
    <w:rsid w:val="006326D7"/>
    <w:rsid w:val="00632A81"/>
    <w:rsid w:val="00634255"/>
    <w:rsid w:val="006347BF"/>
    <w:rsid w:val="00645D38"/>
    <w:rsid w:val="006465CC"/>
    <w:rsid w:val="0065014E"/>
    <w:rsid w:val="00652314"/>
    <w:rsid w:val="00653AB0"/>
    <w:rsid w:val="006566B8"/>
    <w:rsid w:val="00656966"/>
    <w:rsid w:val="006653C1"/>
    <w:rsid w:val="0066794B"/>
    <w:rsid w:val="00670553"/>
    <w:rsid w:val="00670E52"/>
    <w:rsid w:val="00671990"/>
    <w:rsid w:val="00672AC6"/>
    <w:rsid w:val="00672B54"/>
    <w:rsid w:val="00672E5A"/>
    <w:rsid w:val="00674809"/>
    <w:rsid w:val="0067507D"/>
    <w:rsid w:val="00675AC7"/>
    <w:rsid w:val="00676E07"/>
    <w:rsid w:val="006772B4"/>
    <w:rsid w:val="006779A9"/>
    <w:rsid w:val="00677C38"/>
    <w:rsid w:val="0068086A"/>
    <w:rsid w:val="006810C6"/>
    <w:rsid w:val="006811D1"/>
    <w:rsid w:val="00681A6A"/>
    <w:rsid w:val="006840D7"/>
    <w:rsid w:val="00690EF3"/>
    <w:rsid w:val="00692A68"/>
    <w:rsid w:val="00693326"/>
    <w:rsid w:val="006949FB"/>
    <w:rsid w:val="0069555D"/>
    <w:rsid w:val="006977F3"/>
    <w:rsid w:val="00697B12"/>
    <w:rsid w:val="00697FC1"/>
    <w:rsid w:val="006A1D8A"/>
    <w:rsid w:val="006A32C4"/>
    <w:rsid w:val="006A48C4"/>
    <w:rsid w:val="006A54B7"/>
    <w:rsid w:val="006A612E"/>
    <w:rsid w:val="006A6F34"/>
    <w:rsid w:val="006A7109"/>
    <w:rsid w:val="006B1269"/>
    <w:rsid w:val="006B135E"/>
    <w:rsid w:val="006B2B33"/>
    <w:rsid w:val="006B6081"/>
    <w:rsid w:val="006B6621"/>
    <w:rsid w:val="006B7DFA"/>
    <w:rsid w:val="006C06DC"/>
    <w:rsid w:val="006C2509"/>
    <w:rsid w:val="006C293E"/>
    <w:rsid w:val="006C319A"/>
    <w:rsid w:val="006C53DF"/>
    <w:rsid w:val="006C5A43"/>
    <w:rsid w:val="006C6CC5"/>
    <w:rsid w:val="006D1B09"/>
    <w:rsid w:val="006D2937"/>
    <w:rsid w:val="006D44C4"/>
    <w:rsid w:val="006D4D43"/>
    <w:rsid w:val="006E0EFD"/>
    <w:rsid w:val="006E286B"/>
    <w:rsid w:val="006E336B"/>
    <w:rsid w:val="006E4B48"/>
    <w:rsid w:val="006E4F72"/>
    <w:rsid w:val="006E5550"/>
    <w:rsid w:val="006E5A10"/>
    <w:rsid w:val="006E6525"/>
    <w:rsid w:val="006F0F29"/>
    <w:rsid w:val="006F1302"/>
    <w:rsid w:val="006F3166"/>
    <w:rsid w:val="006F3DCC"/>
    <w:rsid w:val="006F455E"/>
    <w:rsid w:val="006F4B39"/>
    <w:rsid w:val="006F4BB2"/>
    <w:rsid w:val="006F7629"/>
    <w:rsid w:val="0070066E"/>
    <w:rsid w:val="007010C2"/>
    <w:rsid w:val="007026CA"/>
    <w:rsid w:val="00704D08"/>
    <w:rsid w:val="0070780C"/>
    <w:rsid w:val="00707ED3"/>
    <w:rsid w:val="007139CD"/>
    <w:rsid w:val="00713F7F"/>
    <w:rsid w:val="00714593"/>
    <w:rsid w:val="00716955"/>
    <w:rsid w:val="00720FCF"/>
    <w:rsid w:val="00721AA4"/>
    <w:rsid w:val="00727603"/>
    <w:rsid w:val="007322D5"/>
    <w:rsid w:val="00732EB7"/>
    <w:rsid w:val="0073625B"/>
    <w:rsid w:val="007365E2"/>
    <w:rsid w:val="0074309A"/>
    <w:rsid w:val="007456FF"/>
    <w:rsid w:val="00746695"/>
    <w:rsid w:val="0074744D"/>
    <w:rsid w:val="0075644D"/>
    <w:rsid w:val="007573B7"/>
    <w:rsid w:val="00757412"/>
    <w:rsid w:val="00760225"/>
    <w:rsid w:val="0076052D"/>
    <w:rsid w:val="007625C1"/>
    <w:rsid w:val="00762A4B"/>
    <w:rsid w:val="0076475A"/>
    <w:rsid w:val="007654C3"/>
    <w:rsid w:val="00765BD8"/>
    <w:rsid w:val="00774444"/>
    <w:rsid w:val="00775831"/>
    <w:rsid w:val="00776466"/>
    <w:rsid w:val="00782EA3"/>
    <w:rsid w:val="0078363E"/>
    <w:rsid w:val="007843B9"/>
    <w:rsid w:val="00786415"/>
    <w:rsid w:val="007867BE"/>
    <w:rsid w:val="00786BDE"/>
    <w:rsid w:val="00790574"/>
    <w:rsid w:val="007907FC"/>
    <w:rsid w:val="00790FD9"/>
    <w:rsid w:val="00791E21"/>
    <w:rsid w:val="00792A71"/>
    <w:rsid w:val="007967C5"/>
    <w:rsid w:val="0079760D"/>
    <w:rsid w:val="0079796C"/>
    <w:rsid w:val="007A0362"/>
    <w:rsid w:val="007A174C"/>
    <w:rsid w:val="007A2669"/>
    <w:rsid w:val="007A38B9"/>
    <w:rsid w:val="007A438B"/>
    <w:rsid w:val="007A7175"/>
    <w:rsid w:val="007A75CC"/>
    <w:rsid w:val="007A7B50"/>
    <w:rsid w:val="007B106A"/>
    <w:rsid w:val="007B2827"/>
    <w:rsid w:val="007B2AA0"/>
    <w:rsid w:val="007B38DB"/>
    <w:rsid w:val="007B58FE"/>
    <w:rsid w:val="007B5F59"/>
    <w:rsid w:val="007B60CA"/>
    <w:rsid w:val="007B6542"/>
    <w:rsid w:val="007B6DF6"/>
    <w:rsid w:val="007B72C5"/>
    <w:rsid w:val="007B73F4"/>
    <w:rsid w:val="007C3EB3"/>
    <w:rsid w:val="007C406B"/>
    <w:rsid w:val="007C4091"/>
    <w:rsid w:val="007C6772"/>
    <w:rsid w:val="007C7D42"/>
    <w:rsid w:val="007D1231"/>
    <w:rsid w:val="007D1FC5"/>
    <w:rsid w:val="007D3B9F"/>
    <w:rsid w:val="007D65C4"/>
    <w:rsid w:val="007E00A3"/>
    <w:rsid w:val="007E29D3"/>
    <w:rsid w:val="007E38AA"/>
    <w:rsid w:val="007E67E8"/>
    <w:rsid w:val="007F0AD4"/>
    <w:rsid w:val="007F5059"/>
    <w:rsid w:val="0080468B"/>
    <w:rsid w:val="00804D0C"/>
    <w:rsid w:val="00807A46"/>
    <w:rsid w:val="0081174C"/>
    <w:rsid w:val="00811CE5"/>
    <w:rsid w:val="008120CB"/>
    <w:rsid w:val="00812C16"/>
    <w:rsid w:val="00813FCE"/>
    <w:rsid w:val="00821A46"/>
    <w:rsid w:val="00822E4A"/>
    <w:rsid w:val="00824085"/>
    <w:rsid w:val="00824875"/>
    <w:rsid w:val="00827570"/>
    <w:rsid w:val="008276CF"/>
    <w:rsid w:val="00830C9B"/>
    <w:rsid w:val="00830FF6"/>
    <w:rsid w:val="008339A6"/>
    <w:rsid w:val="00835731"/>
    <w:rsid w:val="00840144"/>
    <w:rsid w:val="00842193"/>
    <w:rsid w:val="008442BA"/>
    <w:rsid w:val="00845DDF"/>
    <w:rsid w:val="00847704"/>
    <w:rsid w:val="00847F59"/>
    <w:rsid w:val="0085005D"/>
    <w:rsid w:val="00853FFC"/>
    <w:rsid w:val="00854075"/>
    <w:rsid w:val="00854F9B"/>
    <w:rsid w:val="008573E1"/>
    <w:rsid w:val="00857666"/>
    <w:rsid w:val="00866EE9"/>
    <w:rsid w:val="00870646"/>
    <w:rsid w:val="008743E7"/>
    <w:rsid w:val="00881956"/>
    <w:rsid w:val="00883E0D"/>
    <w:rsid w:val="008842BE"/>
    <w:rsid w:val="0088471B"/>
    <w:rsid w:val="00886444"/>
    <w:rsid w:val="0089076D"/>
    <w:rsid w:val="00892AA9"/>
    <w:rsid w:val="00892B4A"/>
    <w:rsid w:val="0089330E"/>
    <w:rsid w:val="00895072"/>
    <w:rsid w:val="008959B7"/>
    <w:rsid w:val="00897147"/>
    <w:rsid w:val="008A03C4"/>
    <w:rsid w:val="008A20A9"/>
    <w:rsid w:val="008A23C9"/>
    <w:rsid w:val="008A4A67"/>
    <w:rsid w:val="008A4AF8"/>
    <w:rsid w:val="008A555A"/>
    <w:rsid w:val="008B02D5"/>
    <w:rsid w:val="008B11EC"/>
    <w:rsid w:val="008B178E"/>
    <w:rsid w:val="008B4E7C"/>
    <w:rsid w:val="008B5865"/>
    <w:rsid w:val="008C3051"/>
    <w:rsid w:val="008C310C"/>
    <w:rsid w:val="008C56DB"/>
    <w:rsid w:val="008C57C0"/>
    <w:rsid w:val="008C5D60"/>
    <w:rsid w:val="008C610E"/>
    <w:rsid w:val="008C7686"/>
    <w:rsid w:val="008C793B"/>
    <w:rsid w:val="008D59A3"/>
    <w:rsid w:val="008D713A"/>
    <w:rsid w:val="008E12D3"/>
    <w:rsid w:val="008E263A"/>
    <w:rsid w:val="008E52B9"/>
    <w:rsid w:val="008E5490"/>
    <w:rsid w:val="008F3830"/>
    <w:rsid w:val="009024A3"/>
    <w:rsid w:val="00903C05"/>
    <w:rsid w:val="00903C5B"/>
    <w:rsid w:val="009054F7"/>
    <w:rsid w:val="0090633C"/>
    <w:rsid w:val="009070E0"/>
    <w:rsid w:val="00913298"/>
    <w:rsid w:val="00914D3D"/>
    <w:rsid w:val="00916607"/>
    <w:rsid w:val="00916B81"/>
    <w:rsid w:val="00923D46"/>
    <w:rsid w:val="0092511B"/>
    <w:rsid w:val="0093053E"/>
    <w:rsid w:val="00930714"/>
    <w:rsid w:val="00930935"/>
    <w:rsid w:val="009311E9"/>
    <w:rsid w:val="00932B19"/>
    <w:rsid w:val="00932EF7"/>
    <w:rsid w:val="00935330"/>
    <w:rsid w:val="00940302"/>
    <w:rsid w:val="00941599"/>
    <w:rsid w:val="009450B5"/>
    <w:rsid w:val="009453D5"/>
    <w:rsid w:val="00951C80"/>
    <w:rsid w:val="00953813"/>
    <w:rsid w:val="00953965"/>
    <w:rsid w:val="00953A2E"/>
    <w:rsid w:val="00953DDD"/>
    <w:rsid w:val="00954E44"/>
    <w:rsid w:val="0095557F"/>
    <w:rsid w:val="00955C52"/>
    <w:rsid w:val="00957369"/>
    <w:rsid w:val="00957B1A"/>
    <w:rsid w:val="009611D1"/>
    <w:rsid w:val="00961F95"/>
    <w:rsid w:val="00963989"/>
    <w:rsid w:val="0096512F"/>
    <w:rsid w:val="00965F84"/>
    <w:rsid w:val="00967770"/>
    <w:rsid w:val="009677A7"/>
    <w:rsid w:val="00967D5D"/>
    <w:rsid w:val="00973723"/>
    <w:rsid w:val="00973846"/>
    <w:rsid w:val="00980AB3"/>
    <w:rsid w:val="00981149"/>
    <w:rsid w:val="00981DD1"/>
    <w:rsid w:val="00982E01"/>
    <w:rsid w:val="00982FE3"/>
    <w:rsid w:val="009832DC"/>
    <w:rsid w:val="009836FF"/>
    <w:rsid w:val="00984866"/>
    <w:rsid w:val="00994A04"/>
    <w:rsid w:val="00995C94"/>
    <w:rsid w:val="00996390"/>
    <w:rsid w:val="00996B94"/>
    <w:rsid w:val="009976F6"/>
    <w:rsid w:val="009A0E38"/>
    <w:rsid w:val="009A1339"/>
    <w:rsid w:val="009A449F"/>
    <w:rsid w:val="009A543E"/>
    <w:rsid w:val="009A662F"/>
    <w:rsid w:val="009A7457"/>
    <w:rsid w:val="009B54A6"/>
    <w:rsid w:val="009B6C3A"/>
    <w:rsid w:val="009B735C"/>
    <w:rsid w:val="009C0C23"/>
    <w:rsid w:val="009C1CA2"/>
    <w:rsid w:val="009C254D"/>
    <w:rsid w:val="009C2F45"/>
    <w:rsid w:val="009C2FC0"/>
    <w:rsid w:val="009C397B"/>
    <w:rsid w:val="009C5F63"/>
    <w:rsid w:val="009C6992"/>
    <w:rsid w:val="009D036E"/>
    <w:rsid w:val="009D1C7F"/>
    <w:rsid w:val="009D5606"/>
    <w:rsid w:val="009D5DF6"/>
    <w:rsid w:val="009D7B74"/>
    <w:rsid w:val="009E2ACE"/>
    <w:rsid w:val="009E2C36"/>
    <w:rsid w:val="009E3B6C"/>
    <w:rsid w:val="009E53BF"/>
    <w:rsid w:val="009E6C83"/>
    <w:rsid w:val="009E79C5"/>
    <w:rsid w:val="009F3396"/>
    <w:rsid w:val="009F44AE"/>
    <w:rsid w:val="009F58BE"/>
    <w:rsid w:val="009F5936"/>
    <w:rsid w:val="009F6328"/>
    <w:rsid w:val="009F6E22"/>
    <w:rsid w:val="00A00054"/>
    <w:rsid w:val="00A02ADA"/>
    <w:rsid w:val="00A0623F"/>
    <w:rsid w:val="00A06795"/>
    <w:rsid w:val="00A0701D"/>
    <w:rsid w:val="00A0752B"/>
    <w:rsid w:val="00A10271"/>
    <w:rsid w:val="00A17358"/>
    <w:rsid w:val="00A1737D"/>
    <w:rsid w:val="00A22164"/>
    <w:rsid w:val="00A23468"/>
    <w:rsid w:val="00A32CBB"/>
    <w:rsid w:val="00A3417C"/>
    <w:rsid w:val="00A367D5"/>
    <w:rsid w:val="00A36DAD"/>
    <w:rsid w:val="00A37447"/>
    <w:rsid w:val="00A37F39"/>
    <w:rsid w:val="00A409FE"/>
    <w:rsid w:val="00A40C68"/>
    <w:rsid w:val="00A4116A"/>
    <w:rsid w:val="00A41900"/>
    <w:rsid w:val="00A429DE"/>
    <w:rsid w:val="00A43E79"/>
    <w:rsid w:val="00A44B68"/>
    <w:rsid w:val="00A470EB"/>
    <w:rsid w:val="00A47C5D"/>
    <w:rsid w:val="00A508A0"/>
    <w:rsid w:val="00A5174E"/>
    <w:rsid w:val="00A52B98"/>
    <w:rsid w:val="00A53E7B"/>
    <w:rsid w:val="00A5784B"/>
    <w:rsid w:val="00A6268E"/>
    <w:rsid w:val="00A62BD9"/>
    <w:rsid w:val="00A63AB3"/>
    <w:rsid w:val="00A6625C"/>
    <w:rsid w:val="00A66D62"/>
    <w:rsid w:val="00A6787A"/>
    <w:rsid w:val="00A67A44"/>
    <w:rsid w:val="00A711CC"/>
    <w:rsid w:val="00A72DAD"/>
    <w:rsid w:val="00A73678"/>
    <w:rsid w:val="00A743A3"/>
    <w:rsid w:val="00A74BC3"/>
    <w:rsid w:val="00A77821"/>
    <w:rsid w:val="00A82DA0"/>
    <w:rsid w:val="00A83254"/>
    <w:rsid w:val="00A83370"/>
    <w:rsid w:val="00A84032"/>
    <w:rsid w:val="00A8635B"/>
    <w:rsid w:val="00A8693E"/>
    <w:rsid w:val="00A87B3D"/>
    <w:rsid w:val="00A9061B"/>
    <w:rsid w:val="00A908DC"/>
    <w:rsid w:val="00A90C04"/>
    <w:rsid w:val="00A90D03"/>
    <w:rsid w:val="00A91CD2"/>
    <w:rsid w:val="00A93476"/>
    <w:rsid w:val="00A937C6"/>
    <w:rsid w:val="00A93814"/>
    <w:rsid w:val="00A939FB"/>
    <w:rsid w:val="00A93E7A"/>
    <w:rsid w:val="00A953A9"/>
    <w:rsid w:val="00A96B17"/>
    <w:rsid w:val="00AA17D4"/>
    <w:rsid w:val="00AA1955"/>
    <w:rsid w:val="00AA27AA"/>
    <w:rsid w:val="00AA2FE5"/>
    <w:rsid w:val="00AA60D3"/>
    <w:rsid w:val="00AA73A6"/>
    <w:rsid w:val="00AA795C"/>
    <w:rsid w:val="00AB0BE5"/>
    <w:rsid w:val="00AB1445"/>
    <w:rsid w:val="00AB4A69"/>
    <w:rsid w:val="00AC1F2E"/>
    <w:rsid w:val="00AC260E"/>
    <w:rsid w:val="00AC7AA1"/>
    <w:rsid w:val="00AC7B75"/>
    <w:rsid w:val="00AD0339"/>
    <w:rsid w:val="00AD155D"/>
    <w:rsid w:val="00AD2C23"/>
    <w:rsid w:val="00AD68C7"/>
    <w:rsid w:val="00AD6CCA"/>
    <w:rsid w:val="00AD75C8"/>
    <w:rsid w:val="00AE2B73"/>
    <w:rsid w:val="00AE2BBA"/>
    <w:rsid w:val="00AE5EA9"/>
    <w:rsid w:val="00AF4AD9"/>
    <w:rsid w:val="00AF7271"/>
    <w:rsid w:val="00AF7AF3"/>
    <w:rsid w:val="00B01308"/>
    <w:rsid w:val="00B02C9C"/>
    <w:rsid w:val="00B046EA"/>
    <w:rsid w:val="00B04A3D"/>
    <w:rsid w:val="00B059BE"/>
    <w:rsid w:val="00B06AA2"/>
    <w:rsid w:val="00B07025"/>
    <w:rsid w:val="00B1347B"/>
    <w:rsid w:val="00B1452B"/>
    <w:rsid w:val="00B1609F"/>
    <w:rsid w:val="00B20581"/>
    <w:rsid w:val="00B23FDD"/>
    <w:rsid w:val="00B24BAE"/>
    <w:rsid w:val="00B26A9B"/>
    <w:rsid w:val="00B26DF2"/>
    <w:rsid w:val="00B3093A"/>
    <w:rsid w:val="00B30C19"/>
    <w:rsid w:val="00B30CE1"/>
    <w:rsid w:val="00B31587"/>
    <w:rsid w:val="00B31EC4"/>
    <w:rsid w:val="00B422AE"/>
    <w:rsid w:val="00B42F17"/>
    <w:rsid w:val="00B43A59"/>
    <w:rsid w:val="00B448F2"/>
    <w:rsid w:val="00B55623"/>
    <w:rsid w:val="00B60415"/>
    <w:rsid w:val="00B60F01"/>
    <w:rsid w:val="00B61732"/>
    <w:rsid w:val="00B61CC6"/>
    <w:rsid w:val="00B646A9"/>
    <w:rsid w:val="00B7238E"/>
    <w:rsid w:val="00B7301C"/>
    <w:rsid w:val="00B73FD4"/>
    <w:rsid w:val="00B75D0F"/>
    <w:rsid w:val="00B76819"/>
    <w:rsid w:val="00B7705D"/>
    <w:rsid w:val="00B804E7"/>
    <w:rsid w:val="00B805B1"/>
    <w:rsid w:val="00B810F6"/>
    <w:rsid w:val="00B8683B"/>
    <w:rsid w:val="00B8731C"/>
    <w:rsid w:val="00B903E0"/>
    <w:rsid w:val="00B91166"/>
    <w:rsid w:val="00B92C9F"/>
    <w:rsid w:val="00B943A2"/>
    <w:rsid w:val="00B956FE"/>
    <w:rsid w:val="00B97546"/>
    <w:rsid w:val="00BA2E9A"/>
    <w:rsid w:val="00BA58F4"/>
    <w:rsid w:val="00BA70F6"/>
    <w:rsid w:val="00BA72FF"/>
    <w:rsid w:val="00BB26FA"/>
    <w:rsid w:val="00BB2D98"/>
    <w:rsid w:val="00BB304B"/>
    <w:rsid w:val="00BB6DBD"/>
    <w:rsid w:val="00BC074C"/>
    <w:rsid w:val="00BC570C"/>
    <w:rsid w:val="00BC78F3"/>
    <w:rsid w:val="00BD00B9"/>
    <w:rsid w:val="00BD0468"/>
    <w:rsid w:val="00BD36D4"/>
    <w:rsid w:val="00BD45DB"/>
    <w:rsid w:val="00BE0244"/>
    <w:rsid w:val="00BE1AF3"/>
    <w:rsid w:val="00BE1BDC"/>
    <w:rsid w:val="00BE2015"/>
    <w:rsid w:val="00BE2227"/>
    <w:rsid w:val="00BE2F92"/>
    <w:rsid w:val="00BE706C"/>
    <w:rsid w:val="00BE78B1"/>
    <w:rsid w:val="00BE7AB0"/>
    <w:rsid w:val="00BF0296"/>
    <w:rsid w:val="00BF05D8"/>
    <w:rsid w:val="00BF0EDB"/>
    <w:rsid w:val="00BF0F0A"/>
    <w:rsid w:val="00BF4965"/>
    <w:rsid w:val="00BF5D24"/>
    <w:rsid w:val="00BF7429"/>
    <w:rsid w:val="00C0074C"/>
    <w:rsid w:val="00C00C2D"/>
    <w:rsid w:val="00C02C42"/>
    <w:rsid w:val="00C0707D"/>
    <w:rsid w:val="00C079B2"/>
    <w:rsid w:val="00C109B6"/>
    <w:rsid w:val="00C112BD"/>
    <w:rsid w:val="00C12E23"/>
    <w:rsid w:val="00C15344"/>
    <w:rsid w:val="00C179BC"/>
    <w:rsid w:val="00C22DE5"/>
    <w:rsid w:val="00C353BE"/>
    <w:rsid w:val="00C40957"/>
    <w:rsid w:val="00C4102C"/>
    <w:rsid w:val="00C41E0A"/>
    <w:rsid w:val="00C434AF"/>
    <w:rsid w:val="00C438EE"/>
    <w:rsid w:val="00C44593"/>
    <w:rsid w:val="00C4736A"/>
    <w:rsid w:val="00C47A9A"/>
    <w:rsid w:val="00C536CB"/>
    <w:rsid w:val="00C554C7"/>
    <w:rsid w:val="00C5711E"/>
    <w:rsid w:val="00C61670"/>
    <w:rsid w:val="00C6243A"/>
    <w:rsid w:val="00C62CE7"/>
    <w:rsid w:val="00C633F9"/>
    <w:rsid w:val="00C645E5"/>
    <w:rsid w:val="00C652EE"/>
    <w:rsid w:val="00C67807"/>
    <w:rsid w:val="00C713CF"/>
    <w:rsid w:val="00C71EC7"/>
    <w:rsid w:val="00C738AD"/>
    <w:rsid w:val="00C7592E"/>
    <w:rsid w:val="00C80FDB"/>
    <w:rsid w:val="00C815DA"/>
    <w:rsid w:val="00C81D2B"/>
    <w:rsid w:val="00C8236F"/>
    <w:rsid w:val="00C860EC"/>
    <w:rsid w:val="00C8760E"/>
    <w:rsid w:val="00C876DC"/>
    <w:rsid w:val="00C878E8"/>
    <w:rsid w:val="00C902B8"/>
    <w:rsid w:val="00C93CE8"/>
    <w:rsid w:val="00C93CED"/>
    <w:rsid w:val="00C9723A"/>
    <w:rsid w:val="00CA02F8"/>
    <w:rsid w:val="00CA122D"/>
    <w:rsid w:val="00CA3336"/>
    <w:rsid w:val="00CA4775"/>
    <w:rsid w:val="00CA51AC"/>
    <w:rsid w:val="00CA6E2D"/>
    <w:rsid w:val="00CB068D"/>
    <w:rsid w:val="00CB3EC7"/>
    <w:rsid w:val="00CB42E9"/>
    <w:rsid w:val="00CB45EB"/>
    <w:rsid w:val="00CB7C30"/>
    <w:rsid w:val="00CB7F48"/>
    <w:rsid w:val="00CC21B4"/>
    <w:rsid w:val="00CC25A2"/>
    <w:rsid w:val="00CC29DF"/>
    <w:rsid w:val="00CC345A"/>
    <w:rsid w:val="00CC361E"/>
    <w:rsid w:val="00CC39E1"/>
    <w:rsid w:val="00CD27E2"/>
    <w:rsid w:val="00CD6206"/>
    <w:rsid w:val="00CD6FE5"/>
    <w:rsid w:val="00CE04C3"/>
    <w:rsid w:val="00CE0BCC"/>
    <w:rsid w:val="00CE4025"/>
    <w:rsid w:val="00CE4326"/>
    <w:rsid w:val="00CF034D"/>
    <w:rsid w:val="00CF1045"/>
    <w:rsid w:val="00CF2994"/>
    <w:rsid w:val="00CF2E1B"/>
    <w:rsid w:val="00CF4CA0"/>
    <w:rsid w:val="00CF6DD3"/>
    <w:rsid w:val="00CF750F"/>
    <w:rsid w:val="00D01BF8"/>
    <w:rsid w:val="00D0331C"/>
    <w:rsid w:val="00D04038"/>
    <w:rsid w:val="00D06124"/>
    <w:rsid w:val="00D1112E"/>
    <w:rsid w:val="00D111CB"/>
    <w:rsid w:val="00D11684"/>
    <w:rsid w:val="00D12653"/>
    <w:rsid w:val="00D145B1"/>
    <w:rsid w:val="00D166AF"/>
    <w:rsid w:val="00D166D3"/>
    <w:rsid w:val="00D21E12"/>
    <w:rsid w:val="00D2357C"/>
    <w:rsid w:val="00D24F60"/>
    <w:rsid w:val="00D30260"/>
    <w:rsid w:val="00D309D9"/>
    <w:rsid w:val="00D31EF2"/>
    <w:rsid w:val="00D327D8"/>
    <w:rsid w:val="00D32F23"/>
    <w:rsid w:val="00D349B4"/>
    <w:rsid w:val="00D34CC8"/>
    <w:rsid w:val="00D406A2"/>
    <w:rsid w:val="00D4153D"/>
    <w:rsid w:val="00D42B81"/>
    <w:rsid w:val="00D510BB"/>
    <w:rsid w:val="00D53B30"/>
    <w:rsid w:val="00D55762"/>
    <w:rsid w:val="00D56B8D"/>
    <w:rsid w:val="00D61791"/>
    <w:rsid w:val="00D642B7"/>
    <w:rsid w:val="00D647F0"/>
    <w:rsid w:val="00D6496B"/>
    <w:rsid w:val="00D67D16"/>
    <w:rsid w:val="00D714A0"/>
    <w:rsid w:val="00D73BB0"/>
    <w:rsid w:val="00D7476F"/>
    <w:rsid w:val="00D754B2"/>
    <w:rsid w:val="00D75E42"/>
    <w:rsid w:val="00D77856"/>
    <w:rsid w:val="00D81DEA"/>
    <w:rsid w:val="00D82C85"/>
    <w:rsid w:val="00D865BC"/>
    <w:rsid w:val="00D87977"/>
    <w:rsid w:val="00D90210"/>
    <w:rsid w:val="00D90F7F"/>
    <w:rsid w:val="00D92EEF"/>
    <w:rsid w:val="00D93686"/>
    <w:rsid w:val="00D956C2"/>
    <w:rsid w:val="00D962D0"/>
    <w:rsid w:val="00DA3642"/>
    <w:rsid w:val="00DA3998"/>
    <w:rsid w:val="00DA767F"/>
    <w:rsid w:val="00DA7D73"/>
    <w:rsid w:val="00DB1D85"/>
    <w:rsid w:val="00DB31C0"/>
    <w:rsid w:val="00DB3952"/>
    <w:rsid w:val="00DB6C48"/>
    <w:rsid w:val="00DC1864"/>
    <w:rsid w:val="00DC191D"/>
    <w:rsid w:val="00DC5703"/>
    <w:rsid w:val="00DC5EB7"/>
    <w:rsid w:val="00DC683B"/>
    <w:rsid w:val="00DC6CA3"/>
    <w:rsid w:val="00DC7361"/>
    <w:rsid w:val="00DD0CDB"/>
    <w:rsid w:val="00DD0D29"/>
    <w:rsid w:val="00DD0DEC"/>
    <w:rsid w:val="00DD3181"/>
    <w:rsid w:val="00DD36A6"/>
    <w:rsid w:val="00DD4948"/>
    <w:rsid w:val="00DD5A09"/>
    <w:rsid w:val="00DD688F"/>
    <w:rsid w:val="00DD6C0C"/>
    <w:rsid w:val="00DE067D"/>
    <w:rsid w:val="00DE26D1"/>
    <w:rsid w:val="00DE34C1"/>
    <w:rsid w:val="00DE4D2A"/>
    <w:rsid w:val="00DE51BE"/>
    <w:rsid w:val="00DF1B48"/>
    <w:rsid w:val="00DF35A3"/>
    <w:rsid w:val="00DF3A96"/>
    <w:rsid w:val="00DF4D0D"/>
    <w:rsid w:val="00DF6618"/>
    <w:rsid w:val="00E00128"/>
    <w:rsid w:val="00E03DAF"/>
    <w:rsid w:val="00E04EF0"/>
    <w:rsid w:val="00E055A5"/>
    <w:rsid w:val="00E06D01"/>
    <w:rsid w:val="00E106E2"/>
    <w:rsid w:val="00E118A5"/>
    <w:rsid w:val="00E132E1"/>
    <w:rsid w:val="00E13619"/>
    <w:rsid w:val="00E13C54"/>
    <w:rsid w:val="00E14F78"/>
    <w:rsid w:val="00E15A61"/>
    <w:rsid w:val="00E17BD8"/>
    <w:rsid w:val="00E230BE"/>
    <w:rsid w:val="00E26DF6"/>
    <w:rsid w:val="00E27A6F"/>
    <w:rsid w:val="00E30203"/>
    <w:rsid w:val="00E30B26"/>
    <w:rsid w:val="00E33836"/>
    <w:rsid w:val="00E33B5D"/>
    <w:rsid w:val="00E34BD8"/>
    <w:rsid w:val="00E35121"/>
    <w:rsid w:val="00E36104"/>
    <w:rsid w:val="00E3766A"/>
    <w:rsid w:val="00E42058"/>
    <w:rsid w:val="00E51C16"/>
    <w:rsid w:val="00E52C57"/>
    <w:rsid w:val="00E53060"/>
    <w:rsid w:val="00E553AD"/>
    <w:rsid w:val="00E56BDA"/>
    <w:rsid w:val="00E57C3D"/>
    <w:rsid w:val="00E61FA6"/>
    <w:rsid w:val="00E6262B"/>
    <w:rsid w:val="00E644D5"/>
    <w:rsid w:val="00E66ABB"/>
    <w:rsid w:val="00E67543"/>
    <w:rsid w:val="00E729FA"/>
    <w:rsid w:val="00E73E18"/>
    <w:rsid w:val="00E740D3"/>
    <w:rsid w:val="00E7463F"/>
    <w:rsid w:val="00E74D5B"/>
    <w:rsid w:val="00E75697"/>
    <w:rsid w:val="00E7718E"/>
    <w:rsid w:val="00E81959"/>
    <w:rsid w:val="00E850CF"/>
    <w:rsid w:val="00E85B0D"/>
    <w:rsid w:val="00E86279"/>
    <w:rsid w:val="00E87F7C"/>
    <w:rsid w:val="00E9009D"/>
    <w:rsid w:val="00E92A2A"/>
    <w:rsid w:val="00E9311D"/>
    <w:rsid w:val="00E95076"/>
    <w:rsid w:val="00EA0A8F"/>
    <w:rsid w:val="00EA371B"/>
    <w:rsid w:val="00EA6672"/>
    <w:rsid w:val="00EB0198"/>
    <w:rsid w:val="00EB0474"/>
    <w:rsid w:val="00EB04E6"/>
    <w:rsid w:val="00EB1306"/>
    <w:rsid w:val="00EB1724"/>
    <w:rsid w:val="00EB23A5"/>
    <w:rsid w:val="00EC056B"/>
    <w:rsid w:val="00EC1F56"/>
    <w:rsid w:val="00EC20D2"/>
    <w:rsid w:val="00EC24AE"/>
    <w:rsid w:val="00EC25C3"/>
    <w:rsid w:val="00EC285D"/>
    <w:rsid w:val="00EC77C1"/>
    <w:rsid w:val="00EC7B9E"/>
    <w:rsid w:val="00EC7BA2"/>
    <w:rsid w:val="00ED070B"/>
    <w:rsid w:val="00ED2A20"/>
    <w:rsid w:val="00ED2FFC"/>
    <w:rsid w:val="00ED50F6"/>
    <w:rsid w:val="00ED5EFB"/>
    <w:rsid w:val="00ED7EDF"/>
    <w:rsid w:val="00EE15E6"/>
    <w:rsid w:val="00EE1DDF"/>
    <w:rsid w:val="00EE304F"/>
    <w:rsid w:val="00EE3BFF"/>
    <w:rsid w:val="00EE43D9"/>
    <w:rsid w:val="00EE56EB"/>
    <w:rsid w:val="00EF1519"/>
    <w:rsid w:val="00EF1733"/>
    <w:rsid w:val="00EF178F"/>
    <w:rsid w:val="00EF1FB3"/>
    <w:rsid w:val="00EF47A7"/>
    <w:rsid w:val="00EF5571"/>
    <w:rsid w:val="00EF7079"/>
    <w:rsid w:val="00EF7A50"/>
    <w:rsid w:val="00F014D4"/>
    <w:rsid w:val="00F05778"/>
    <w:rsid w:val="00F0613E"/>
    <w:rsid w:val="00F0635A"/>
    <w:rsid w:val="00F10543"/>
    <w:rsid w:val="00F11F91"/>
    <w:rsid w:val="00F12263"/>
    <w:rsid w:val="00F14B06"/>
    <w:rsid w:val="00F15ABB"/>
    <w:rsid w:val="00F15FF7"/>
    <w:rsid w:val="00F17EF2"/>
    <w:rsid w:val="00F2204D"/>
    <w:rsid w:val="00F2687E"/>
    <w:rsid w:val="00F26DF4"/>
    <w:rsid w:val="00F2705D"/>
    <w:rsid w:val="00F316CC"/>
    <w:rsid w:val="00F33607"/>
    <w:rsid w:val="00F355BD"/>
    <w:rsid w:val="00F35A72"/>
    <w:rsid w:val="00F36ED1"/>
    <w:rsid w:val="00F42734"/>
    <w:rsid w:val="00F4385E"/>
    <w:rsid w:val="00F531DF"/>
    <w:rsid w:val="00F533D6"/>
    <w:rsid w:val="00F53778"/>
    <w:rsid w:val="00F5539E"/>
    <w:rsid w:val="00F57332"/>
    <w:rsid w:val="00F612A2"/>
    <w:rsid w:val="00F62A36"/>
    <w:rsid w:val="00F63C5A"/>
    <w:rsid w:val="00F6627C"/>
    <w:rsid w:val="00F66E31"/>
    <w:rsid w:val="00F67E97"/>
    <w:rsid w:val="00F70171"/>
    <w:rsid w:val="00F70EFE"/>
    <w:rsid w:val="00F72C8C"/>
    <w:rsid w:val="00F72EA1"/>
    <w:rsid w:val="00F73F85"/>
    <w:rsid w:val="00F75656"/>
    <w:rsid w:val="00F77843"/>
    <w:rsid w:val="00F80230"/>
    <w:rsid w:val="00F81E23"/>
    <w:rsid w:val="00F83B88"/>
    <w:rsid w:val="00F84FA6"/>
    <w:rsid w:val="00F86808"/>
    <w:rsid w:val="00F87DF5"/>
    <w:rsid w:val="00F9005A"/>
    <w:rsid w:val="00F90E7C"/>
    <w:rsid w:val="00F93478"/>
    <w:rsid w:val="00F93BA9"/>
    <w:rsid w:val="00F95ACB"/>
    <w:rsid w:val="00F9719F"/>
    <w:rsid w:val="00F9734E"/>
    <w:rsid w:val="00F97588"/>
    <w:rsid w:val="00F978EF"/>
    <w:rsid w:val="00F978F5"/>
    <w:rsid w:val="00F97A9B"/>
    <w:rsid w:val="00FA0111"/>
    <w:rsid w:val="00FA09CF"/>
    <w:rsid w:val="00FA1740"/>
    <w:rsid w:val="00FA1AF1"/>
    <w:rsid w:val="00FA4122"/>
    <w:rsid w:val="00FA5146"/>
    <w:rsid w:val="00FA5208"/>
    <w:rsid w:val="00FA5862"/>
    <w:rsid w:val="00FA6A7B"/>
    <w:rsid w:val="00FA7E42"/>
    <w:rsid w:val="00FB0B28"/>
    <w:rsid w:val="00FB1545"/>
    <w:rsid w:val="00FB1A77"/>
    <w:rsid w:val="00FB1AF5"/>
    <w:rsid w:val="00FB1C92"/>
    <w:rsid w:val="00FB1F85"/>
    <w:rsid w:val="00FB79B4"/>
    <w:rsid w:val="00FC2E6E"/>
    <w:rsid w:val="00FC57FE"/>
    <w:rsid w:val="00FD0DDF"/>
    <w:rsid w:val="00FD0EED"/>
    <w:rsid w:val="00FD1279"/>
    <w:rsid w:val="00FD40CA"/>
    <w:rsid w:val="00FE1D1F"/>
    <w:rsid w:val="00FE1E5D"/>
    <w:rsid w:val="00FE2480"/>
    <w:rsid w:val="00FE35AA"/>
    <w:rsid w:val="00FE6ADE"/>
    <w:rsid w:val="00FF118C"/>
    <w:rsid w:val="00FF27F9"/>
    <w:rsid w:val="00FF3B84"/>
    <w:rsid w:val="00FF56DE"/>
    <w:rsid w:val="00FF5F0E"/>
    <w:rsid w:val="00FF6E99"/>
    <w:rsid w:val="00FF79F0"/>
    <w:rsid w:val="00FF7AA0"/>
    <w:rsid w:val="018C5BFB"/>
    <w:rsid w:val="01B45999"/>
    <w:rsid w:val="01EA45FA"/>
    <w:rsid w:val="01EF1B46"/>
    <w:rsid w:val="020D1DF2"/>
    <w:rsid w:val="02385AB4"/>
    <w:rsid w:val="0241779D"/>
    <w:rsid w:val="02643882"/>
    <w:rsid w:val="02A5299A"/>
    <w:rsid w:val="02D71175"/>
    <w:rsid w:val="02DD07E1"/>
    <w:rsid w:val="03C1667A"/>
    <w:rsid w:val="03EA5B14"/>
    <w:rsid w:val="03FA39D7"/>
    <w:rsid w:val="0400517E"/>
    <w:rsid w:val="040C03B5"/>
    <w:rsid w:val="04533527"/>
    <w:rsid w:val="04710532"/>
    <w:rsid w:val="04730751"/>
    <w:rsid w:val="047D3516"/>
    <w:rsid w:val="04D06E6B"/>
    <w:rsid w:val="055F0E8A"/>
    <w:rsid w:val="06227DC3"/>
    <w:rsid w:val="066448C2"/>
    <w:rsid w:val="06BF1C23"/>
    <w:rsid w:val="06D075BD"/>
    <w:rsid w:val="0791673A"/>
    <w:rsid w:val="08103F9D"/>
    <w:rsid w:val="08297875"/>
    <w:rsid w:val="08B1301D"/>
    <w:rsid w:val="08E87E16"/>
    <w:rsid w:val="09143134"/>
    <w:rsid w:val="09267FC0"/>
    <w:rsid w:val="09872F1F"/>
    <w:rsid w:val="09B5763C"/>
    <w:rsid w:val="09C452D9"/>
    <w:rsid w:val="0A1653A2"/>
    <w:rsid w:val="0A274E09"/>
    <w:rsid w:val="0A7256F4"/>
    <w:rsid w:val="0A8C69F4"/>
    <w:rsid w:val="0AE5772C"/>
    <w:rsid w:val="0B3D0BCE"/>
    <w:rsid w:val="0B513A96"/>
    <w:rsid w:val="0B5A0624"/>
    <w:rsid w:val="0BBC727F"/>
    <w:rsid w:val="0BF97440"/>
    <w:rsid w:val="0C4F0620"/>
    <w:rsid w:val="0C59010B"/>
    <w:rsid w:val="0C673E51"/>
    <w:rsid w:val="0C81308B"/>
    <w:rsid w:val="0CB817C8"/>
    <w:rsid w:val="0CC37CDB"/>
    <w:rsid w:val="0CEA6EF9"/>
    <w:rsid w:val="0D4B161F"/>
    <w:rsid w:val="0D611D08"/>
    <w:rsid w:val="0D6B36B3"/>
    <w:rsid w:val="0DA169AD"/>
    <w:rsid w:val="0DD1309A"/>
    <w:rsid w:val="0DDA69F1"/>
    <w:rsid w:val="0DDE21D7"/>
    <w:rsid w:val="0E8C5493"/>
    <w:rsid w:val="0F0663E9"/>
    <w:rsid w:val="0F487655"/>
    <w:rsid w:val="0F81654D"/>
    <w:rsid w:val="0FD71FEA"/>
    <w:rsid w:val="0FFA582A"/>
    <w:rsid w:val="1036271C"/>
    <w:rsid w:val="105C44B0"/>
    <w:rsid w:val="114C1DEB"/>
    <w:rsid w:val="118546BA"/>
    <w:rsid w:val="11EF025A"/>
    <w:rsid w:val="1240478C"/>
    <w:rsid w:val="12932457"/>
    <w:rsid w:val="12D4308C"/>
    <w:rsid w:val="130B4CA3"/>
    <w:rsid w:val="132B68EC"/>
    <w:rsid w:val="133216FD"/>
    <w:rsid w:val="13DA74DC"/>
    <w:rsid w:val="146517BB"/>
    <w:rsid w:val="152061FE"/>
    <w:rsid w:val="154B4E7F"/>
    <w:rsid w:val="156B6A3A"/>
    <w:rsid w:val="15D5380E"/>
    <w:rsid w:val="166A1708"/>
    <w:rsid w:val="167A3533"/>
    <w:rsid w:val="1695427B"/>
    <w:rsid w:val="16A752FF"/>
    <w:rsid w:val="172A35E5"/>
    <w:rsid w:val="17C11489"/>
    <w:rsid w:val="18092F29"/>
    <w:rsid w:val="18C9165D"/>
    <w:rsid w:val="18F605BA"/>
    <w:rsid w:val="194E7037"/>
    <w:rsid w:val="195F01C0"/>
    <w:rsid w:val="19835F38"/>
    <w:rsid w:val="19BD6C79"/>
    <w:rsid w:val="19D635E5"/>
    <w:rsid w:val="1A4E5782"/>
    <w:rsid w:val="1A641609"/>
    <w:rsid w:val="1AE128C2"/>
    <w:rsid w:val="1AED62AE"/>
    <w:rsid w:val="1B3F6EFC"/>
    <w:rsid w:val="1B4B6058"/>
    <w:rsid w:val="1B700CDB"/>
    <w:rsid w:val="1BA73220"/>
    <w:rsid w:val="1C0F0B1B"/>
    <w:rsid w:val="1C2A397D"/>
    <w:rsid w:val="1C3808B9"/>
    <w:rsid w:val="1C527F67"/>
    <w:rsid w:val="1CE134A1"/>
    <w:rsid w:val="1D69797A"/>
    <w:rsid w:val="1D826935"/>
    <w:rsid w:val="1DBB4573"/>
    <w:rsid w:val="1E117F64"/>
    <w:rsid w:val="1E3D2750"/>
    <w:rsid w:val="1E475FDF"/>
    <w:rsid w:val="1E4A6987"/>
    <w:rsid w:val="1E790132"/>
    <w:rsid w:val="1EA33E74"/>
    <w:rsid w:val="1F07799E"/>
    <w:rsid w:val="1F3C01D3"/>
    <w:rsid w:val="1F6F1129"/>
    <w:rsid w:val="1F8206CE"/>
    <w:rsid w:val="1F9D7E59"/>
    <w:rsid w:val="20047D0F"/>
    <w:rsid w:val="202F64F4"/>
    <w:rsid w:val="20393668"/>
    <w:rsid w:val="20531A3E"/>
    <w:rsid w:val="208F509A"/>
    <w:rsid w:val="209C2B30"/>
    <w:rsid w:val="20D2148C"/>
    <w:rsid w:val="21CF1AE9"/>
    <w:rsid w:val="21D05F74"/>
    <w:rsid w:val="22252ABF"/>
    <w:rsid w:val="22381659"/>
    <w:rsid w:val="22703E30"/>
    <w:rsid w:val="22FB3D39"/>
    <w:rsid w:val="23127766"/>
    <w:rsid w:val="236A1427"/>
    <w:rsid w:val="23AC4583"/>
    <w:rsid w:val="23D36D29"/>
    <w:rsid w:val="24417AB9"/>
    <w:rsid w:val="24537826"/>
    <w:rsid w:val="24584CD1"/>
    <w:rsid w:val="2473580F"/>
    <w:rsid w:val="24D47732"/>
    <w:rsid w:val="250156E6"/>
    <w:rsid w:val="255B1288"/>
    <w:rsid w:val="258146FA"/>
    <w:rsid w:val="25E02EC5"/>
    <w:rsid w:val="26282408"/>
    <w:rsid w:val="26310F7E"/>
    <w:rsid w:val="26340D22"/>
    <w:rsid w:val="264300B0"/>
    <w:rsid w:val="26BC3622"/>
    <w:rsid w:val="26CA1D23"/>
    <w:rsid w:val="26D05563"/>
    <w:rsid w:val="26FC4ABA"/>
    <w:rsid w:val="27284E94"/>
    <w:rsid w:val="274B1605"/>
    <w:rsid w:val="277A53A5"/>
    <w:rsid w:val="278436B3"/>
    <w:rsid w:val="279449B8"/>
    <w:rsid w:val="27C03986"/>
    <w:rsid w:val="27DA7ADC"/>
    <w:rsid w:val="27EE43E4"/>
    <w:rsid w:val="28272DC2"/>
    <w:rsid w:val="28455097"/>
    <w:rsid w:val="288337A4"/>
    <w:rsid w:val="28894121"/>
    <w:rsid w:val="29322825"/>
    <w:rsid w:val="294C2C30"/>
    <w:rsid w:val="29573C99"/>
    <w:rsid w:val="297033E0"/>
    <w:rsid w:val="29740C57"/>
    <w:rsid w:val="298618CC"/>
    <w:rsid w:val="299424C7"/>
    <w:rsid w:val="29DC2BBE"/>
    <w:rsid w:val="2A495983"/>
    <w:rsid w:val="2A664E68"/>
    <w:rsid w:val="2A754E11"/>
    <w:rsid w:val="2A8B4E1B"/>
    <w:rsid w:val="2AE30A0E"/>
    <w:rsid w:val="2B5F6C4B"/>
    <w:rsid w:val="2B7D4EA8"/>
    <w:rsid w:val="2BA80978"/>
    <w:rsid w:val="2BCA4D04"/>
    <w:rsid w:val="2BD93CBC"/>
    <w:rsid w:val="2BFB12FB"/>
    <w:rsid w:val="2C3004FA"/>
    <w:rsid w:val="2C3E6F9E"/>
    <w:rsid w:val="2C9536D2"/>
    <w:rsid w:val="2CC559CE"/>
    <w:rsid w:val="2CF4618C"/>
    <w:rsid w:val="2D2546F0"/>
    <w:rsid w:val="2D514E0E"/>
    <w:rsid w:val="2DAE1B38"/>
    <w:rsid w:val="2DE13DED"/>
    <w:rsid w:val="2E330497"/>
    <w:rsid w:val="2E3F0636"/>
    <w:rsid w:val="2E753A76"/>
    <w:rsid w:val="2EC32A4A"/>
    <w:rsid w:val="2EE26B2A"/>
    <w:rsid w:val="2EE5201C"/>
    <w:rsid w:val="2EF65290"/>
    <w:rsid w:val="2F8C07EC"/>
    <w:rsid w:val="30006FDA"/>
    <w:rsid w:val="302E49A9"/>
    <w:rsid w:val="30330F7F"/>
    <w:rsid w:val="30910B26"/>
    <w:rsid w:val="309D5B6B"/>
    <w:rsid w:val="30B83157"/>
    <w:rsid w:val="30C57C5A"/>
    <w:rsid w:val="30EC2EF3"/>
    <w:rsid w:val="31A26DAA"/>
    <w:rsid w:val="31B56D5A"/>
    <w:rsid w:val="31DC6191"/>
    <w:rsid w:val="31DF7139"/>
    <w:rsid w:val="320858BE"/>
    <w:rsid w:val="32717C15"/>
    <w:rsid w:val="32B111A7"/>
    <w:rsid w:val="330F0540"/>
    <w:rsid w:val="33344A2A"/>
    <w:rsid w:val="337F6AE7"/>
    <w:rsid w:val="33A2314E"/>
    <w:rsid w:val="34492C86"/>
    <w:rsid w:val="34F7165D"/>
    <w:rsid w:val="350513AE"/>
    <w:rsid w:val="352B22E6"/>
    <w:rsid w:val="352D61D5"/>
    <w:rsid w:val="36287FD9"/>
    <w:rsid w:val="362B3B63"/>
    <w:rsid w:val="366C47FA"/>
    <w:rsid w:val="36AB4D7E"/>
    <w:rsid w:val="36B27B38"/>
    <w:rsid w:val="36ED03F9"/>
    <w:rsid w:val="373E5E71"/>
    <w:rsid w:val="375D774D"/>
    <w:rsid w:val="37651421"/>
    <w:rsid w:val="37B323FE"/>
    <w:rsid w:val="37EE041A"/>
    <w:rsid w:val="380519DE"/>
    <w:rsid w:val="381F6D91"/>
    <w:rsid w:val="383D5E04"/>
    <w:rsid w:val="386969D9"/>
    <w:rsid w:val="38E46EDA"/>
    <w:rsid w:val="390C464F"/>
    <w:rsid w:val="39453CDA"/>
    <w:rsid w:val="39481A65"/>
    <w:rsid w:val="39994DF0"/>
    <w:rsid w:val="39F10FF0"/>
    <w:rsid w:val="39FF4431"/>
    <w:rsid w:val="3A6A1B20"/>
    <w:rsid w:val="3AE519B2"/>
    <w:rsid w:val="3B1E5066"/>
    <w:rsid w:val="3B360FFE"/>
    <w:rsid w:val="3B46632C"/>
    <w:rsid w:val="3B7423F5"/>
    <w:rsid w:val="3BA10D68"/>
    <w:rsid w:val="3BFD0B4E"/>
    <w:rsid w:val="3C1C2B0D"/>
    <w:rsid w:val="3C5C339D"/>
    <w:rsid w:val="3CB90F2D"/>
    <w:rsid w:val="3D171803"/>
    <w:rsid w:val="3D4C17A1"/>
    <w:rsid w:val="3DCE51F2"/>
    <w:rsid w:val="3E517EB7"/>
    <w:rsid w:val="3E7C3854"/>
    <w:rsid w:val="3E8D3086"/>
    <w:rsid w:val="3EDA1FF3"/>
    <w:rsid w:val="3EDC1219"/>
    <w:rsid w:val="3F220619"/>
    <w:rsid w:val="3F3E1C65"/>
    <w:rsid w:val="3F47243D"/>
    <w:rsid w:val="3F8F2C54"/>
    <w:rsid w:val="3FDA14CD"/>
    <w:rsid w:val="3FE813AD"/>
    <w:rsid w:val="40B569B1"/>
    <w:rsid w:val="410A7F42"/>
    <w:rsid w:val="41362751"/>
    <w:rsid w:val="41482D34"/>
    <w:rsid w:val="41505BD6"/>
    <w:rsid w:val="41802CD2"/>
    <w:rsid w:val="41D04488"/>
    <w:rsid w:val="41D84A00"/>
    <w:rsid w:val="41FA6A22"/>
    <w:rsid w:val="42861E73"/>
    <w:rsid w:val="42971002"/>
    <w:rsid w:val="42F9494F"/>
    <w:rsid w:val="43621DA4"/>
    <w:rsid w:val="438D3E7A"/>
    <w:rsid w:val="43D73F84"/>
    <w:rsid w:val="44833D30"/>
    <w:rsid w:val="44902374"/>
    <w:rsid w:val="44C45618"/>
    <w:rsid w:val="44D441C0"/>
    <w:rsid w:val="44E17F1D"/>
    <w:rsid w:val="452C2EA3"/>
    <w:rsid w:val="45BB09AE"/>
    <w:rsid w:val="45D83019"/>
    <w:rsid w:val="465D6D65"/>
    <w:rsid w:val="46814B6D"/>
    <w:rsid w:val="468731F9"/>
    <w:rsid w:val="468B7AB5"/>
    <w:rsid w:val="46A202EA"/>
    <w:rsid w:val="46A35665"/>
    <w:rsid w:val="478F28CE"/>
    <w:rsid w:val="47900B53"/>
    <w:rsid w:val="47E862A8"/>
    <w:rsid w:val="482435BD"/>
    <w:rsid w:val="48316918"/>
    <w:rsid w:val="486B0806"/>
    <w:rsid w:val="48A4585A"/>
    <w:rsid w:val="48A964BB"/>
    <w:rsid w:val="48DD328B"/>
    <w:rsid w:val="48F02F2D"/>
    <w:rsid w:val="491D353E"/>
    <w:rsid w:val="496E4E48"/>
    <w:rsid w:val="4A0E168A"/>
    <w:rsid w:val="4A1327E9"/>
    <w:rsid w:val="4A146A9E"/>
    <w:rsid w:val="4A346162"/>
    <w:rsid w:val="4A3A4422"/>
    <w:rsid w:val="4A3F2A60"/>
    <w:rsid w:val="4AAA3F11"/>
    <w:rsid w:val="4AD52FC5"/>
    <w:rsid w:val="4ADE3B48"/>
    <w:rsid w:val="4B0141F3"/>
    <w:rsid w:val="4B5843A7"/>
    <w:rsid w:val="4B791FAF"/>
    <w:rsid w:val="4BFE739A"/>
    <w:rsid w:val="4C2A637C"/>
    <w:rsid w:val="4C317161"/>
    <w:rsid w:val="4C422213"/>
    <w:rsid w:val="4C9B5477"/>
    <w:rsid w:val="4CA20C9A"/>
    <w:rsid w:val="4D2A5E32"/>
    <w:rsid w:val="4D4557D4"/>
    <w:rsid w:val="4DC56076"/>
    <w:rsid w:val="4DCA0AC0"/>
    <w:rsid w:val="4DE45B56"/>
    <w:rsid w:val="4E0D27F9"/>
    <w:rsid w:val="4E170930"/>
    <w:rsid w:val="4E2D52A2"/>
    <w:rsid w:val="4E8D0663"/>
    <w:rsid w:val="4EAF6FA4"/>
    <w:rsid w:val="4EB621B3"/>
    <w:rsid w:val="4EDA23AC"/>
    <w:rsid w:val="4EE0717B"/>
    <w:rsid w:val="4F850E7F"/>
    <w:rsid w:val="4FBE02D0"/>
    <w:rsid w:val="4FD2330D"/>
    <w:rsid w:val="4FDF375F"/>
    <w:rsid w:val="50043C91"/>
    <w:rsid w:val="502660D9"/>
    <w:rsid w:val="5072654B"/>
    <w:rsid w:val="510622C8"/>
    <w:rsid w:val="511B78DC"/>
    <w:rsid w:val="511F5BF2"/>
    <w:rsid w:val="51243E29"/>
    <w:rsid w:val="517470A2"/>
    <w:rsid w:val="519522E4"/>
    <w:rsid w:val="51C623C2"/>
    <w:rsid w:val="520D4CC2"/>
    <w:rsid w:val="52646E77"/>
    <w:rsid w:val="52867BEA"/>
    <w:rsid w:val="530F2492"/>
    <w:rsid w:val="53152C14"/>
    <w:rsid w:val="532109EE"/>
    <w:rsid w:val="532B3FA9"/>
    <w:rsid w:val="53491EF0"/>
    <w:rsid w:val="536753B6"/>
    <w:rsid w:val="539050D9"/>
    <w:rsid w:val="53A235C5"/>
    <w:rsid w:val="53C1057A"/>
    <w:rsid w:val="53CD3CEB"/>
    <w:rsid w:val="54040A38"/>
    <w:rsid w:val="55352417"/>
    <w:rsid w:val="55422827"/>
    <w:rsid w:val="558A373D"/>
    <w:rsid w:val="55A62C3E"/>
    <w:rsid w:val="560849D8"/>
    <w:rsid w:val="565E7C21"/>
    <w:rsid w:val="567E5F0E"/>
    <w:rsid w:val="5682350E"/>
    <w:rsid w:val="56A80117"/>
    <w:rsid w:val="56E836DB"/>
    <w:rsid w:val="575F50BD"/>
    <w:rsid w:val="57732944"/>
    <w:rsid w:val="578625EA"/>
    <w:rsid w:val="57DD2A29"/>
    <w:rsid w:val="57FB14D9"/>
    <w:rsid w:val="58083895"/>
    <w:rsid w:val="584A05F6"/>
    <w:rsid w:val="5887780C"/>
    <w:rsid w:val="58A90FA7"/>
    <w:rsid w:val="58B80C20"/>
    <w:rsid w:val="58C05F79"/>
    <w:rsid w:val="58E42664"/>
    <w:rsid w:val="597A08CB"/>
    <w:rsid w:val="599F6030"/>
    <w:rsid w:val="5ACC4CB0"/>
    <w:rsid w:val="5AD274B8"/>
    <w:rsid w:val="5C1466CB"/>
    <w:rsid w:val="5CC8058F"/>
    <w:rsid w:val="5CD222A4"/>
    <w:rsid w:val="5D626301"/>
    <w:rsid w:val="5D855CC0"/>
    <w:rsid w:val="5E0A73C4"/>
    <w:rsid w:val="5E223CAF"/>
    <w:rsid w:val="5E60253C"/>
    <w:rsid w:val="5EB75007"/>
    <w:rsid w:val="5F0B2698"/>
    <w:rsid w:val="5F8B45DB"/>
    <w:rsid w:val="5FA64978"/>
    <w:rsid w:val="5FBA7214"/>
    <w:rsid w:val="5FD17F08"/>
    <w:rsid w:val="608254E3"/>
    <w:rsid w:val="60A53FED"/>
    <w:rsid w:val="60D446CD"/>
    <w:rsid w:val="61506FD4"/>
    <w:rsid w:val="61B5737A"/>
    <w:rsid w:val="620500B9"/>
    <w:rsid w:val="62165784"/>
    <w:rsid w:val="62D542BB"/>
    <w:rsid w:val="62EA2ECE"/>
    <w:rsid w:val="634F7C1D"/>
    <w:rsid w:val="647B461C"/>
    <w:rsid w:val="64B12E14"/>
    <w:rsid w:val="653C0EFD"/>
    <w:rsid w:val="6546132A"/>
    <w:rsid w:val="65480D20"/>
    <w:rsid w:val="659E07EA"/>
    <w:rsid w:val="65B47E02"/>
    <w:rsid w:val="65B95C87"/>
    <w:rsid w:val="6682769D"/>
    <w:rsid w:val="66903907"/>
    <w:rsid w:val="66A01E0B"/>
    <w:rsid w:val="66D930BD"/>
    <w:rsid w:val="672A1118"/>
    <w:rsid w:val="6730552B"/>
    <w:rsid w:val="67477B2D"/>
    <w:rsid w:val="6771245A"/>
    <w:rsid w:val="677159CB"/>
    <w:rsid w:val="678A717B"/>
    <w:rsid w:val="679848B0"/>
    <w:rsid w:val="67A44D60"/>
    <w:rsid w:val="67B4057E"/>
    <w:rsid w:val="67F7394A"/>
    <w:rsid w:val="681B0D94"/>
    <w:rsid w:val="682E70AF"/>
    <w:rsid w:val="68954943"/>
    <w:rsid w:val="68CC0D23"/>
    <w:rsid w:val="68CF4CDA"/>
    <w:rsid w:val="69334555"/>
    <w:rsid w:val="69337066"/>
    <w:rsid w:val="69346930"/>
    <w:rsid w:val="69736271"/>
    <w:rsid w:val="697E597B"/>
    <w:rsid w:val="698B3C47"/>
    <w:rsid w:val="6A5128C3"/>
    <w:rsid w:val="6A6A1A17"/>
    <w:rsid w:val="6A75661E"/>
    <w:rsid w:val="6A767855"/>
    <w:rsid w:val="6B07745B"/>
    <w:rsid w:val="6B0A712E"/>
    <w:rsid w:val="6B191DF3"/>
    <w:rsid w:val="6B1F3445"/>
    <w:rsid w:val="6B313452"/>
    <w:rsid w:val="6B631D3E"/>
    <w:rsid w:val="6B9320F6"/>
    <w:rsid w:val="6BB6517B"/>
    <w:rsid w:val="6C0642A3"/>
    <w:rsid w:val="6C4E7751"/>
    <w:rsid w:val="6C945960"/>
    <w:rsid w:val="6CE1313B"/>
    <w:rsid w:val="6CF23CC5"/>
    <w:rsid w:val="6CFA002E"/>
    <w:rsid w:val="6D3B7081"/>
    <w:rsid w:val="6D717746"/>
    <w:rsid w:val="6DBC7AF2"/>
    <w:rsid w:val="6DC1474D"/>
    <w:rsid w:val="6E2140D2"/>
    <w:rsid w:val="6E5C397E"/>
    <w:rsid w:val="6E8868B6"/>
    <w:rsid w:val="6EA130B0"/>
    <w:rsid w:val="6EEF6A79"/>
    <w:rsid w:val="6F7808D9"/>
    <w:rsid w:val="6F7E5DCC"/>
    <w:rsid w:val="6F8160D7"/>
    <w:rsid w:val="6F9A4D03"/>
    <w:rsid w:val="6FAF1B37"/>
    <w:rsid w:val="6FCA63AB"/>
    <w:rsid w:val="6FDA57BD"/>
    <w:rsid w:val="6FED07B9"/>
    <w:rsid w:val="700E6FF2"/>
    <w:rsid w:val="70256ED2"/>
    <w:rsid w:val="70303453"/>
    <w:rsid w:val="705A10A7"/>
    <w:rsid w:val="705D41FC"/>
    <w:rsid w:val="706A7F69"/>
    <w:rsid w:val="70974692"/>
    <w:rsid w:val="709D49A0"/>
    <w:rsid w:val="70A34B5E"/>
    <w:rsid w:val="70B162C9"/>
    <w:rsid w:val="70CE25B8"/>
    <w:rsid w:val="70F34CA9"/>
    <w:rsid w:val="71173079"/>
    <w:rsid w:val="71424877"/>
    <w:rsid w:val="716F2B1B"/>
    <w:rsid w:val="716F6EC8"/>
    <w:rsid w:val="71A92AFB"/>
    <w:rsid w:val="72197AD4"/>
    <w:rsid w:val="721D7834"/>
    <w:rsid w:val="72877F6B"/>
    <w:rsid w:val="72DE793A"/>
    <w:rsid w:val="72F428FB"/>
    <w:rsid w:val="731D40FE"/>
    <w:rsid w:val="735639D7"/>
    <w:rsid w:val="736C1665"/>
    <w:rsid w:val="737A6ED7"/>
    <w:rsid w:val="739F0853"/>
    <w:rsid w:val="73D73CA5"/>
    <w:rsid w:val="741F7B59"/>
    <w:rsid w:val="742C2D4D"/>
    <w:rsid w:val="7455753D"/>
    <w:rsid w:val="748C2FE1"/>
    <w:rsid w:val="74AF057A"/>
    <w:rsid w:val="74C35019"/>
    <w:rsid w:val="75744B58"/>
    <w:rsid w:val="75AB2908"/>
    <w:rsid w:val="75D51FCB"/>
    <w:rsid w:val="75E03CC2"/>
    <w:rsid w:val="7606019E"/>
    <w:rsid w:val="763A3910"/>
    <w:rsid w:val="76445616"/>
    <w:rsid w:val="765A1B20"/>
    <w:rsid w:val="768C028B"/>
    <w:rsid w:val="7708644A"/>
    <w:rsid w:val="77112CFA"/>
    <w:rsid w:val="772F5C52"/>
    <w:rsid w:val="775F5285"/>
    <w:rsid w:val="782906FA"/>
    <w:rsid w:val="78D10C02"/>
    <w:rsid w:val="79040776"/>
    <w:rsid w:val="79364237"/>
    <w:rsid w:val="79812370"/>
    <w:rsid w:val="799117F1"/>
    <w:rsid w:val="79C1539E"/>
    <w:rsid w:val="79F0082B"/>
    <w:rsid w:val="7A934B9D"/>
    <w:rsid w:val="7AC657EE"/>
    <w:rsid w:val="7B1D4F32"/>
    <w:rsid w:val="7B647F43"/>
    <w:rsid w:val="7BC27AFB"/>
    <w:rsid w:val="7BE366F0"/>
    <w:rsid w:val="7C23250E"/>
    <w:rsid w:val="7C48534D"/>
    <w:rsid w:val="7C656DD7"/>
    <w:rsid w:val="7CBA0C2F"/>
    <w:rsid w:val="7CC67317"/>
    <w:rsid w:val="7CEA322A"/>
    <w:rsid w:val="7CEE441D"/>
    <w:rsid w:val="7D060CB2"/>
    <w:rsid w:val="7D2903FB"/>
    <w:rsid w:val="7D5D10B7"/>
    <w:rsid w:val="7D7E7E33"/>
    <w:rsid w:val="7D8F3A6C"/>
    <w:rsid w:val="7DE16376"/>
    <w:rsid w:val="7DE816D1"/>
    <w:rsid w:val="7E140786"/>
    <w:rsid w:val="7E235B1A"/>
    <w:rsid w:val="7E297C7B"/>
    <w:rsid w:val="7E571597"/>
    <w:rsid w:val="7E681646"/>
    <w:rsid w:val="7E6901F1"/>
    <w:rsid w:val="7EAC4642"/>
    <w:rsid w:val="7EB01B21"/>
    <w:rsid w:val="7EC67FDE"/>
    <w:rsid w:val="7F180EB5"/>
    <w:rsid w:val="7F5D08DB"/>
    <w:rsid w:val="7F6B5DFD"/>
    <w:rsid w:val="7F7F018F"/>
    <w:rsid w:val="7F8C7C10"/>
    <w:rsid w:val="7FB74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="t" stroke="t">
      <v:fill type="gradient" on="t" angle="90" focussize="0f,0f" focusposition="0f,0f">
        <o:fill type="gradientUnscaled" v:ext="backwardCompatible"/>
      </v:fill>
      <v:stroke weight="1.25pt" color="#739CC3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9" w:semiHidden="0" w:name="heading 3"/>
    <w:lsdException w:qFormat="1" w:unhideWhenUsed="0" w:uiPriority="9" w:semiHidden="0" w:name="heading 4"/>
    <w:lsdException w:qFormat="1" w:unhideWhenUsed="0" w:uiPriority="9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qFormat="1" w:unhideWhenUsed="0" w:uiPriority="39" w:semiHidden="0" w:name="toc 1"/>
    <w:lsdException w:qFormat="1" w:unhideWhenUsed="0" w:uiPriority="0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qFormat="1" w:unhideWhenUsed="0" w:uiPriority="0" w:semiHidden="0" w:name="Normal Indent"/>
    <w:lsdException w:uiPriority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semiHidden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qFormat="1" w:unhideWhenUsed="0" w:uiPriority="0" w:semiHidden="0" w:name="annotation reference"/>
    <w:lsdException w:uiPriority="0" w:name="line number"/>
    <w:lsdException w:qFormat="1" w:unhideWhenUsed="0" w:uiPriority="0" w:semiHidden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99" w:semiHidden="0" w:name="Title"/>
    <w:lsdException w:uiPriority="0" w:name="Closing"/>
    <w:lsdException w:uiPriority="0" w:name="Signature"/>
    <w:lsdException w:qFormat="1" w:uiPriority="1" w:name="Default Paragraph Font"/>
    <w:lsdException w:qFormat="1" w:uiPriority="0" w:semiHidden="0" w:name="Body Text"/>
    <w:lsdException w:qFormat="1" w:unhideWhenUsed="0" w:uiPriority="0" w:semiHidden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qFormat="1" w:unhideWhenUsed="0" w:uiPriority="0" w:semiHidden="0" w:name="Date"/>
    <w:lsdException w:qFormat="1"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iPriority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link w:val="42"/>
    <w:qFormat/>
    <w:uiPriority w:val="0"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qFormat/>
    <w:uiPriority w:val="0"/>
    <w:pPr>
      <w:keepNext/>
      <w:keepLines/>
      <w:adjustRightInd w:val="0"/>
      <w:spacing w:before="100" w:after="100" w:line="600" w:lineRule="exact"/>
      <w:textAlignment w:val="baseline"/>
      <w:outlineLvl w:val="1"/>
    </w:pPr>
    <w:rPr>
      <w:rFonts w:eastAsia="黑体"/>
      <w:kern w:val="0"/>
      <w:sz w:val="32"/>
      <w:szCs w:val="20"/>
    </w:rPr>
  </w:style>
  <w:style w:type="paragraph" w:styleId="6">
    <w:name w:val="heading 3"/>
    <w:basedOn w:val="1"/>
    <w:next w:val="1"/>
    <w:qFormat/>
    <w:uiPriority w:val="9"/>
    <w:pPr>
      <w:keepNext/>
      <w:keepLines/>
      <w:spacing w:before="260" w:after="260" w:line="415" w:lineRule="auto"/>
      <w:outlineLvl w:val="2"/>
    </w:pPr>
    <w:rPr>
      <w:b/>
      <w:bCs/>
      <w:sz w:val="32"/>
      <w:szCs w:val="32"/>
    </w:rPr>
  </w:style>
  <w:style w:type="paragraph" w:styleId="7">
    <w:name w:val="heading 4"/>
    <w:basedOn w:val="1"/>
    <w:next w:val="1"/>
    <w:qFormat/>
    <w:uiPriority w:val="9"/>
    <w:pPr>
      <w:keepNext/>
      <w:keepLines/>
      <w:spacing w:before="280" w:after="290" w:line="374" w:lineRule="auto"/>
      <w:outlineLvl w:val="3"/>
    </w:pPr>
    <w:rPr>
      <w:rFonts w:ascii="Arial" w:hAnsi="Arial" w:eastAsia="黑体"/>
      <w:b/>
      <w:bCs/>
      <w:sz w:val="28"/>
      <w:szCs w:val="28"/>
    </w:rPr>
  </w:style>
  <w:style w:type="paragraph" w:styleId="8">
    <w:name w:val="heading 5"/>
    <w:basedOn w:val="1"/>
    <w:next w:val="1"/>
    <w:qFormat/>
    <w:uiPriority w:val="9"/>
    <w:pPr>
      <w:keepNext/>
      <w:keepLines/>
      <w:adjustRightInd w:val="0"/>
      <w:spacing w:before="280" w:after="290" w:line="376" w:lineRule="atLeast"/>
      <w:textAlignment w:val="baseline"/>
      <w:outlineLvl w:val="4"/>
    </w:pPr>
    <w:rPr>
      <w:b/>
      <w:bCs/>
      <w:kern w:val="0"/>
      <w:sz w:val="28"/>
      <w:szCs w:val="28"/>
    </w:rPr>
  </w:style>
  <w:style w:type="paragraph" w:styleId="9">
    <w:name w:val="heading 6"/>
    <w:basedOn w:val="1"/>
    <w:next w:val="1"/>
    <w:qFormat/>
    <w:uiPriority w:val="0"/>
    <w:pPr>
      <w:keepNext/>
      <w:keepLines/>
      <w:tabs>
        <w:tab w:val="left" w:pos="2160"/>
      </w:tabs>
      <w:adjustRightInd w:val="0"/>
      <w:spacing w:before="240" w:after="64" w:line="320" w:lineRule="atLeast"/>
      <w:textAlignment w:val="baseline"/>
      <w:outlineLvl w:val="5"/>
    </w:pPr>
    <w:rPr>
      <w:rFonts w:ascii="Arial" w:hAnsi="Arial" w:eastAsia="黑体"/>
      <w:b/>
      <w:bCs/>
      <w:kern w:val="0"/>
      <w:sz w:val="24"/>
    </w:rPr>
  </w:style>
  <w:style w:type="paragraph" w:styleId="10">
    <w:name w:val="heading 7"/>
    <w:basedOn w:val="1"/>
    <w:next w:val="1"/>
    <w:qFormat/>
    <w:uiPriority w:val="0"/>
    <w:pPr>
      <w:keepNext/>
      <w:keepLines/>
      <w:tabs>
        <w:tab w:val="left" w:pos="1296"/>
      </w:tabs>
      <w:adjustRightInd w:val="0"/>
      <w:spacing w:before="240" w:after="64" w:line="320" w:lineRule="atLeast"/>
      <w:ind w:left="1296" w:hanging="1296"/>
      <w:textAlignment w:val="baseline"/>
      <w:outlineLvl w:val="6"/>
    </w:pPr>
    <w:rPr>
      <w:b/>
      <w:bCs/>
      <w:kern w:val="0"/>
      <w:sz w:val="24"/>
    </w:rPr>
  </w:style>
  <w:style w:type="paragraph" w:styleId="11">
    <w:name w:val="heading 8"/>
    <w:basedOn w:val="1"/>
    <w:next w:val="1"/>
    <w:qFormat/>
    <w:uiPriority w:val="0"/>
    <w:pPr>
      <w:keepNext/>
      <w:keepLines/>
      <w:tabs>
        <w:tab w:val="left" w:pos="1440"/>
      </w:tabs>
      <w:adjustRightInd w:val="0"/>
      <w:spacing w:before="240" w:after="64" w:line="320" w:lineRule="atLeast"/>
      <w:ind w:left="1440" w:hanging="1440"/>
      <w:textAlignment w:val="baseline"/>
      <w:outlineLvl w:val="7"/>
    </w:pPr>
    <w:rPr>
      <w:rFonts w:ascii="Arial" w:hAnsi="Arial" w:eastAsia="黑体"/>
      <w:kern w:val="0"/>
      <w:sz w:val="24"/>
    </w:rPr>
  </w:style>
  <w:style w:type="paragraph" w:styleId="12">
    <w:name w:val="heading 9"/>
    <w:basedOn w:val="1"/>
    <w:next w:val="1"/>
    <w:qFormat/>
    <w:uiPriority w:val="0"/>
    <w:pPr>
      <w:keepNext/>
      <w:keepLines/>
      <w:tabs>
        <w:tab w:val="left" w:pos="1584"/>
      </w:tabs>
      <w:adjustRightInd w:val="0"/>
      <w:spacing w:before="240" w:after="64" w:line="320" w:lineRule="atLeast"/>
      <w:ind w:left="1584" w:hanging="1584"/>
      <w:textAlignment w:val="baseline"/>
      <w:outlineLvl w:val="8"/>
    </w:pPr>
    <w:rPr>
      <w:rFonts w:ascii="Arial" w:hAnsi="Arial" w:eastAsia="黑体"/>
      <w:kern w:val="0"/>
      <w:szCs w:val="21"/>
    </w:rPr>
  </w:style>
  <w:style w:type="character" w:default="1" w:styleId="36">
    <w:name w:val="Default Paragraph Font"/>
    <w:semiHidden/>
    <w:unhideWhenUsed/>
    <w:qFormat/>
    <w:uiPriority w:val="1"/>
  </w:style>
  <w:style w:type="table" w:default="1" w:styleId="3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link w:val="111"/>
    <w:unhideWhenUsed/>
    <w:qFormat/>
    <w:uiPriority w:val="0"/>
    <w:pPr>
      <w:spacing w:after="120"/>
    </w:pPr>
    <w:rPr>
      <w:kern w:val="0"/>
    </w:rPr>
  </w:style>
  <w:style w:type="paragraph" w:styleId="3">
    <w:name w:val="Title"/>
    <w:basedOn w:val="1"/>
    <w:next w:val="1"/>
    <w:qFormat/>
    <w:uiPriority w:val="99"/>
    <w:pPr>
      <w:spacing w:before="240" w:after="60"/>
      <w:jc w:val="center"/>
      <w:outlineLvl w:val="0"/>
    </w:pPr>
    <w:rPr>
      <w:rFonts w:ascii="Arial" w:hAnsi="Arial"/>
      <w:b/>
      <w:bCs/>
      <w:sz w:val="32"/>
      <w:szCs w:val="32"/>
    </w:rPr>
  </w:style>
  <w:style w:type="paragraph" w:styleId="13">
    <w:name w:val="toc 7"/>
    <w:basedOn w:val="1"/>
    <w:next w:val="1"/>
    <w:qFormat/>
    <w:uiPriority w:val="0"/>
    <w:pPr>
      <w:ind w:left="2520" w:leftChars="1200"/>
    </w:pPr>
  </w:style>
  <w:style w:type="paragraph" w:styleId="14">
    <w:name w:val="Normal Indent"/>
    <w:basedOn w:val="1"/>
    <w:qFormat/>
    <w:uiPriority w:val="0"/>
    <w:pPr>
      <w:widowControl/>
      <w:spacing w:line="530" w:lineRule="exact"/>
      <w:ind w:firstLine="600"/>
    </w:pPr>
    <w:rPr>
      <w:rFonts w:eastAsia="仿宋_GB2312"/>
      <w:kern w:val="0"/>
      <w:sz w:val="30"/>
      <w:szCs w:val="20"/>
    </w:rPr>
  </w:style>
  <w:style w:type="paragraph" w:styleId="15">
    <w:name w:val="caption"/>
    <w:basedOn w:val="1"/>
    <w:next w:val="1"/>
    <w:unhideWhenUsed/>
    <w:qFormat/>
    <w:uiPriority w:val="0"/>
    <w:pPr>
      <w:spacing w:before="120" w:after="120"/>
      <w:jc w:val="center"/>
    </w:pPr>
    <w:rPr>
      <w:kern w:val="0"/>
      <w:sz w:val="20"/>
      <w:szCs w:val="21"/>
    </w:rPr>
  </w:style>
  <w:style w:type="paragraph" w:styleId="16">
    <w:name w:val="Document Map"/>
    <w:basedOn w:val="1"/>
    <w:qFormat/>
    <w:uiPriority w:val="0"/>
    <w:pPr>
      <w:shd w:val="clear" w:color="auto" w:fill="000080"/>
    </w:pPr>
  </w:style>
  <w:style w:type="paragraph" w:styleId="17">
    <w:name w:val="annotation text"/>
    <w:basedOn w:val="1"/>
    <w:link w:val="41"/>
    <w:qFormat/>
    <w:uiPriority w:val="0"/>
    <w:pPr>
      <w:jc w:val="left"/>
    </w:pPr>
  </w:style>
  <w:style w:type="paragraph" w:styleId="18">
    <w:name w:val="Body Text Indent"/>
    <w:basedOn w:val="1"/>
    <w:qFormat/>
    <w:uiPriority w:val="0"/>
    <w:pPr>
      <w:ind w:left="1080"/>
    </w:pPr>
    <w:rPr>
      <w:rFonts w:ascii="楷体_GB2312" w:eastAsia="楷体_GB2312"/>
      <w:b/>
      <w:kern w:val="15"/>
      <w:sz w:val="30"/>
      <w:szCs w:val="20"/>
    </w:rPr>
  </w:style>
  <w:style w:type="paragraph" w:styleId="19">
    <w:name w:val="toc 5"/>
    <w:basedOn w:val="1"/>
    <w:next w:val="1"/>
    <w:qFormat/>
    <w:uiPriority w:val="0"/>
    <w:pPr>
      <w:ind w:left="1680" w:leftChars="800"/>
    </w:pPr>
  </w:style>
  <w:style w:type="paragraph" w:styleId="20">
    <w:name w:val="toc 3"/>
    <w:basedOn w:val="1"/>
    <w:next w:val="1"/>
    <w:qFormat/>
    <w:uiPriority w:val="0"/>
    <w:pPr>
      <w:ind w:left="840" w:leftChars="400"/>
    </w:pPr>
  </w:style>
  <w:style w:type="paragraph" w:styleId="21">
    <w:name w:val="toc 8"/>
    <w:basedOn w:val="1"/>
    <w:next w:val="1"/>
    <w:qFormat/>
    <w:uiPriority w:val="0"/>
    <w:pPr>
      <w:ind w:left="2940" w:leftChars="1400"/>
    </w:pPr>
  </w:style>
  <w:style w:type="paragraph" w:styleId="22">
    <w:name w:val="Date"/>
    <w:basedOn w:val="1"/>
    <w:next w:val="1"/>
    <w:qFormat/>
    <w:uiPriority w:val="0"/>
    <w:pPr>
      <w:adjustRightInd w:val="0"/>
      <w:spacing w:line="312" w:lineRule="atLeast"/>
      <w:textAlignment w:val="baseline"/>
    </w:pPr>
    <w:rPr>
      <w:rFonts w:ascii="宋体"/>
      <w:kern w:val="0"/>
      <w:sz w:val="28"/>
      <w:szCs w:val="20"/>
    </w:rPr>
  </w:style>
  <w:style w:type="paragraph" w:styleId="23">
    <w:name w:val="Body Text Indent 2"/>
    <w:basedOn w:val="1"/>
    <w:qFormat/>
    <w:uiPriority w:val="0"/>
    <w:pPr>
      <w:adjustRightInd w:val="0"/>
      <w:spacing w:line="480" w:lineRule="atLeast"/>
      <w:ind w:firstLine="600"/>
      <w:textAlignment w:val="baseline"/>
    </w:pPr>
    <w:rPr>
      <w:kern w:val="0"/>
      <w:sz w:val="28"/>
      <w:szCs w:val="20"/>
    </w:rPr>
  </w:style>
  <w:style w:type="paragraph" w:styleId="24">
    <w:name w:val="Balloon Text"/>
    <w:basedOn w:val="1"/>
    <w:qFormat/>
    <w:uiPriority w:val="0"/>
    <w:rPr>
      <w:sz w:val="18"/>
      <w:szCs w:val="18"/>
    </w:rPr>
  </w:style>
  <w:style w:type="paragraph" w:styleId="2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ind w:right="210" w:rightChars="100"/>
      <w:jc w:val="right"/>
    </w:pPr>
    <w:rPr>
      <w:sz w:val="18"/>
      <w:szCs w:val="18"/>
    </w:rPr>
  </w:style>
  <w:style w:type="paragraph" w:styleId="26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7">
    <w:name w:val="toc 1"/>
    <w:basedOn w:val="1"/>
    <w:next w:val="1"/>
    <w:qFormat/>
    <w:uiPriority w:val="39"/>
    <w:pPr>
      <w:tabs>
        <w:tab w:val="right" w:leader="dot" w:pos="8296"/>
      </w:tabs>
    </w:pPr>
  </w:style>
  <w:style w:type="paragraph" w:styleId="28">
    <w:name w:val="toc 4"/>
    <w:basedOn w:val="1"/>
    <w:next w:val="1"/>
    <w:qFormat/>
    <w:uiPriority w:val="0"/>
    <w:pPr>
      <w:ind w:left="1260" w:leftChars="600"/>
    </w:pPr>
  </w:style>
  <w:style w:type="paragraph" w:styleId="29">
    <w:name w:val="toc 6"/>
    <w:basedOn w:val="1"/>
    <w:next w:val="1"/>
    <w:qFormat/>
    <w:uiPriority w:val="0"/>
    <w:pPr>
      <w:ind w:left="2100" w:leftChars="1000"/>
    </w:pPr>
  </w:style>
  <w:style w:type="paragraph" w:styleId="30">
    <w:name w:val="Body Text Indent 3"/>
    <w:basedOn w:val="1"/>
    <w:qFormat/>
    <w:uiPriority w:val="0"/>
    <w:pPr>
      <w:spacing w:line="360" w:lineRule="auto"/>
      <w:ind w:firstLine="480"/>
    </w:pPr>
    <w:rPr>
      <w:sz w:val="24"/>
    </w:rPr>
  </w:style>
  <w:style w:type="paragraph" w:styleId="31">
    <w:name w:val="toc 2"/>
    <w:basedOn w:val="1"/>
    <w:next w:val="1"/>
    <w:qFormat/>
    <w:uiPriority w:val="0"/>
    <w:pPr>
      <w:ind w:left="420" w:leftChars="200"/>
    </w:pPr>
  </w:style>
  <w:style w:type="paragraph" w:styleId="32">
    <w:name w:val="toc 9"/>
    <w:basedOn w:val="1"/>
    <w:next w:val="1"/>
    <w:qFormat/>
    <w:uiPriority w:val="0"/>
    <w:pPr>
      <w:ind w:left="3360" w:leftChars="1600"/>
    </w:pPr>
  </w:style>
  <w:style w:type="paragraph" w:styleId="33">
    <w:name w:val="annotation subject"/>
    <w:basedOn w:val="17"/>
    <w:next w:val="17"/>
    <w:qFormat/>
    <w:uiPriority w:val="0"/>
    <w:rPr>
      <w:b/>
      <w:bCs/>
    </w:rPr>
  </w:style>
  <w:style w:type="paragraph" w:styleId="34">
    <w:name w:val="Body Text First Indent"/>
    <w:basedOn w:val="2"/>
    <w:qFormat/>
    <w:uiPriority w:val="0"/>
    <w:pPr>
      <w:ind w:firstLine="420" w:firstLineChars="100"/>
    </w:pPr>
  </w:style>
  <w:style w:type="character" w:styleId="37">
    <w:name w:val="page number"/>
    <w:basedOn w:val="36"/>
    <w:qFormat/>
    <w:uiPriority w:val="0"/>
    <w:rPr>
      <w:rFonts w:ascii="Times New Roman" w:hAnsi="Times New Roman" w:eastAsia="宋体"/>
      <w:sz w:val="18"/>
    </w:rPr>
  </w:style>
  <w:style w:type="character" w:styleId="38">
    <w:name w:val="FollowedHyperlink"/>
    <w:qFormat/>
    <w:uiPriority w:val="0"/>
    <w:rPr>
      <w:color w:val="800080"/>
      <w:u w:val="single"/>
    </w:rPr>
  </w:style>
  <w:style w:type="character" w:styleId="39">
    <w:name w:val="Hyperlink"/>
    <w:qFormat/>
    <w:uiPriority w:val="99"/>
    <w:rPr>
      <w:rFonts w:hint="default" w:ascii="Arial" w:hAnsi="Arial" w:cs="Arial"/>
      <w:color w:val="0000AA"/>
      <w:u w:val="single"/>
    </w:rPr>
  </w:style>
  <w:style w:type="character" w:styleId="40">
    <w:name w:val="annotation reference"/>
    <w:qFormat/>
    <w:uiPriority w:val="0"/>
    <w:rPr>
      <w:sz w:val="21"/>
      <w:szCs w:val="21"/>
    </w:rPr>
  </w:style>
  <w:style w:type="character" w:customStyle="1" w:styleId="41">
    <w:name w:val="批注文字 字符"/>
    <w:link w:val="17"/>
    <w:qFormat/>
    <w:uiPriority w:val="0"/>
    <w:rPr>
      <w:rFonts w:eastAsia="宋体"/>
      <w:kern w:val="2"/>
      <w:sz w:val="21"/>
      <w:szCs w:val="24"/>
      <w:lang w:val="en-US" w:eastAsia="zh-CN" w:bidi="ar-SA"/>
    </w:rPr>
  </w:style>
  <w:style w:type="character" w:customStyle="1" w:styleId="42">
    <w:name w:val="标题 1 字符"/>
    <w:link w:val="4"/>
    <w:qFormat/>
    <w:uiPriority w:val="0"/>
    <w:rPr>
      <w:b/>
      <w:bCs/>
      <w:kern w:val="44"/>
      <w:sz w:val="44"/>
      <w:szCs w:val="44"/>
    </w:rPr>
  </w:style>
  <w:style w:type="character" w:customStyle="1" w:styleId="43">
    <w:name w:val="正文(编号) Char Char"/>
    <w:link w:val="44"/>
    <w:qFormat/>
    <w:uiPriority w:val="0"/>
    <w:rPr>
      <w:kern w:val="2"/>
      <w:sz w:val="21"/>
      <w:szCs w:val="22"/>
    </w:rPr>
  </w:style>
  <w:style w:type="paragraph" w:customStyle="1" w:styleId="44">
    <w:name w:val="正文(编号)"/>
    <w:basedOn w:val="1"/>
    <w:link w:val="43"/>
    <w:qFormat/>
    <w:uiPriority w:val="0"/>
    <w:pPr>
      <w:widowControl/>
      <w:numPr>
        <w:ilvl w:val="0"/>
        <w:numId w:val="1"/>
      </w:numPr>
      <w:jc w:val="left"/>
      <w:outlineLvl w:val="5"/>
    </w:pPr>
    <w:rPr>
      <w:szCs w:val="22"/>
    </w:rPr>
  </w:style>
  <w:style w:type="paragraph" w:customStyle="1" w:styleId="45">
    <w:name w:val="Char Char Char Char Char Char"/>
    <w:basedOn w:val="1"/>
    <w:qFormat/>
    <w:uiPriority w:val="0"/>
    <w:pPr>
      <w:spacing w:line="360" w:lineRule="auto"/>
    </w:pPr>
    <w:rPr>
      <w:rFonts w:ascii="Tahoma" w:hAnsi="Tahoma"/>
      <w:sz w:val="24"/>
      <w:szCs w:val="20"/>
    </w:rPr>
  </w:style>
  <w:style w:type="paragraph" w:customStyle="1" w:styleId="46">
    <w:name w:val="列表段落1"/>
    <w:basedOn w:val="1"/>
    <w:qFormat/>
    <w:uiPriority w:val="99"/>
    <w:pPr>
      <w:ind w:firstLine="420" w:firstLineChars="200"/>
    </w:pPr>
  </w:style>
  <w:style w:type="paragraph" w:customStyle="1" w:styleId="47">
    <w:name w:val="标准标志"/>
    <w:next w:val="1"/>
    <w:qFormat/>
    <w:uiPriority w:val="0"/>
    <w:pPr>
      <w:shd w:val="solid" w:color="FFFFFF" w:fill="FFFFFF"/>
      <w:spacing w:line="0" w:lineRule="atLeast"/>
      <w:jc w:val="right"/>
    </w:pPr>
    <w:rPr>
      <w:rFonts w:ascii="Times New Roman" w:hAnsi="Times New Roman" w:eastAsia="宋体" w:cs="Times New Roman"/>
      <w:b/>
      <w:w w:val="130"/>
      <w:sz w:val="96"/>
      <w:lang w:val="en-US" w:eastAsia="zh-CN" w:bidi="ar-SA"/>
    </w:rPr>
  </w:style>
  <w:style w:type="paragraph" w:customStyle="1" w:styleId="48">
    <w:name w:val="一级条标题"/>
    <w:next w:val="49"/>
    <w:qFormat/>
    <w:uiPriority w:val="0"/>
    <w:pPr>
      <w:spacing w:beforeLines="50" w:afterLines="50"/>
      <w:outlineLvl w:val="2"/>
    </w:pPr>
    <w:rPr>
      <w:rFonts w:ascii="黑体" w:hAnsi="Times New Roman" w:eastAsia="黑体" w:cs="Times New Roman"/>
      <w:sz w:val="21"/>
      <w:szCs w:val="21"/>
      <w:lang w:val="en-US" w:eastAsia="zh-CN" w:bidi="ar-SA"/>
    </w:rPr>
  </w:style>
  <w:style w:type="paragraph" w:customStyle="1" w:styleId="49">
    <w:name w:val="段"/>
    <w:qFormat/>
    <w:uiPriority w:val="0"/>
    <w:pPr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50">
    <w:name w:val="实施日期"/>
    <w:basedOn w:val="51"/>
    <w:qFormat/>
    <w:uiPriority w:val="0"/>
    <w:pPr>
      <w:jc w:val="right"/>
    </w:pPr>
  </w:style>
  <w:style w:type="paragraph" w:customStyle="1" w:styleId="51">
    <w:name w:val="发布日期"/>
    <w:qFormat/>
    <w:uiPriority w:val="0"/>
    <w:rPr>
      <w:rFonts w:ascii="Times New Roman" w:hAnsi="Times New Roman" w:eastAsia="黑体" w:cs="Times New Roman"/>
      <w:sz w:val="28"/>
      <w:lang w:val="en-US" w:eastAsia="zh-CN" w:bidi="ar-SA"/>
    </w:rPr>
  </w:style>
  <w:style w:type="paragraph" w:customStyle="1" w:styleId="52">
    <w:name w:val="四级条标题"/>
    <w:basedOn w:val="1"/>
    <w:next w:val="49"/>
    <w:qFormat/>
    <w:uiPriority w:val="0"/>
    <w:pPr>
      <w:widowControl/>
      <w:numPr>
        <w:ilvl w:val="5"/>
        <w:numId w:val="2"/>
      </w:numPr>
      <w:spacing w:beforeLines="50" w:afterLines="50"/>
      <w:jc w:val="left"/>
      <w:outlineLvl w:val="5"/>
    </w:pPr>
    <w:rPr>
      <w:rFonts w:ascii="黑体" w:eastAsia="黑体"/>
      <w:kern w:val="0"/>
      <w:szCs w:val="21"/>
    </w:rPr>
  </w:style>
  <w:style w:type="paragraph" w:customStyle="1" w:styleId="53">
    <w:name w:val="标准书眉_奇数页"/>
    <w:next w:val="1"/>
    <w:qFormat/>
    <w:uiPriority w:val="0"/>
    <w:pPr>
      <w:tabs>
        <w:tab w:val="center" w:pos="4154"/>
        <w:tab w:val="right" w:pos="8306"/>
      </w:tabs>
      <w:spacing w:after="120"/>
      <w:jc w:val="right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customStyle="1" w:styleId="54">
    <w:name w:val="章标题"/>
    <w:next w:val="49"/>
    <w:qFormat/>
    <w:uiPriority w:val="0"/>
    <w:pPr>
      <w:spacing w:beforeLines="100" w:afterLines="100"/>
      <w:jc w:val="both"/>
      <w:outlineLvl w:val="1"/>
    </w:pPr>
    <w:rPr>
      <w:rFonts w:ascii="黑体" w:hAnsi="Times New Roman" w:eastAsia="黑体" w:cs="Times New Roman"/>
      <w:sz w:val="21"/>
      <w:lang w:val="en-US" w:eastAsia="zh-CN" w:bidi="ar-SA"/>
    </w:rPr>
  </w:style>
  <w:style w:type="paragraph" w:customStyle="1" w:styleId="55">
    <w:name w:val="Char"/>
    <w:basedOn w:val="1"/>
    <w:qFormat/>
    <w:uiPriority w:val="0"/>
    <w:pPr>
      <w:spacing w:line="360" w:lineRule="auto"/>
    </w:pPr>
    <w:rPr>
      <w:rFonts w:ascii="Tahoma" w:hAnsi="Tahoma"/>
      <w:sz w:val="24"/>
      <w:szCs w:val="20"/>
    </w:rPr>
  </w:style>
  <w:style w:type="paragraph" w:customStyle="1" w:styleId="56">
    <w:name w:val="Char Char Char Char Char Char Char Char Char Char"/>
    <w:basedOn w:val="1"/>
    <w:qFormat/>
    <w:uiPriority w:val="0"/>
    <w:pPr>
      <w:spacing w:line="360" w:lineRule="auto"/>
    </w:pPr>
    <w:rPr>
      <w:rFonts w:ascii="Tahoma" w:hAnsi="Tahoma"/>
      <w:sz w:val="24"/>
      <w:szCs w:val="20"/>
    </w:rPr>
  </w:style>
  <w:style w:type="paragraph" w:customStyle="1" w:styleId="57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customStyle="1" w:styleId="58">
    <w:name w:val="工程建设节标题"/>
    <w:basedOn w:val="59"/>
    <w:next w:val="49"/>
    <w:qFormat/>
    <w:uiPriority w:val="0"/>
    <w:pPr>
      <w:numPr>
        <w:ilvl w:val="2"/>
      </w:numPr>
      <w:spacing w:before="400" w:after="400" w:line="240" w:lineRule="auto"/>
      <w:outlineLvl w:val="2"/>
    </w:pPr>
    <w:rPr>
      <w:sz w:val="21"/>
    </w:rPr>
  </w:style>
  <w:style w:type="paragraph" w:customStyle="1" w:styleId="59">
    <w:name w:val="工程建设章标题"/>
    <w:next w:val="49"/>
    <w:qFormat/>
    <w:uiPriority w:val="0"/>
    <w:pPr>
      <w:numPr>
        <w:ilvl w:val="1"/>
        <w:numId w:val="3"/>
      </w:numPr>
      <w:spacing w:before="640" w:after="560" w:line="480" w:lineRule="exact"/>
      <w:jc w:val="center"/>
      <w:outlineLvl w:val="1"/>
    </w:pPr>
    <w:rPr>
      <w:rFonts w:ascii="黑体" w:hAnsi="Times New Roman" w:eastAsia="黑体" w:cs="Times New Roman"/>
      <w:b/>
      <w:sz w:val="28"/>
      <w:lang w:val="en-US" w:eastAsia="zh-CN" w:bidi="ar-SA"/>
    </w:rPr>
  </w:style>
  <w:style w:type="paragraph" w:customStyle="1" w:styleId="60">
    <w:name w:val="附录表标题"/>
    <w:basedOn w:val="1"/>
    <w:next w:val="1"/>
    <w:qFormat/>
    <w:uiPriority w:val="0"/>
    <w:pPr>
      <w:widowControl/>
      <w:numPr>
        <w:ilvl w:val="0"/>
        <w:numId w:val="4"/>
      </w:numPr>
      <w:tabs>
        <w:tab w:val="left" w:pos="210"/>
        <w:tab w:val="left" w:pos="420"/>
        <w:tab w:val="clear" w:pos="360"/>
      </w:tabs>
      <w:jc w:val="center"/>
      <w:textAlignment w:val="baseline"/>
    </w:pPr>
    <w:rPr>
      <w:rFonts w:ascii="宋体"/>
      <w:b/>
      <w:kern w:val="21"/>
      <w:szCs w:val="20"/>
    </w:rPr>
  </w:style>
  <w:style w:type="paragraph" w:customStyle="1" w:styleId="61">
    <w:name w:val="工程建设表标题"/>
    <w:basedOn w:val="62"/>
    <w:qFormat/>
    <w:uiPriority w:val="0"/>
    <w:pPr>
      <w:numPr>
        <w:ilvl w:val="4"/>
        <w:numId w:val="3"/>
      </w:numPr>
      <w:tabs>
        <w:tab w:val="left" w:pos="284"/>
      </w:tabs>
      <w:jc w:val="center"/>
      <w:outlineLvl w:val="4"/>
    </w:pPr>
  </w:style>
  <w:style w:type="paragraph" w:customStyle="1" w:styleId="62">
    <w:name w:val="工程建设条标题"/>
    <w:basedOn w:val="58"/>
    <w:next w:val="49"/>
    <w:qFormat/>
    <w:uiPriority w:val="0"/>
    <w:pPr>
      <w:numPr>
        <w:ilvl w:val="3"/>
        <w:numId w:val="5"/>
      </w:numPr>
      <w:tabs>
        <w:tab w:val="left" w:pos="284"/>
      </w:tabs>
      <w:spacing w:before="0" w:after="0" w:line="360" w:lineRule="auto"/>
      <w:jc w:val="left"/>
      <w:outlineLvl w:val="3"/>
    </w:pPr>
    <w:rPr>
      <w:b w:val="0"/>
    </w:rPr>
  </w:style>
  <w:style w:type="paragraph" w:customStyle="1" w:styleId="63">
    <w:name w:val="标准书脚_偶数页"/>
    <w:qFormat/>
    <w:uiPriority w:val="0"/>
    <w:pPr>
      <w:spacing w:before="120"/>
    </w:pPr>
    <w:rPr>
      <w:rFonts w:ascii="Times New Roman" w:hAnsi="Times New Roman" w:eastAsia="宋体" w:cs="Times New Roman"/>
      <w:sz w:val="18"/>
      <w:lang w:val="en-US" w:eastAsia="zh-CN" w:bidi="ar-SA"/>
    </w:rPr>
  </w:style>
  <w:style w:type="paragraph" w:customStyle="1" w:styleId="64">
    <w:name w:val="工程建设款标题"/>
    <w:basedOn w:val="62"/>
    <w:qFormat/>
    <w:uiPriority w:val="0"/>
    <w:pPr>
      <w:numPr>
        <w:ilvl w:val="7"/>
        <w:numId w:val="3"/>
      </w:numPr>
      <w:tabs>
        <w:tab w:val="clear" w:pos="284"/>
      </w:tabs>
      <w:outlineLvl w:val="9"/>
    </w:pPr>
  </w:style>
  <w:style w:type="paragraph" w:customStyle="1" w:styleId="65">
    <w:name w:val="文献分类号"/>
    <w:qFormat/>
    <w:uiPriority w:val="0"/>
    <w:pPr>
      <w:widowControl w:val="0"/>
      <w:textAlignment w:val="center"/>
    </w:pPr>
    <w:rPr>
      <w:rFonts w:ascii="Times New Roman" w:hAnsi="Times New Roman" w:eastAsia="黑体" w:cs="Times New Roman"/>
      <w:sz w:val="21"/>
      <w:lang w:val="en-US" w:eastAsia="zh-CN" w:bidi="ar-SA"/>
    </w:rPr>
  </w:style>
  <w:style w:type="paragraph" w:customStyle="1" w:styleId="66">
    <w:name w:val="正文格式"/>
    <w:basedOn w:val="1"/>
    <w:qFormat/>
    <w:uiPriority w:val="0"/>
    <w:pPr>
      <w:topLinePunct/>
      <w:ind w:firstLine="420" w:firstLineChars="200"/>
    </w:pPr>
    <w:rPr>
      <w:rFonts w:ascii="宋体" w:hAnsi="宋体"/>
      <w:bCs/>
      <w:szCs w:val="21"/>
    </w:rPr>
  </w:style>
  <w:style w:type="paragraph" w:customStyle="1" w:styleId="67">
    <w:name w:val="封面正文"/>
    <w:qFormat/>
    <w:uiPriority w:val="0"/>
    <w:pPr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68">
    <w:name w:val="标准称谓"/>
    <w:next w:val="1"/>
    <w:qFormat/>
    <w:uiPriority w:val="0"/>
    <w:pPr>
      <w:widowControl w:val="0"/>
      <w:kinsoku w:val="0"/>
      <w:overflowPunct w:val="0"/>
      <w:autoSpaceDE w:val="0"/>
      <w:autoSpaceDN w:val="0"/>
      <w:spacing w:line="0" w:lineRule="atLeast"/>
      <w:jc w:val="distribute"/>
    </w:pPr>
    <w:rPr>
      <w:rFonts w:ascii="宋体" w:hAnsi="Times New Roman" w:eastAsia="宋体" w:cs="Times New Roman"/>
      <w:b/>
      <w:bCs/>
      <w:spacing w:val="20"/>
      <w:w w:val="148"/>
      <w:sz w:val="52"/>
      <w:lang w:val="en-US" w:eastAsia="zh-CN" w:bidi="ar-SA"/>
    </w:rPr>
  </w:style>
  <w:style w:type="paragraph" w:customStyle="1" w:styleId="69">
    <w:name w:val="封面标准英文名称"/>
    <w:qFormat/>
    <w:uiPriority w:val="0"/>
    <w:pPr>
      <w:widowControl w:val="0"/>
      <w:spacing w:before="370" w:line="400" w:lineRule="exact"/>
      <w:jc w:val="center"/>
    </w:pPr>
    <w:rPr>
      <w:rFonts w:ascii="Times New Roman" w:hAnsi="Times New Roman" w:eastAsia="宋体" w:cs="Times New Roman"/>
      <w:sz w:val="28"/>
      <w:lang w:val="en-US" w:eastAsia="zh-CN" w:bidi="ar-SA"/>
    </w:rPr>
  </w:style>
  <w:style w:type="paragraph" w:customStyle="1" w:styleId="70">
    <w:name w:val="Char Char Char Char Char Char Char"/>
    <w:basedOn w:val="1"/>
    <w:qFormat/>
    <w:uiPriority w:val="0"/>
    <w:pPr>
      <w:spacing w:line="360" w:lineRule="auto"/>
    </w:pPr>
    <w:rPr>
      <w:rFonts w:ascii="Tahoma" w:hAnsi="Tahoma"/>
      <w:sz w:val="24"/>
      <w:szCs w:val="20"/>
    </w:rPr>
  </w:style>
  <w:style w:type="paragraph" w:customStyle="1" w:styleId="71">
    <w:name w:val="Char1 Char Char Char Char Char Char Char Char Char Char Char Char"/>
    <w:basedOn w:val="1"/>
    <w:qFormat/>
    <w:uiPriority w:val="0"/>
    <w:pPr>
      <w:pageBreakBefore/>
      <w:tabs>
        <w:tab w:val="left" w:pos="432"/>
      </w:tabs>
      <w:ind w:left="432" w:hanging="432"/>
    </w:pPr>
    <w:rPr>
      <w:rFonts w:ascii="Tahoma" w:hAnsi="Tahoma"/>
      <w:sz w:val="24"/>
      <w:szCs w:val="20"/>
    </w:rPr>
  </w:style>
  <w:style w:type="paragraph" w:customStyle="1" w:styleId="72">
    <w:name w:val="工程建设图标题"/>
    <w:basedOn w:val="62"/>
    <w:qFormat/>
    <w:uiPriority w:val="0"/>
    <w:pPr>
      <w:numPr>
        <w:ilvl w:val="5"/>
        <w:numId w:val="3"/>
      </w:numPr>
      <w:jc w:val="center"/>
      <w:outlineLvl w:val="5"/>
    </w:pPr>
  </w:style>
  <w:style w:type="paragraph" w:customStyle="1" w:styleId="73">
    <w:name w:val="三级条标题"/>
    <w:basedOn w:val="74"/>
    <w:next w:val="49"/>
    <w:qFormat/>
    <w:uiPriority w:val="0"/>
    <w:pPr>
      <w:numPr>
        <w:ilvl w:val="4"/>
      </w:numPr>
      <w:tabs>
        <w:tab w:val="left" w:pos="2162"/>
      </w:tabs>
      <w:outlineLvl w:val="4"/>
    </w:pPr>
  </w:style>
  <w:style w:type="paragraph" w:customStyle="1" w:styleId="74">
    <w:name w:val="二级条标题"/>
    <w:basedOn w:val="48"/>
    <w:next w:val="49"/>
    <w:qFormat/>
    <w:uiPriority w:val="0"/>
    <w:pPr>
      <w:numPr>
        <w:ilvl w:val="3"/>
        <w:numId w:val="2"/>
      </w:numPr>
      <w:spacing w:beforeLines="0" w:afterLines="0"/>
      <w:outlineLvl w:val="3"/>
    </w:pPr>
  </w:style>
  <w:style w:type="paragraph" w:customStyle="1" w:styleId="75">
    <w:name w:val="标准书脚_奇数页"/>
    <w:qFormat/>
    <w:uiPriority w:val="0"/>
    <w:pPr>
      <w:spacing w:before="120"/>
      <w:jc w:val="right"/>
    </w:pPr>
    <w:rPr>
      <w:rFonts w:ascii="Times New Roman" w:hAnsi="Times New Roman" w:eastAsia="宋体" w:cs="Times New Roman"/>
      <w:sz w:val="18"/>
      <w:lang w:val="en-US" w:eastAsia="zh-CN" w:bidi="ar-SA"/>
    </w:rPr>
  </w:style>
  <w:style w:type="paragraph" w:customStyle="1" w:styleId="76">
    <w:name w:val="封面标准号1"/>
    <w:qFormat/>
    <w:uiPriority w:val="0"/>
    <w:pPr>
      <w:widowControl w:val="0"/>
      <w:kinsoku w:val="0"/>
      <w:overflowPunct w:val="0"/>
      <w:autoSpaceDE w:val="0"/>
      <w:autoSpaceDN w:val="0"/>
      <w:spacing w:before="308"/>
      <w:jc w:val="right"/>
      <w:textAlignment w:val="center"/>
    </w:pPr>
    <w:rPr>
      <w:rFonts w:ascii="Times New Roman" w:hAnsi="Times New Roman" w:eastAsia="宋体" w:cs="Times New Roman"/>
      <w:sz w:val="28"/>
      <w:lang w:val="en-US" w:eastAsia="zh-CN" w:bidi="ar-SA"/>
    </w:rPr>
  </w:style>
  <w:style w:type="paragraph" w:customStyle="1" w:styleId="77">
    <w:name w:val="封面一致性程度标识"/>
    <w:qFormat/>
    <w:uiPriority w:val="0"/>
    <w:pPr>
      <w:spacing w:before="440" w:line="400" w:lineRule="exact"/>
      <w:jc w:val="center"/>
    </w:pPr>
    <w:rPr>
      <w:rFonts w:ascii="宋体" w:hAnsi="Times New Roman" w:eastAsia="宋体" w:cs="Times New Roman"/>
      <w:sz w:val="28"/>
      <w:lang w:val="en-US" w:eastAsia="zh-CN" w:bidi="ar-SA"/>
    </w:rPr>
  </w:style>
  <w:style w:type="paragraph" w:customStyle="1" w:styleId="78">
    <w:name w:val="标准书眉一"/>
    <w:qFormat/>
    <w:uiPriority w:val="0"/>
    <w:pPr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79">
    <w:name w:val="工程建设公式标题"/>
    <w:basedOn w:val="62"/>
    <w:qFormat/>
    <w:uiPriority w:val="0"/>
    <w:pPr>
      <w:numPr>
        <w:ilvl w:val="6"/>
        <w:numId w:val="3"/>
      </w:numPr>
      <w:jc w:val="center"/>
      <w:outlineLvl w:val="6"/>
    </w:pPr>
  </w:style>
  <w:style w:type="paragraph" w:customStyle="1" w:styleId="80">
    <w:name w:val="正文(编号)小项"/>
    <w:basedOn w:val="1"/>
    <w:semiHidden/>
    <w:qFormat/>
    <w:uiPriority w:val="0"/>
    <w:pPr>
      <w:widowControl/>
      <w:numPr>
        <w:ilvl w:val="0"/>
        <w:numId w:val="6"/>
      </w:numPr>
      <w:jc w:val="left"/>
      <w:outlineLvl w:val="6"/>
    </w:pPr>
    <w:rPr>
      <w:szCs w:val="22"/>
    </w:rPr>
  </w:style>
  <w:style w:type="paragraph" w:customStyle="1" w:styleId="81">
    <w:name w:val="标准书眉_偶数页"/>
    <w:basedOn w:val="53"/>
    <w:next w:val="1"/>
    <w:qFormat/>
    <w:uiPriority w:val="0"/>
    <w:pPr>
      <w:jc w:val="left"/>
    </w:pPr>
  </w:style>
  <w:style w:type="paragraph" w:customStyle="1" w:styleId="82">
    <w:name w:val="目次、索引正文"/>
    <w:qFormat/>
    <w:uiPriority w:val="0"/>
    <w:pPr>
      <w:spacing w:line="320" w:lineRule="exact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83">
    <w:name w:val="C"/>
    <w:basedOn w:val="1"/>
    <w:qFormat/>
    <w:uiPriority w:val="0"/>
    <w:pPr>
      <w:tabs>
        <w:tab w:val="left" w:pos="5600"/>
      </w:tabs>
      <w:adjustRightInd w:val="0"/>
      <w:spacing w:line="480" w:lineRule="atLeast"/>
      <w:textAlignment w:val="baseline"/>
    </w:pPr>
    <w:rPr>
      <w:spacing w:val="4"/>
      <w:kern w:val="0"/>
      <w:sz w:val="28"/>
      <w:szCs w:val="20"/>
    </w:rPr>
  </w:style>
  <w:style w:type="paragraph" w:customStyle="1" w:styleId="84">
    <w:name w:val="工程建设无节条标题"/>
    <w:basedOn w:val="1"/>
    <w:next w:val="49"/>
    <w:qFormat/>
    <w:uiPriority w:val="0"/>
    <w:pPr>
      <w:numPr>
        <w:ilvl w:val="8"/>
        <w:numId w:val="3"/>
      </w:numPr>
      <w:outlineLvl w:val="3"/>
    </w:pPr>
  </w:style>
  <w:style w:type="paragraph" w:customStyle="1" w:styleId="85">
    <w:name w:val="其他发布部门"/>
    <w:basedOn w:val="1"/>
    <w:qFormat/>
    <w:uiPriority w:val="0"/>
    <w:pPr>
      <w:widowControl/>
      <w:spacing w:line="0" w:lineRule="atLeast"/>
      <w:jc w:val="center"/>
    </w:pPr>
    <w:rPr>
      <w:rFonts w:ascii="黑体" w:eastAsia="黑体"/>
      <w:spacing w:val="20"/>
      <w:w w:val="135"/>
      <w:kern w:val="0"/>
      <w:sz w:val="36"/>
      <w:szCs w:val="20"/>
    </w:rPr>
  </w:style>
  <w:style w:type="paragraph" w:customStyle="1" w:styleId="86">
    <w:name w:val="封面标准文稿编辑信息"/>
    <w:qFormat/>
    <w:uiPriority w:val="0"/>
    <w:pPr>
      <w:spacing w:before="180" w:line="180" w:lineRule="exact"/>
      <w:jc w:val="center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87">
    <w:name w:val="Char Char Char1 Char Char Char Char"/>
    <w:basedOn w:val="1"/>
    <w:semiHidden/>
    <w:qFormat/>
    <w:uiPriority w:val="0"/>
    <w:pPr>
      <w:topLinePunct/>
    </w:pPr>
  </w:style>
  <w:style w:type="paragraph" w:customStyle="1" w:styleId="88">
    <w:name w:val="xl24"/>
    <w:basedOn w:val="1"/>
    <w:qFormat/>
    <w:uiPriority w:val="0"/>
    <w:pPr>
      <w:widowControl/>
      <w:pBdr>
        <w:bottom w:val="single" w:color="auto" w:sz="4" w:space="0"/>
        <w:right w:val="single" w:color="auto" w:sz="4" w:space="0"/>
      </w:pBdr>
      <w:spacing w:before="100" w:beforeAutospacing="1" w:after="100" w:afterAutospacing="1"/>
    </w:pPr>
    <w:rPr>
      <w:rFonts w:eastAsia="Arial Unicode MS"/>
      <w:kern w:val="0"/>
      <w:szCs w:val="21"/>
    </w:rPr>
  </w:style>
  <w:style w:type="paragraph" w:customStyle="1" w:styleId="89">
    <w:name w:val="封面标准名称"/>
    <w:qFormat/>
    <w:uiPriority w:val="0"/>
    <w:pPr>
      <w:widowControl w:val="0"/>
      <w:spacing w:line="680" w:lineRule="exact"/>
      <w:jc w:val="center"/>
      <w:textAlignment w:val="center"/>
    </w:pPr>
    <w:rPr>
      <w:rFonts w:ascii="黑体" w:hAnsi="Times New Roman" w:eastAsia="黑体" w:cs="Times New Roman"/>
      <w:sz w:val="52"/>
      <w:lang w:val="en-US" w:eastAsia="zh-CN" w:bidi="ar-SA"/>
    </w:rPr>
  </w:style>
  <w:style w:type="paragraph" w:customStyle="1" w:styleId="90">
    <w:name w:val="PARAGRAPH"/>
    <w:qFormat/>
    <w:uiPriority w:val="99"/>
    <w:pPr>
      <w:tabs>
        <w:tab w:val="center" w:pos="4536"/>
        <w:tab w:val="right" w:pos="9072"/>
      </w:tabs>
      <w:spacing w:before="100" w:after="200"/>
      <w:jc w:val="both"/>
    </w:pPr>
    <w:rPr>
      <w:rFonts w:ascii="Arial" w:hAnsi="Arial" w:eastAsia="宋体" w:cs="Times New Roman"/>
      <w:spacing w:val="8"/>
      <w:lang w:val="en-US" w:eastAsia="en-US" w:bidi="ar-SA"/>
    </w:rPr>
  </w:style>
  <w:style w:type="paragraph" w:customStyle="1" w:styleId="91">
    <w:name w:val="样式 (中文) 黑体 二号 行距: 1.5 倍行距"/>
    <w:basedOn w:val="1"/>
    <w:qFormat/>
    <w:uiPriority w:val="0"/>
    <w:pPr>
      <w:spacing w:line="360" w:lineRule="auto"/>
    </w:pPr>
    <w:rPr>
      <w:sz w:val="44"/>
      <w:szCs w:val="20"/>
    </w:rPr>
  </w:style>
  <w:style w:type="paragraph" w:customStyle="1" w:styleId="92">
    <w:name w:val="默认段落字体 Para Char Char Char Char"/>
    <w:basedOn w:val="1"/>
    <w:qFormat/>
    <w:uiPriority w:val="0"/>
  </w:style>
  <w:style w:type="paragraph" w:customStyle="1" w:styleId="93">
    <w:name w:val="正文表标题"/>
    <w:next w:val="49"/>
    <w:qFormat/>
    <w:uiPriority w:val="0"/>
    <w:pPr>
      <w:numPr>
        <w:ilvl w:val="0"/>
        <w:numId w:val="7"/>
      </w:numPr>
      <w:tabs>
        <w:tab w:val="left" w:pos="360"/>
      </w:tabs>
      <w:spacing w:beforeLines="50" w:afterLines="50"/>
      <w:jc w:val="center"/>
    </w:pPr>
    <w:rPr>
      <w:rFonts w:ascii="黑体" w:hAnsi="Times New Roman" w:eastAsia="黑体" w:cs="Times New Roman"/>
      <w:sz w:val="21"/>
      <w:lang w:val="en-US" w:eastAsia="zh-CN" w:bidi="ar-SA"/>
    </w:rPr>
  </w:style>
  <w:style w:type="paragraph" w:customStyle="1" w:styleId="94">
    <w:name w:val="样式 正文首行缩进 + 段前: 0.5 行 段后: 0.5 行"/>
    <w:basedOn w:val="34"/>
    <w:qFormat/>
    <w:uiPriority w:val="0"/>
    <w:pPr>
      <w:spacing w:before="156" w:after="156"/>
      <w:ind w:firstLine="0" w:firstLineChars="0"/>
    </w:pPr>
    <w:rPr>
      <w:szCs w:val="20"/>
    </w:rPr>
  </w:style>
  <w:style w:type="paragraph" w:customStyle="1" w:styleId="95">
    <w:name w:val="_Style 34"/>
    <w:basedOn w:val="1"/>
    <w:qFormat/>
    <w:uiPriority w:val="34"/>
    <w:pPr>
      <w:ind w:firstLine="420"/>
    </w:pPr>
    <w:rPr>
      <w:rFonts w:ascii="Calibri" w:hAnsi="Calibri"/>
      <w:szCs w:val="21"/>
    </w:rPr>
  </w:style>
  <w:style w:type="paragraph" w:customStyle="1" w:styleId="96">
    <w:name w:val="正文-一体化"/>
    <w:basedOn w:val="1"/>
    <w:qFormat/>
    <w:uiPriority w:val="0"/>
    <w:pPr>
      <w:adjustRightInd w:val="0"/>
      <w:snapToGrid w:val="0"/>
      <w:spacing w:line="360" w:lineRule="auto"/>
      <w:ind w:firstLine="480"/>
    </w:pPr>
    <w:rPr>
      <w:kern w:val="0"/>
    </w:rPr>
  </w:style>
  <w:style w:type="paragraph" w:customStyle="1" w:styleId="97">
    <w:name w:val="列表段落2"/>
    <w:basedOn w:val="1"/>
    <w:qFormat/>
    <w:uiPriority w:val="99"/>
    <w:pPr>
      <w:ind w:firstLine="420" w:firstLineChars="200"/>
    </w:pPr>
  </w:style>
  <w:style w:type="character" w:customStyle="1" w:styleId="98">
    <w:name w:val="yq正文 Char"/>
    <w:link w:val="99"/>
    <w:qFormat/>
    <w:uiPriority w:val="0"/>
    <w:rPr>
      <w:kern w:val="2"/>
      <w:sz w:val="21"/>
      <w:szCs w:val="22"/>
    </w:rPr>
  </w:style>
  <w:style w:type="paragraph" w:customStyle="1" w:styleId="99">
    <w:name w:val="yq正文"/>
    <w:basedOn w:val="1"/>
    <w:link w:val="98"/>
    <w:qFormat/>
    <w:uiPriority w:val="0"/>
    <w:pPr>
      <w:spacing w:line="360" w:lineRule="auto"/>
      <w:ind w:firstLine="196" w:firstLineChars="196"/>
    </w:pPr>
    <w:rPr>
      <w:szCs w:val="22"/>
    </w:rPr>
  </w:style>
  <w:style w:type="character" w:customStyle="1" w:styleId="100">
    <w:name w:val="yq标题2 Char"/>
    <w:link w:val="101"/>
    <w:qFormat/>
    <w:uiPriority w:val="0"/>
    <w:rPr>
      <w:rFonts w:ascii="Cambria" w:hAnsi="Cambria"/>
      <w:bCs/>
      <w:kern w:val="2"/>
      <w:sz w:val="21"/>
      <w:szCs w:val="21"/>
    </w:rPr>
  </w:style>
  <w:style w:type="paragraph" w:customStyle="1" w:styleId="101">
    <w:name w:val="yq标题2"/>
    <w:basedOn w:val="5"/>
    <w:link w:val="100"/>
    <w:qFormat/>
    <w:uiPriority w:val="0"/>
    <w:pPr>
      <w:widowControl/>
      <w:numPr>
        <w:ilvl w:val="1"/>
        <w:numId w:val="8"/>
      </w:numPr>
      <w:adjustRightInd/>
      <w:spacing w:before="0" w:after="0" w:line="360" w:lineRule="auto"/>
      <w:textAlignment w:val="auto"/>
    </w:pPr>
    <w:rPr>
      <w:rFonts w:ascii="Cambria" w:hAnsi="Cambria" w:eastAsia="宋体"/>
      <w:bCs/>
      <w:kern w:val="2"/>
      <w:sz w:val="21"/>
      <w:szCs w:val="21"/>
    </w:rPr>
  </w:style>
  <w:style w:type="paragraph" w:customStyle="1" w:styleId="102">
    <w:name w:val="yq标题3"/>
    <w:basedOn w:val="101"/>
    <w:link w:val="108"/>
    <w:qFormat/>
    <w:uiPriority w:val="0"/>
    <w:pPr>
      <w:numPr>
        <w:ilvl w:val="2"/>
      </w:numPr>
      <w:tabs>
        <w:tab w:val="left" w:pos="360"/>
        <w:tab w:val="left" w:pos="1605"/>
      </w:tabs>
      <w:ind w:left="1605" w:hanging="450"/>
      <w:outlineLvl w:val="2"/>
    </w:pPr>
  </w:style>
  <w:style w:type="paragraph" w:customStyle="1" w:styleId="103">
    <w:name w:val="yq标题1"/>
    <w:basedOn w:val="4"/>
    <w:qFormat/>
    <w:uiPriority w:val="0"/>
    <w:pPr>
      <w:widowControl/>
      <w:numPr>
        <w:ilvl w:val="0"/>
        <w:numId w:val="8"/>
      </w:numPr>
      <w:tabs>
        <w:tab w:val="left" w:pos="360"/>
      </w:tabs>
      <w:spacing w:before="0" w:after="0" w:line="360" w:lineRule="auto"/>
      <w:ind w:left="425" w:firstLine="200"/>
      <w:jc w:val="left"/>
    </w:pPr>
    <w:rPr>
      <w:rFonts w:ascii="黑体" w:hAnsi="黑体" w:eastAsia="黑体"/>
      <w:sz w:val="24"/>
      <w:szCs w:val="24"/>
    </w:rPr>
  </w:style>
  <w:style w:type="character" w:customStyle="1" w:styleId="104">
    <w:name w:val="!s_正文 Char"/>
    <w:link w:val="105"/>
    <w:qFormat/>
    <w:uiPriority w:val="0"/>
    <w:rPr>
      <w:kern w:val="2"/>
      <w:sz w:val="21"/>
      <w:szCs w:val="28"/>
    </w:rPr>
  </w:style>
  <w:style w:type="paragraph" w:customStyle="1" w:styleId="105">
    <w:name w:val="!s_正文"/>
    <w:basedOn w:val="1"/>
    <w:link w:val="104"/>
    <w:qFormat/>
    <w:uiPriority w:val="0"/>
    <w:pPr>
      <w:widowControl/>
      <w:spacing w:line="480" w:lineRule="exact"/>
      <w:ind w:firstLine="200" w:firstLineChars="200"/>
      <w:jc w:val="left"/>
    </w:pPr>
    <w:rPr>
      <w:szCs w:val="28"/>
    </w:rPr>
  </w:style>
  <w:style w:type="character" w:customStyle="1" w:styleId="106">
    <w:name w:val="二级标题 Char"/>
    <w:link w:val="107"/>
    <w:qFormat/>
    <w:uiPriority w:val="0"/>
    <w:rPr>
      <w:rFonts w:eastAsia="黑体"/>
      <w:color w:val="000000"/>
      <w:kern w:val="21"/>
    </w:rPr>
  </w:style>
  <w:style w:type="paragraph" w:customStyle="1" w:styleId="107">
    <w:name w:val="二级标题"/>
    <w:basedOn w:val="1"/>
    <w:link w:val="106"/>
    <w:qFormat/>
    <w:uiPriority w:val="0"/>
    <w:pPr>
      <w:widowControl/>
      <w:wordWrap w:val="0"/>
      <w:overflowPunct w:val="0"/>
      <w:autoSpaceDE w:val="0"/>
      <w:spacing w:afterLines="50" w:line="360" w:lineRule="auto"/>
      <w:contextualSpacing/>
      <w:jc w:val="left"/>
      <w:textAlignment w:val="baseline"/>
      <w:outlineLvl w:val="1"/>
    </w:pPr>
    <w:rPr>
      <w:rFonts w:eastAsia="黑体"/>
      <w:color w:val="000000"/>
      <w:kern w:val="21"/>
      <w:sz w:val="20"/>
      <w:szCs w:val="20"/>
    </w:rPr>
  </w:style>
  <w:style w:type="character" w:customStyle="1" w:styleId="108">
    <w:name w:val="yq标题3 Char"/>
    <w:link w:val="102"/>
    <w:qFormat/>
    <w:uiPriority w:val="0"/>
    <w:rPr>
      <w:rFonts w:ascii="Cambria" w:hAnsi="Cambria"/>
      <w:bCs/>
      <w:kern w:val="2"/>
      <w:sz w:val="21"/>
      <w:szCs w:val="21"/>
    </w:rPr>
  </w:style>
  <w:style w:type="paragraph" w:customStyle="1" w:styleId="109">
    <w:name w:val="yq4"/>
    <w:basedOn w:val="1"/>
    <w:qFormat/>
    <w:uiPriority w:val="0"/>
    <w:pPr>
      <w:keepNext/>
      <w:keepLines/>
      <w:widowControl/>
      <w:spacing w:line="360" w:lineRule="auto"/>
      <w:ind w:left="1984" w:hanging="1530"/>
      <w:outlineLvl w:val="3"/>
    </w:pPr>
    <w:rPr>
      <w:rFonts w:ascii="Cambria" w:hAnsi="Cambria"/>
      <w:bCs/>
      <w:szCs w:val="21"/>
    </w:rPr>
  </w:style>
  <w:style w:type="paragraph" w:customStyle="1" w:styleId="110">
    <w:name w:val="yq5"/>
    <w:basedOn w:val="109"/>
    <w:qFormat/>
    <w:uiPriority w:val="0"/>
    <w:pPr>
      <w:ind w:left="2551" w:hanging="850"/>
      <w:outlineLvl w:val="4"/>
    </w:pPr>
  </w:style>
  <w:style w:type="character" w:customStyle="1" w:styleId="111">
    <w:name w:val="正文文本 字符"/>
    <w:basedOn w:val="36"/>
    <w:link w:val="2"/>
    <w:qFormat/>
    <w:uiPriority w:val="0"/>
    <w:rPr>
      <w:sz w:val="21"/>
      <w:szCs w:val="24"/>
    </w:rPr>
  </w:style>
  <w:style w:type="paragraph" w:customStyle="1" w:styleId="112">
    <w:name w:val="_Style 5"/>
    <w:basedOn w:val="1"/>
    <w:qFormat/>
    <w:uiPriority w:val="0"/>
    <w:pPr>
      <w:ind w:firstLine="420"/>
    </w:pPr>
  </w:style>
  <w:style w:type="paragraph" w:customStyle="1" w:styleId="113">
    <w:name w:val="3"/>
    <w:basedOn w:val="1"/>
    <w:qFormat/>
    <w:uiPriority w:val="0"/>
    <w:pPr>
      <w:numPr>
        <w:ilvl w:val="2"/>
        <w:numId w:val="9"/>
      </w:numPr>
      <w:spacing w:line="288" w:lineRule="auto"/>
      <w:outlineLvl w:val="2"/>
    </w:pPr>
    <w:rPr>
      <w:rFonts w:ascii="黑体" w:hAnsi="黑体" w:eastAsia="黑体" w:cs="黑体"/>
    </w:rPr>
  </w:style>
  <w:style w:type="paragraph" w:customStyle="1" w:styleId="114">
    <w:name w:val="61a)"/>
    <w:basedOn w:val="1"/>
    <w:qFormat/>
    <w:uiPriority w:val="0"/>
    <w:pPr>
      <w:numPr>
        <w:ilvl w:val="5"/>
        <w:numId w:val="9"/>
      </w:numPr>
      <w:tabs>
        <w:tab w:val="left" w:pos="0"/>
      </w:tabs>
      <w:spacing w:line="288" w:lineRule="auto"/>
    </w:pPr>
  </w:style>
  <w:style w:type="paragraph" w:customStyle="1" w:styleId="115">
    <w:name w:val="621)"/>
    <w:basedOn w:val="1"/>
    <w:qFormat/>
    <w:uiPriority w:val="0"/>
    <w:pPr>
      <w:numPr>
        <w:ilvl w:val="6"/>
        <w:numId w:val="9"/>
      </w:numPr>
      <w:tabs>
        <w:tab w:val="left" w:pos="1259"/>
      </w:tabs>
      <w:spacing w:line="288" w:lineRule="auto"/>
    </w:pPr>
  </w:style>
  <w:style w:type="paragraph" w:customStyle="1" w:styleId="116">
    <w:name w:val="列出段落2"/>
    <w:basedOn w:val="1"/>
    <w:unhideWhenUsed/>
    <w:qFormat/>
    <w:uiPriority w:val="99"/>
    <w:pPr>
      <w:ind w:firstLine="420" w:firstLineChars="200"/>
    </w:pPr>
  </w:style>
  <w:style w:type="paragraph" w:customStyle="1" w:styleId="117">
    <w:name w:val="南网格式"/>
    <w:basedOn w:val="1"/>
    <w:qFormat/>
    <w:uiPriority w:val="0"/>
    <w:pPr>
      <w:widowControl/>
      <w:spacing w:before="120" w:line="360" w:lineRule="auto"/>
      <w:jc w:val="left"/>
    </w:pPr>
    <w:rPr>
      <w:rFonts w:ascii="宋体" w:hAnsi="宋体"/>
      <w:kern w:val="0"/>
      <w:sz w:val="24"/>
      <w:szCs w:val="28"/>
    </w:rPr>
  </w:style>
  <w:style w:type="character" w:customStyle="1" w:styleId="118">
    <w:name w:val="font01"/>
    <w:basedOn w:val="36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DA2F9A-54B0-45B3-9CDB-4A49257170F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400</Words>
  <Characters>2281</Characters>
  <Lines>19</Lines>
  <Paragraphs>5</Paragraphs>
  <TotalTime>5</TotalTime>
  <ScaleCrop>false</ScaleCrop>
  <LinksUpToDate>false</LinksUpToDate>
  <CharactersWithSpaces>2676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2021-12-16T12:23:00Z</dcterms:created>
  <dc:creator>wangzhichun</dc:creator>
  <cp:lastModifiedBy>Cjp</cp:lastModifiedBy>
  <cp:lastPrinted>2022-03-10T06:16:00Z</cp:lastPrinted>
  <dcterms:modified xsi:type="dcterms:W3CDTF">2026-01-16T06:57:36Z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状态">
    <vt:lpwstr>xxx</vt:lpwstr>
  </property>
  <property fmtid="{D5CDD505-2E9C-101B-9397-08002B2CF9AE}" pid="4" name="ICV">
    <vt:lpwstr>9A0A506F265B4424853AE8777254ABB9_13</vt:lpwstr>
  </property>
</Properties>
</file>