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keepNext w:val="0"/>
        <w:keepLines w:val="0"/>
        <w:pageBreakBefore w:val="0"/>
        <w:widowControl w:val="0"/>
        <w:kinsoku/>
        <w:wordWrap/>
        <w:overflowPunct/>
        <w:topLinePunct w:val="0"/>
        <w:autoSpaceDE/>
        <w:autoSpaceDN/>
        <w:bidi w:val="0"/>
        <w:spacing w:line="580" w:lineRule="exact"/>
        <w:ind w:firstLine="643" w:firstLineChars="200"/>
        <w:jc w:val="both"/>
        <w:textAlignment w:val="auto"/>
        <w:rPr>
          <w:rFonts w:hint="eastAsia"/>
          <w:b/>
          <w:bCs/>
          <w:sz w:val="32"/>
          <w:szCs w:val="32"/>
          <w:lang w:val="en-US" w:eastAsia="zh-CN"/>
        </w:rPr>
      </w:pPr>
      <w:r>
        <w:rPr>
          <w:rFonts w:hint="eastAsia"/>
          <w:b/>
          <w:bCs/>
          <w:sz w:val="32"/>
          <w:szCs w:val="32"/>
          <w:lang w:val="en-US" w:eastAsia="zh-CN"/>
        </w:rPr>
        <w:t>一、资格要求</w:t>
      </w:r>
    </w:p>
    <w:p>
      <w:pPr>
        <w:pStyle w:val="2"/>
        <w:keepNext w:val="0"/>
        <w:keepLines w:val="0"/>
        <w:pageBreakBefore w:val="0"/>
        <w:widowControl w:val="0"/>
        <w:numPr>
          <w:ilvl w:val="0"/>
          <w:numId w:val="0"/>
        </w:numPr>
        <w:kinsoku/>
        <w:wordWrap/>
        <w:overflowPunct/>
        <w:topLinePunct w:val="0"/>
        <w:autoSpaceDE/>
        <w:autoSpaceDN/>
        <w:bidi w:val="0"/>
        <w:spacing w:after="0" w:afterLines="0" w:line="580" w:lineRule="exact"/>
        <w:ind w:firstLine="640" w:firstLineChars="200"/>
        <w:jc w:val="both"/>
        <w:textAlignment w:val="auto"/>
        <w:rPr>
          <w:rFonts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ascii="宋体" w:hAnsi="宋体" w:eastAsia="宋体" w:cs="宋体"/>
          <w:b w:val="0"/>
          <w:bCs w:val="0"/>
          <w:sz w:val="32"/>
          <w:szCs w:val="32"/>
        </w:rPr>
        <w:t>在中华人民共和国境内注册，持有合法有效的企业法人营业执照。</w:t>
      </w:r>
    </w:p>
    <w:p>
      <w:pPr>
        <w:pStyle w:val="2"/>
        <w:keepNext w:val="0"/>
        <w:keepLines w:val="0"/>
        <w:pageBreakBefore w:val="0"/>
        <w:widowControl w:val="0"/>
        <w:numPr>
          <w:ilvl w:val="0"/>
          <w:numId w:val="0"/>
        </w:numPr>
        <w:kinsoku/>
        <w:wordWrap/>
        <w:overflowPunct/>
        <w:topLinePunct w:val="0"/>
        <w:autoSpaceDE/>
        <w:autoSpaceDN/>
        <w:bidi w:val="0"/>
        <w:spacing w:after="0" w:afterLines="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2.单位负责人为同一人或者存在控股、管理关系的不同单位，不同单位董事、监事、高级管理人员相互交叉任职的，不得参加本项目报价。</w:t>
      </w:r>
    </w:p>
    <w:p>
      <w:pPr>
        <w:pStyle w:val="2"/>
        <w:keepNext w:val="0"/>
        <w:keepLines w:val="0"/>
        <w:pageBreakBefore w:val="0"/>
        <w:widowControl w:val="0"/>
        <w:numPr>
          <w:ilvl w:val="0"/>
          <w:numId w:val="0"/>
        </w:numPr>
        <w:kinsoku/>
        <w:wordWrap/>
        <w:overflowPunct/>
        <w:topLinePunct w:val="0"/>
        <w:autoSpaceDE/>
        <w:autoSpaceDN/>
        <w:bidi w:val="0"/>
        <w:spacing w:after="0" w:afterLines="0" w:line="580" w:lineRule="exact"/>
        <w:ind w:firstLine="640" w:firstLineChars="200"/>
        <w:jc w:val="both"/>
        <w:textAlignment w:val="auto"/>
        <w:rPr>
          <w:rFonts w:hint="default" w:eastAsia="宋体"/>
          <w:b w:val="0"/>
          <w:bCs w:val="0"/>
          <w:sz w:val="32"/>
          <w:szCs w:val="32"/>
          <w:lang w:val="en-US" w:eastAsia="zh-CN"/>
        </w:rPr>
      </w:pPr>
      <w:r>
        <w:rPr>
          <w:rFonts w:hint="eastAsia" w:ascii="宋体" w:hAnsi="宋体" w:eastAsia="宋体" w:cs="宋体"/>
          <w:b w:val="0"/>
          <w:bCs w:val="0"/>
          <w:sz w:val="32"/>
          <w:szCs w:val="32"/>
          <w:lang w:val="en-US" w:eastAsia="zh-CN"/>
        </w:rPr>
        <w:t>3.</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keepNext w:val="0"/>
        <w:keepLines w:val="0"/>
        <w:pageBreakBefore w:val="0"/>
        <w:widowControl w:val="0"/>
        <w:numPr>
          <w:ilvl w:val="0"/>
          <w:numId w:val="0"/>
        </w:numPr>
        <w:kinsoku/>
        <w:wordWrap/>
        <w:overflowPunct/>
        <w:topLinePunct w:val="0"/>
        <w:autoSpaceDE/>
        <w:autoSpaceDN/>
        <w:bidi w:val="0"/>
        <w:spacing w:after="0" w:afterLines="0" w:line="580" w:lineRule="exact"/>
        <w:ind w:firstLine="643" w:firstLineChars="200"/>
        <w:jc w:val="both"/>
        <w:textAlignment w:val="auto"/>
        <w:rPr>
          <w:rFonts w:hint="eastAsia" w:ascii="宋体" w:hAnsi="宋体" w:eastAsia="宋体" w:cs="宋体"/>
          <w:b/>
          <w:bCs/>
          <w:sz w:val="32"/>
          <w:szCs w:val="32"/>
          <w:lang w:val="en-US" w:eastAsia="zh-CN"/>
        </w:rPr>
      </w:pPr>
      <w:r>
        <w:rPr>
          <w:rFonts w:hint="eastAsia" w:ascii="宋体" w:hAnsi="宋体" w:cs="宋体"/>
          <w:b/>
          <w:bCs/>
          <w:sz w:val="32"/>
          <w:szCs w:val="32"/>
          <w:lang w:val="en-US" w:eastAsia="zh-CN"/>
        </w:rPr>
        <w:t>二、</w:t>
      </w:r>
      <w:r>
        <w:rPr>
          <w:rFonts w:hint="eastAsia" w:ascii="宋体" w:hAnsi="宋体" w:eastAsia="宋体" w:cs="宋体"/>
          <w:b/>
          <w:bCs/>
          <w:sz w:val="32"/>
          <w:szCs w:val="32"/>
          <w:lang w:val="en-US" w:eastAsia="zh-CN"/>
        </w:rPr>
        <w:t>响应文件</w:t>
      </w:r>
      <w:r>
        <w:rPr>
          <w:b/>
          <w:bCs/>
          <w:color w:val="000000"/>
          <w:sz w:val="32"/>
          <w:szCs w:val="32"/>
        </w:rPr>
        <w:t>应包括但不限于下列内容</w:t>
      </w:r>
    </w:p>
    <w:p>
      <w:pPr>
        <w:pStyle w:val="3"/>
        <w:keepNext w:val="0"/>
        <w:keepLines w:val="0"/>
        <w:pageBreakBefore w:val="0"/>
        <w:widowControl w:val="0"/>
        <w:numPr>
          <w:ilvl w:val="0"/>
          <w:numId w:val="1"/>
        </w:numPr>
        <w:kinsoku/>
        <w:wordWrap/>
        <w:overflowPunct/>
        <w:topLinePunct w:val="0"/>
        <w:autoSpaceDE/>
        <w:autoSpaceDN/>
        <w:bidi w:val="0"/>
        <w:spacing w:before="0" w:after="0" w:line="580" w:lineRule="exact"/>
        <w:ind w:firstLine="643" w:firstLineChars="200"/>
        <w:jc w:val="both"/>
        <w:textAlignment w:val="auto"/>
        <w:rPr>
          <w:rFonts w:hint="eastAsia"/>
          <w:b/>
          <w:bCs/>
          <w:sz w:val="32"/>
          <w:szCs w:val="32"/>
          <w:lang w:val="en-US" w:eastAsia="zh-CN"/>
        </w:rPr>
      </w:pPr>
      <w:r>
        <w:rPr>
          <w:rFonts w:hint="eastAsia"/>
          <w:b/>
          <w:bCs/>
          <w:sz w:val="32"/>
          <w:szCs w:val="32"/>
          <w:lang w:val="en-US" w:eastAsia="zh-CN"/>
        </w:rPr>
        <w:t>报价表</w:t>
      </w:r>
    </w:p>
    <w:p>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1.评估服务费收费标准依据《广西壮族自治区物价局关于资产评估收费有关问题的函》（桂价费函［2012］772号）计件</w:t>
      </w:r>
      <w:r>
        <w:rPr>
          <w:rFonts w:hint="eastAsia" w:ascii="宋体" w:hAnsi="宋体" w:eastAsia="宋体" w:cs="宋体"/>
          <w:b/>
          <w:bCs/>
          <w:kern w:val="2"/>
          <w:sz w:val="32"/>
          <w:szCs w:val="32"/>
          <w:lang w:val="en-US" w:eastAsia="zh-CN" w:bidi="ar-SA"/>
        </w:rPr>
        <w:t>评估收费标准的价折扣率报价</w:t>
      </w:r>
      <w:r>
        <w:rPr>
          <w:rFonts w:hint="eastAsia" w:ascii="宋体" w:hAnsi="宋体" w:eastAsia="宋体" w:cs="宋体"/>
          <w:b w:val="0"/>
          <w:bCs w:val="0"/>
          <w:kern w:val="2"/>
          <w:sz w:val="32"/>
          <w:szCs w:val="32"/>
          <w:lang w:val="en-US" w:eastAsia="zh-CN" w:bidi="ar-SA"/>
        </w:rPr>
        <w:t>，计件收费按差额定率累进计费，计费基数可以按资产评估账面原值计费。单项评估报告费用不足1500元的，按1500元计费。对于没有账面原值的资产，可按评估资产的评估价值（无账面价值的拆旧物资根据评估价值合理折算成账面原值）计费。土地、房产租赁评估中，土地、房产账面原值明显低于市场价值的，经双方协商后可按土地、房产市场价值（如政府对土地、房产有相关指导价的先按政府指导价确定计费基础，无政府指导价的可按周边合理市场价确定计费基础）为基础计费。具体收费标准如下表：</w:t>
      </w:r>
    </w:p>
    <w:p>
      <w:pPr>
        <w:keepNext w:val="0"/>
        <w:keepLines w:val="0"/>
        <w:pageBreakBefore w:val="0"/>
        <w:kinsoku/>
        <w:wordWrap/>
        <w:overflowPunct/>
        <w:topLinePunct w:val="0"/>
        <w:bidi w:val="0"/>
        <w:adjustRightInd w:val="0"/>
        <w:snapToGrid w:val="0"/>
        <w:spacing w:line="560" w:lineRule="exact"/>
        <w:ind w:firstLine="560" w:firstLineChars="200"/>
        <w:jc w:val="center"/>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计件评估收费标准</w:t>
      </w:r>
    </w:p>
    <w:tbl>
      <w:tblPr>
        <w:tblStyle w:val="5"/>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4394"/>
        <w:gridCol w:w="3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档次</w:t>
            </w:r>
          </w:p>
        </w:tc>
        <w:tc>
          <w:tcPr>
            <w:tcW w:w="439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计费额度（万元）</w:t>
            </w:r>
          </w:p>
        </w:tc>
        <w:tc>
          <w:tcPr>
            <w:tcW w:w="328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差额计费率‰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w:t>
            </w:r>
          </w:p>
        </w:tc>
        <w:tc>
          <w:tcPr>
            <w:tcW w:w="4394"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100以下（含100）</w:t>
            </w:r>
          </w:p>
        </w:tc>
        <w:tc>
          <w:tcPr>
            <w:tcW w:w="3286"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lang w:val="en-US" w:eastAsia="zh-CN"/>
              </w:rPr>
            </w:pPr>
            <w:r>
              <w:rPr>
                <w:rFonts w:hint="eastAsia" w:ascii="宋体" w:hAnsi="宋体" w:cs="宋体"/>
                <w:sz w:val="28"/>
                <w:szCs w:val="2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w:t>
            </w:r>
          </w:p>
        </w:tc>
        <w:tc>
          <w:tcPr>
            <w:tcW w:w="4394"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100以上～1000（含1000）</w:t>
            </w:r>
          </w:p>
        </w:tc>
        <w:tc>
          <w:tcPr>
            <w:tcW w:w="3286"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lang w:val="en-US" w:eastAsia="zh-CN"/>
              </w:rPr>
            </w:pPr>
            <w:r>
              <w:rPr>
                <w:rFonts w:hint="eastAsia" w:ascii="宋体" w:hAnsi="宋体" w:cs="宋体"/>
                <w:sz w:val="28"/>
                <w:szCs w:val="28"/>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3</w:t>
            </w:r>
          </w:p>
        </w:tc>
        <w:tc>
          <w:tcPr>
            <w:tcW w:w="4394"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1000以上～5000（含5000）</w:t>
            </w:r>
          </w:p>
        </w:tc>
        <w:tc>
          <w:tcPr>
            <w:tcW w:w="3286"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lang w:val="en-US" w:eastAsia="zh-CN"/>
              </w:rPr>
            </w:pPr>
            <w:r>
              <w:rPr>
                <w:rFonts w:hint="eastAsia" w:ascii="宋体" w:hAnsi="宋体" w:cs="宋体"/>
                <w:sz w:val="28"/>
                <w:szCs w:val="28"/>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4</w:t>
            </w:r>
          </w:p>
        </w:tc>
        <w:tc>
          <w:tcPr>
            <w:tcW w:w="4394"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5000以上～10000（含10000）</w:t>
            </w:r>
          </w:p>
        </w:tc>
        <w:tc>
          <w:tcPr>
            <w:tcW w:w="3286"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lang w:val="en-US" w:eastAsia="zh-CN"/>
              </w:rPr>
            </w:pPr>
            <w:r>
              <w:rPr>
                <w:rFonts w:hint="eastAsia" w:ascii="宋体" w:hAnsi="宋体" w:cs="宋体"/>
                <w:sz w:val="28"/>
                <w:szCs w:val="28"/>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5</w:t>
            </w:r>
          </w:p>
        </w:tc>
        <w:tc>
          <w:tcPr>
            <w:tcW w:w="4394"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10000以上～100000（含100000）</w:t>
            </w:r>
          </w:p>
        </w:tc>
        <w:tc>
          <w:tcPr>
            <w:tcW w:w="3286"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lang w:val="en-US" w:eastAsia="zh-CN"/>
              </w:rPr>
            </w:pPr>
            <w:r>
              <w:rPr>
                <w:rFonts w:hint="eastAsia" w:ascii="宋体" w:hAnsi="宋体" w:cs="宋体"/>
                <w:sz w:val="28"/>
                <w:szCs w:val="28"/>
                <w:lang w:val="en-US" w:eastAsia="zh-CN"/>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6</w:t>
            </w:r>
          </w:p>
        </w:tc>
        <w:tc>
          <w:tcPr>
            <w:tcW w:w="4394"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100000以上</w:t>
            </w:r>
          </w:p>
        </w:tc>
        <w:tc>
          <w:tcPr>
            <w:tcW w:w="3286" w:type="dxa"/>
            <w:tcBorders>
              <w:top w:val="single" w:color="auto" w:sz="4" w:space="0"/>
              <w:left w:val="single" w:color="auto" w:sz="4" w:space="0"/>
              <w:bottom w:val="single" w:color="auto" w:sz="4" w:space="0"/>
              <w:right w:val="single" w:color="auto" w:sz="4" w:space="0"/>
            </w:tcBorders>
            <w:vAlign w:val="center"/>
          </w:tcPr>
          <w:p>
            <w:pPr>
              <w:ind w:right="-334" w:rightChars="-159"/>
              <w:jc w:val="center"/>
              <w:rPr>
                <w:rFonts w:hint="eastAsia" w:ascii="宋体" w:hAnsi="宋体" w:eastAsia="宋体" w:cs="宋体"/>
                <w:sz w:val="28"/>
                <w:szCs w:val="28"/>
                <w:highlight w:val="none"/>
                <w:lang w:val="en-US" w:eastAsia="zh-CN"/>
              </w:rPr>
            </w:pPr>
            <w:r>
              <w:rPr>
                <w:rFonts w:hint="eastAsia" w:ascii="宋体" w:hAnsi="宋体" w:cs="宋体"/>
                <w:sz w:val="28"/>
                <w:szCs w:val="28"/>
                <w:lang w:val="en-US" w:eastAsia="zh-CN"/>
              </w:rPr>
              <w:t>0.1</w:t>
            </w:r>
          </w:p>
        </w:tc>
      </w:tr>
    </w:tbl>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2.报价应包含6%</w:t>
      </w:r>
      <w:r>
        <w:rPr>
          <w:rFonts w:hint="eastAsia" w:ascii="宋体" w:hAnsi="宋体" w:cs="宋体"/>
          <w:sz w:val="32"/>
          <w:szCs w:val="32"/>
          <w:lang w:val="en-US" w:eastAsia="zh-CN"/>
        </w:rPr>
        <w:t>税率</w:t>
      </w:r>
      <w:r>
        <w:rPr>
          <w:rFonts w:hint="eastAsia" w:ascii="宋体" w:hAnsi="宋体" w:eastAsia="宋体" w:cs="宋体"/>
          <w:sz w:val="32"/>
          <w:szCs w:val="32"/>
          <w:lang w:val="en-US" w:eastAsia="zh-CN"/>
        </w:rPr>
        <w:t>，如报价所含税率不为6%的请在报价表备注中注明。</w:t>
      </w:r>
      <w:bookmarkStart w:id="0" w:name="_GoBack"/>
      <w:bookmarkEnd w:id="0"/>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3</w:t>
      </w:r>
      <w:r>
        <w:rPr>
          <w:rFonts w:hint="eastAsia" w:ascii="宋体" w:hAnsi="宋体" w:eastAsia="宋体" w:cs="宋体"/>
          <w:sz w:val="32"/>
          <w:szCs w:val="32"/>
          <w:lang w:val="en-US" w:eastAsia="zh-CN"/>
        </w:rPr>
        <w:t>.结算方式：单项资产评估项目工作完成并经甲方验收三十个工作日内支付全款。（乙方需提供真实有效的增值税专用发票）。</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4</w:t>
      </w:r>
      <w:r>
        <w:rPr>
          <w:rFonts w:hint="eastAsia" w:ascii="宋体" w:hAnsi="宋体" w:eastAsia="宋体" w:cs="宋体"/>
          <w:sz w:val="32"/>
          <w:szCs w:val="32"/>
          <w:lang w:val="en-US" w:eastAsia="zh-CN"/>
        </w:rPr>
        <w:t>.报价有效期：</w:t>
      </w:r>
      <w:r>
        <w:rPr>
          <w:rFonts w:hint="eastAsia" w:ascii="宋体" w:hAnsi="宋体" w:eastAsia="宋体" w:cs="宋体"/>
          <w:sz w:val="32"/>
          <w:szCs w:val="32"/>
          <w:highlight w:val="none"/>
          <w:lang w:val="en-US" w:eastAsia="zh-CN"/>
        </w:rPr>
        <w:t>60天。</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5</w:t>
      </w:r>
      <w:r>
        <w:rPr>
          <w:rFonts w:hint="eastAsia" w:ascii="宋体" w:hAnsi="宋体" w:eastAsia="宋体" w:cs="宋体"/>
          <w:sz w:val="32"/>
          <w:szCs w:val="32"/>
          <w:lang w:val="en-US" w:eastAsia="zh-CN"/>
        </w:rPr>
        <w:t>.确定成交方后3天内发出成交通知书。</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6</w:t>
      </w:r>
      <w:r>
        <w:rPr>
          <w:rFonts w:hint="eastAsia" w:ascii="宋体" w:hAnsi="宋体" w:eastAsia="宋体" w:cs="宋体"/>
          <w:sz w:val="32"/>
          <w:szCs w:val="32"/>
          <w:lang w:val="en-US" w:eastAsia="zh-CN"/>
        </w:rPr>
        <w:t>.服务时间：合同生效之日起至</w:t>
      </w:r>
      <w:r>
        <w:rPr>
          <w:rFonts w:hint="eastAsia" w:ascii="宋体" w:hAnsi="宋体" w:cs="宋体"/>
          <w:sz w:val="32"/>
          <w:szCs w:val="32"/>
          <w:lang w:val="en-US" w:eastAsia="zh-CN"/>
        </w:rPr>
        <w:t>2026年12月31日</w:t>
      </w:r>
      <w:r>
        <w:rPr>
          <w:rFonts w:hint="eastAsia" w:ascii="宋体" w:hAnsi="宋体" w:eastAsia="宋体" w:cs="宋体"/>
          <w:sz w:val="32"/>
          <w:szCs w:val="32"/>
          <w:lang w:val="en-US" w:eastAsia="zh-CN"/>
        </w:rPr>
        <w:t>止。</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sz w:val="32"/>
          <w:szCs w:val="32"/>
          <w:lang w:val="en-US" w:eastAsia="zh-CN"/>
        </w:rPr>
      </w:pPr>
      <w:r>
        <w:rPr>
          <w:rFonts w:hint="eastAsia" w:ascii="宋体" w:hAnsi="宋体" w:cs="宋体"/>
          <w:sz w:val="32"/>
          <w:szCs w:val="32"/>
          <w:lang w:val="en-US" w:eastAsia="zh-CN"/>
        </w:rPr>
        <w:t>7</w:t>
      </w:r>
      <w:r>
        <w:rPr>
          <w:rFonts w:hint="eastAsia" w:ascii="宋体" w:hAnsi="宋体" w:eastAsia="宋体" w:cs="宋体"/>
          <w:sz w:val="32"/>
          <w:szCs w:val="32"/>
          <w:lang w:val="en-US" w:eastAsia="zh-CN"/>
        </w:rPr>
        <w:t>.按技术规范书开展</w:t>
      </w:r>
      <w:r>
        <w:rPr>
          <w:rFonts w:hint="eastAsia" w:ascii="宋体" w:hAnsi="宋体" w:cs="宋体"/>
          <w:sz w:val="32"/>
          <w:szCs w:val="32"/>
          <w:lang w:val="en-US" w:eastAsia="zh-CN"/>
        </w:rPr>
        <w:t>服务、</w:t>
      </w:r>
      <w:r>
        <w:rPr>
          <w:rFonts w:hint="eastAsia" w:ascii="宋体" w:hAnsi="宋体" w:eastAsia="宋体" w:cs="宋体"/>
          <w:sz w:val="32"/>
          <w:szCs w:val="32"/>
          <w:lang w:val="en-US" w:eastAsia="zh-CN"/>
        </w:rPr>
        <w:t>验收。</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80" w:lineRule="exact"/>
        <w:ind w:left="0" w:leftChars="0" w:right="0" w:firstLine="643" w:firstLineChars="200"/>
        <w:jc w:val="both"/>
        <w:textAlignment w:val="auto"/>
        <w:rPr>
          <w:rFonts w:hint="eastAsia" w:ascii="宋体" w:hAnsi="宋体" w:eastAsia="宋体" w:cs="宋体"/>
          <w:b/>
          <w:bCs/>
          <w:i w:val="0"/>
          <w:iCs w:val="0"/>
          <w:caps w:val="0"/>
          <w:spacing w:val="0"/>
          <w:sz w:val="32"/>
          <w:szCs w:val="32"/>
          <w:lang w:eastAsia="zh-CN"/>
        </w:rPr>
      </w:pPr>
      <w:r>
        <w:rPr>
          <w:rFonts w:hint="eastAsia" w:ascii="宋体" w:hAnsi="宋体" w:eastAsia="宋体" w:cs="宋体"/>
          <w:b/>
          <w:bCs/>
          <w:i w:val="0"/>
          <w:iCs w:val="0"/>
          <w:caps w:val="0"/>
          <w:spacing w:val="0"/>
          <w:sz w:val="32"/>
          <w:szCs w:val="32"/>
          <w:lang w:eastAsia="zh-CN"/>
        </w:rPr>
        <w:t>商务响应文件</w:t>
      </w: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leftChars="0"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商务响应文件内容为企业营业执照副本（复印件）、法定代表人授权书、法定代表身份证明、被授权人身份证明、质量保证、服务承诺、企业相关业绩表及证明材料等，格式自拟。</w:t>
      </w:r>
      <w:r>
        <w:rPr>
          <w:rFonts w:hint="eastAsia" w:ascii="宋体" w:hAnsi="宋体" w:eastAsia="宋体" w:cs="宋体"/>
          <w:b w:val="0"/>
          <w:bCs w:val="0"/>
          <w:sz w:val="32"/>
          <w:szCs w:val="32"/>
          <w:lang w:val="en-US" w:eastAsia="zh-CN"/>
        </w:rPr>
        <w:br w:type="textWrapping"/>
      </w:r>
      <w:r>
        <w:rPr>
          <w:rFonts w:hint="eastAsia" w:ascii="宋体" w:hAnsi="宋体" w:cs="宋体"/>
          <w:b w:val="0"/>
          <w:bCs w:val="0"/>
          <w:sz w:val="32"/>
          <w:szCs w:val="32"/>
          <w:lang w:val="en-US" w:eastAsia="zh-CN"/>
        </w:rPr>
        <w:t xml:space="preserve">   </w:t>
      </w:r>
      <w:r>
        <w:rPr>
          <w:rFonts w:hint="eastAsia" w:ascii="宋体" w:hAnsi="宋体" w:eastAsia="宋体" w:cs="宋体"/>
          <w:b/>
          <w:bCs/>
          <w:sz w:val="32"/>
          <w:szCs w:val="32"/>
          <w:lang w:val="en-US" w:eastAsia="zh-CN"/>
        </w:rPr>
        <w:t>（三）技术响应文件</w:t>
      </w: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leftChars="0"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技术响应文件内容为对采购文件的技术部分要求进行逐条点对点应答，包含技术投标偏差表、技术方案的详细描述、企业技术能力说明等，格式自拟。</w:t>
      </w:r>
      <w:r>
        <w:rPr>
          <w:rFonts w:hint="eastAsia" w:ascii="宋体" w:hAnsi="宋体" w:eastAsia="宋体" w:cs="宋体"/>
          <w:b w:val="0"/>
          <w:bCs w:val="0"/>
          <w:sz w:val="32"/>
          <w:szCs w:val="32"/>
          <w:lang w:val="en-US" w:eastAsia="zh-CN"/>
        </w:rPr>
        <w:br w:type="textWrapping"/>
      </w:r>
      <w:r>
        <w:rPr>
          <w:rFonts w:hint="eastAsia" w:ascii="宋体" w:hAnsi="宋体" w:eastAsia="宋体" w:cs="宋体"/>
          <w:b w:val="0"/>
          <w:bCs w:val="0"/>
          <w:sz w:val="32"/>
          <w:szCs w:val="32"/>
          <w:lang w:val="en-US" w:eastAsia="zh-CN"/>
        </w:rPr>
        <w:t>三、</w:t>
      </w:r>
      <w:r>
        <w:rPr>
          <w:rFonts w:hint="eastAsia" w:ascii="宋体" w:hAnsi="宋体" w:eastAsia="宋体" w:cs="宋体"/>
          <w:b/>
          <w:bCs/>
          <w:sz w:val="32"/>
          <w:szCs w:val="32"/>
          <w:lang w:val="en-US" w:eastAsia="zh-CN"/>
        </w:rPr>
        <w:t>响应和偏差</w:t>
      </w: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80" w:lineRule="exact"/>
        <w:ind w:firstLine="643" w:firstLineChars="200"/>
        <w:jc w:val="both"/>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四、响应文件提供及签署要求</w:t>
      </w:r>
    </w:p>
    <w:p>
      <w:pPr>
        <w:pStyle w:val="3"/>
        <w:keepNext w:val="0"/>
        <w:keepLines w:val="0"/>
        <w:pageBreakBefore w:val="0"/>
        <w:widowControl w:val="0"/>
        <w:kinsoku/>
        <w:wordWrap/>
        <w:overflowPunct/>
        <w:topLinePunct w:val="0"/>
        <w:autoSpaceDE/>
        <w:autoSpaceDN/>
        <w:bidi w:val="0"/>
        <w:adjustRightInd/>
        <w:snapToGrid/>
        <w:spacing w:before="0" w:after="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1.未提供报价表、</w:t>
      </w:r>
      <w:r>
        <w:rPr>
          <w:rFonts w:hint="eastAsia" w:ascii="宋体" w:hAnsi="宋体" w:eastAsia="宋体" w:cs="宋体"/>
          <w:b w:val="0"/>
          <w:bCs w:val="0"/>
          <w:i w:val="0"/>
          <w:iCs w:val="0"/>
          <w:caps w:val="0"/>
          <w:spacing w:val="0"/>
          <w:sz w:val="32"/>
          <w:szCs w:val="32"/>
          <w:lang w:eastAsia="zh-CN"/>
        </w:rPr>
        <w:t>商务响应文件、</w:t>
      </w:r>
      <w:r>
        <w:rPr>
          <w:rFonts w:hint="eastAsia" w:ascii="宋体" w:hAnsi="宋体" w:eastAsia="宋体" w:cs="宋体"/>
          <w:b w:val="0"/>
          <w:bCs w:val="0"/>
          <w:sz w:val="32"/>
          <w:szCs w:val="32"/>
          <w:lang w:val="en-US" w:eastAsia="zh-CN"/>
        </w:rPr>
        <w:t>技术响应文件的作否决响应处理。</w:t>
      </w:r>
    </w:p>
    <w:p>
      <w:pPr>
        <w:pStyle w:val="3"/>
        <w:keepNext w:val="0"/>
        <w:keepLines w:val="0"/>
        <w:pageBreakBefore w:val="0"/>
        <w:widowControl w:val="0"/>
        <w:kinsoku/>
        <w:wordWrap/>
        <w:overflowPunct/>
        <w:topLinePunct w:val="0"/>
        <w:autoSpaceDE/>
        <w:autoSpaceDN/>
        <w:bidi w:val="0"/>
        <w:adjustRightInd/>
        <w:snapToGrid/>
        <w:spacing w:before="0" w:after="0" w:line="58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2.报价文件、商务响应文件、技术响应文件须盖单位章，如无盖章的，作否决响应处理。</w:t>
      </w:r>
    </w:p>
    <w:p>
      <w:pPr>
        <w:keepNext w:val="0"/>
        <w:keepLines w:val="0"/>
        <w:pageBreakBefore w:val="0"/>
        <w:kinsoku/>
        <w:wordWrap/>
        <w:overflowPunct/>
        <w:topLinePunct w:val="0"/>
        <w:autoSpaceDE/>
        <w:autoSpaceDN/>
        <w:bidi w:val="0"/>
        <w:adjustRightInd/>
        <w:snapToGrid/>
        <w:spacing w:line="580" w:lineRule="exact"/>
        <w:ind w:firstLine="643" w:firstLineChars="200"/>
        <w:jc w:val="both"/>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五、成交原则</w:t>
      </w:r>
    </w:p>
    <w:p>
      <w:pPr>
        <w:keepNext w:val="0"/>
        <w:keepLines w:val="0"/>
        <w:pageBreakBefore w:val="0"/>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满足要求且含税报价最低的作为成交供应商；报价相同的，按报价时间先后顺序推荐成交供应商。</w:t>
      </w:r>
    </w:p>
    <w:p>
      <w:pPr>
        <w:pStyle w:val="2"/>
        <w:keepNext w:val="0"/>
        <w:keepLines w:val="0"/>
        <w:pageBreakBefore w:val="0"/>
        <w:numPr>
          <w:ilvl w:val="0"/>
          <w:numId w:val="2"/>
        </w:numPr>
        <w:kinsoku/>
        <w:wordWrap/>
        <w:overflowPunct/>
        <w:topLinePunct w:val="0"/>
        <w:autoSpaceDE/>
        <w:autoSpaceDN/>
        <w:bidi w:val="0"/>
        <w:adjustRightInd/>
        <w:snapToGrid/>
        <w:spacing w:after="0" w:afterLines="0" w:line="580" w:lineRule="exact"/>
        <w:ind w:firstLine="643" w:firstLineChars="200"/>
        <w:jc w:val="both"/>
        <w:textAlignment w:val="auto"/>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联系方式：</w:t>
      </w: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960" w:firstLineChars="300"/>
        <w:jc w:val="both"/>
        <w:textAlignment w:val="auto"/>
        <w:rPr>
          <w:rFonts w:hint="eastAsia"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李香    电话：18378476496  0774-5616393</w:t>
      </w: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640" w:firstLineChars="200"/>
        <w:jc w:val="both"/>
        <w:textAlignment w:val="auto"/>
        <w:rPr>
          <w:rFonts w:hint="eastAsia" w:ascii="宋体" w:hAnsi="宋体" w:eastAsia="宋体" w:cs="宋体"/>
          <w:b w:val="0"/>
          <w:bCs w:val="0"/>
          <w:kern w:val="2"/>
          <w:sz w:val="32"/>
          <w:szCs w:val="32"/>
          <w:lang w:val="en-US" w:eastAsia="zh-CN" w:bidi="ar-SA"/>
        </w:rPr>
      </w:pPr>
    </w:p>
    <w:p>
      <w:pPr>
        <w:pStyle w:val="2"/>
        <w:keepNext w:val="0"/>
        <w:keepLines w:val="0"/>
        <w:pageBreakBefore w:val="0"/>
        <w:numPr>
          <w:ilvl w:val="0"/>
          <w:numId w:val="0"/>
        </w:numPr>
        <w:kinsoku/>
        <w:wordWrap/>
        <w:overflowPunct/>
        <w:topLinePunct w:val="0"/>
        <w:autoSpaceDE/>
        <w:autoSpaceDN/>
        <w:bidi w:val="0"/>
        <w:adjustRightInd/>
        <w:snapToGrid/>
        <w:spacing w:after="0" w:afterLines="0" w:line="580" w:lineRule="exact"/>
        <w:ind w:firstLine="4800" w:firstLineChars="1500"/>
        <w:jc w:val="both"/>
        <w:textAlignment w:val="auto"/>
        <w:rPr>
          <w:rFonts w:hint="eastAsia"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贺州供电局</w:t>
      </w:r>
      <w:r>
        <w:rPr>
          <w:rFonts w:hint="eastAsia" w:ascii="宋体" w:hAnsi="宋体" w:cs="宋体"/>
          <w:b w:val="0"/>
          <w:bCs w:val="0"/>
          <w:kern w:val="2"/>
          <w:sz w:val="32"/>
          <w:szCs w:val="32"/>
          <w:lang w:val="en-US" w:eastAsia="zh-CN" w:bidi="ar-SA"/>
        </w:rPr>
        <w:t>计财部</w:t>
      </w:r>
    </w:p>
    <w:p>
      <w:pPr>
        <w:pStyle w:val="3"/>
        <w:keepNext w:val="0"/>
        <w:keepLines w:val="0"/>
        <w:pageBreakBefore w:val="0"/>
        <w:kinsoku/>
        <w:wordWrap/>
        <w:overflowPunct/>
        <w:topLinePunct w:val="0"/>
        <w:autoSpaceDE/>
        <w:autoSpaceDN/>
        <w:bidi w:val="0"/>
        <w:adjustRightInd/>
        <w:snapToGrid/>
        <w:spacing w:before="0" w:after="0" w:line="580" w:lineRule="exact"/>
        <w:ind w:firstLine="640" w:firstLineChars="200"/>
        <w:textAlignment w:val="auto"/>
        <w:rPr>
          <w:rFonts w:hint="default"/>
          <w:lang w:val="en-US" w:eastAsia="zh-CN"/>
        </w:rPr>
      </w:pPr>
      <w:r>
        <w:rPr>
          <w:rFonts w:hint="eastAsia"/>
          <w:b w:val="0"/>
          <w:bCs w:val="0"/>
          <w:lang w:val="en-US" w:eastAsia="zh-CN"/>
        </w:rPr>
        <w:t xml:space="preserve">                    2026年1月15日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abstractNum w:abstractNumId="1">
    <w:nsid w:val="275553C7"/>
    <w:multiLevelType w:val="singleLevel"/>
    <w:tmpl w:val="275553C7"/>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78C4434"/>
    <w:rsid w:val="07D70B43"/>
    <w:rsid w:val="0E4037FC"/>
    <w:rsid w:val="0E584AF7"/>
    <w:rsid w:val="110A18CA"/>
    <w:rsid w:val="11807557"/>
    <w:rsid w:val="15EC0B13"/>
    <w:rsid w:val="16660579"/>
    <w:rsid w:val="1783795A"/>
    <w:rsid w:val="17EE32B7"/>
    <w:rsid w:val="19B008CA"/>
    <w:rsid w:val="1BB03B81"/>
    <w:rsid w:val="1C1C5471"/>
    <w:rsid w:val="1C685B1A"/>
    <w:rsid w:val="22A70261"/>
    <w:rsid w:val="22DE4E8F"/>
    <w:rsid w:val="23F04A84"/>
    <w:rsid w:val="2CEB45D3"/>
    <w:rsid w:val="2FFD4166"/>
    <w:rsid w:val="30130075"/>
    <w:rsid w:val="35B25AC7"/>
    <w:rsid w:val="38EB64AE"/>
    <w:rsid w:val="39BA1DAD"/>
    <w:rsid w:val="39EE7014"/>
    <w:rsid w:val="3C3C0C29"/>
    <w:rsid w:val="3DEB6224"/>
    <w:rsid w:val="3E506E74"/>
    <w:rsid w:val="434F222C"/>
    <w:rsid w:val="448C4E25"/>
    <w:rsid w:val="454F4CD3"/>
    <w:rsid w:val="45A924E1"/>
    <w:rsid w:val="479218B2"/>
    <w:rsid w:val="4A04384D"/>
    <w:rsid w:val="4C403398"/>
    <w:rsid w:val="50294B36"/>
    <w:rsid w:val="50AF7019"/>
    <w:rsid w:val="52147498"/>
    <w:rsid w:val="56AD4D9D"/>
    <w:rsid w:val="57D149C7"/>
    <w:rsid w:val="59506D2A"/>
    <w:rsid w:val="5AF9281A"/>
    <w:rsid w:val="5B6E4FED"/>
    <w:rsid w:val="5C977119"/>
    <w:rsid w:val="60DE2ED4"/>
    <w:rsid w:val="612B56BE"/>
    <w:rsid w:val="615D7FE7"/>
    <w:rsid w:val="62251C7F"/>
    <w:rsid w:val="62DA4A25"/>
    <w:rsid w:val="62DE3D1E"/>
    <w:rsid w:val="63B4163B"/>
    <w:rsid w:val="6BB96AD6"/>
    <w:rsid w:val="6C573B71"/>
    <w:rsid w:val="6F994CE1"/>
    <w:rsid w:val="70DF3982"/>
    <w:rsid w:val="71097529"/>
    <w:rsid w:val="725C0CAA"/>
    <w:rsid w:val="72F07F6D"/>
    <w:rsid w:val="73362DE5"/>
    <w:rsid w:val="73DB5234"/>
    <w:rsid w:val="74952DAB"/>
    <w:rsid w:val="77B63F8B"/>
    <w:rsid w:val="786C4E91"/>
    <w:rsid w:val="78ED7D37"/>
    <w:rsid w:val="7C7D0582"/>
    <w:rsid w:val="7DAD4D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覃鹏宇</cp:lastModifiedBy>
  <dcterms:modified xsi:type="dcterms:W3CDTF">2026-01-20T06:42:45Z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7428839D43D74AB19AD1C7374B49208E</vt:lpwstr>
  </property>
</Properties>
</file>