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报价须知</w:t>
      </w:r>
    </w:p>
    <w:p>
      <w:pPr>
        <w:keepNext w:val="0"/>
        <w:keepLines w:val="0"/>
        <w:pageBreakBefore w:val="0"/>
        <w:widowControl w:val="0"/>
        <w:kinsoku/>
        <w:wordWrap/>
        <w:overflowPunct/>
        <w:topLinePunct w:val="0"/>
        <w:autoSpaceDE/>
        <w:autoSpaceDN/>
        <w:bidi w:val="0"/>
        <w:spacing w:line="580" w:lineRule="exact"/>
        <w:ind w:firstLine="643" w:firstLineChars="200"/>
        <w:jc w:val="both"/>
        <w:textAlignment w:val="auto"/>
        <w:rPr>
          <w:rFonts w:hint="eastAsia"/>
          <w:b/>
          <w:bCs/>
          <w:sz w:val="32"/>
          <w:szCs w:val="32"/>
          <w:lang w:val="en-US" w:eastAsia="zh-CN"/>
        </w:rPr>
      </w:pPr>
      <w:r>
        <w:rPr>
          <w:rFonts w:hint="eastAsia"/>
          <w:b/>
          <w:bCs/>
          <w:sz w:val="32"/>
          <w:szCs w:val="32"/>
          <w:lang w:val="en-US" w:eastAsia="zh-CN"/>
        </w:rPr>
        <w:t>一、资格要求</w:t>
      </w:r>
    </w:p>
    <w:p>
      <w:pPr>
        <w:pStyle w:val="3"/>
        <w:keepNext w:val="0"/>
        <w:keepLines w:val="0"/>
        <w:pageBreakBefore w:val="0"/>
        <w:widowControl w:val="0"/>
        <w:numPr>
          <w:ilvl w:val="0"/>
          <w:numId w:val="0"/>
        </w:numPr>
        <w:kinsoku/>
        <w:wordWrap/>
        <w:overflowPunct/>
        <w:topLinePunct w:val="0"/>
        <w:autoSpaceDE/>
        <w:autoSpaceDN/>
        <w:bidi w:val="0"/>
        <w:spacing w:after="0" w:afterLines="0" w:line="580" w:lineRule="exact"/>
        <w:ind w:firstLine="640" w:firstLineChars="200"/>
        <w:jc w:val="both"/>
        <w:textAlignment w:val="auto"/>
        <w:rPr>
          <w:rFonts w:hint="eastAsia" w:ascii="宋体" w:hAnsi="宋体" w:eastAsia="宋体" w:cs="宋体"/>
          <w:b w:val="0"/>
          <w:bCs w:val="0"/>
          <w:sz w:val="32"/>
          <w:szCs w:val="32"/>
          <w:lang w:val="en-US" w:eastAsia="zh-CN"/>
        </w:rPr>
      </w:pPr>
      <w:r>
        <w:rPr>
          <w:rFonts w:hint="eastAsia" w:ascii="宋体" w:hAnsi="宋体" w:eastAsia="宋体" w:cs="宋体"/>
          <w:b w:val="0"/>
          <w:bCs w:val="0"/>
          <w:sz w:val="32"/>
          <w:szCs w:val="32"/>
          <w:lang w:val="en-US" w:eastAsia="zh-CN"/>
        </w:rPr>
        <w:t>（一）通用资格要求</w:t>
      </w:r>
    </w:p>
    <w:p>
      <w:pPr>
        <w:pStyle w:val="3"/>
        <w:keepNext w:val="0"/>
        <w:keepLines w:val="0"/>
        <w:pageBreakBefore w:val="0"/>
        <w:widowControl w:val="0"/>
        <w:numPr>
          <w:ilvl w:val="0"/>
          <w:numId w:val="0"/>
        </w:numPr>
        <w:kinsoku/>
        <w:wordWrap/>
        <w:overflowPunct/>
        <w:topLinePunct w:val="0"/>
        <w:autoSpaceDE/>
        <w:autoSpaceDN/>
        <w:bidi w:val="0"/>
        <w:spacing w:after="0" w:afterLines="0" w:line="580" w:lineRule="exact"/>
        <w:ind w:firstLine="640" w:firstLineChars="200"/>
        <w:jc w:val="both"/>
        <w:textAlignment w:val="auto"/>
        <w:rPr>
          <w:rFonts w:hint="eastAsia" w:ascii="宋体" w:hAnsi="宋体" w:eastAsia="宋体" w:cs="宋体"/>
          <w:b w:val="0"/>
          <w:bCs w:val="0"/>
          <w:sz w:val="32"/>
          <w:szCs w:val="32"/>
          <w:lang w:val="en-US" w:eastAsia="zh-CN"/>
        </w:rPr>
      </w:pPr>
      <w:r>
        <w:rPr>
          <w:rFonts w:hint="eastAsia" w:ascii="宋体" w:hAnsi="宋体" w:eastAsia="宋体" w:cs="宋体"/>
          <w:b w:val="0"/>
          <w:bCs w:val="0"/>
          <w:sz w:val="32"/>
          <w:szCs w:val="32"/>
          <w:lang w:val="en-US" w:eastAsia="zh-CN"/>
        </w:rPr>
        <w:t>1.在中华人民共和国境内注册，持有合法有效的法人证书（或法人身份证明文件）或其他组织证书（或其他组织证明文件）。</w:t>
      </w:r>
    </w:p>
    <w:p>
      <w:pPr>
        <w:pStyle w:val="3"/>
        <w:keepNext w:val="0"/>
        <w:keepLines w:val="0"/>
        <w:pageBreakBefore w:val="0"/>
        <w:widowControl w:val="0"/>
        <w:numPr>
          <w:ilvl w:val="0"/>
          <w:numId w:val="0"/>
        </w:numPr>
        <w:kinsoku/>
        <w:wordWrap/>
        <w:overflowPunct/>
        <w:topLinePunct w:val="0"/>
        <w:autoSpaceDE/>
        <w:autoSpaceDN/>
        <w:bidi w:val="0"/>
        <w:spacing w:after="0" w:afterLines="0" w:line="580" w:lineRule="exact"/>
        <w:ind w:firstLine="640" w:firstLineChars="200"/>
        <w:jc w:val="both"/>
        <w:textAlignment w:val="auto"/>
        <w:rPr>
          <w:rFonts w:hint="eastAsia" w:ascii="宋体" w:hAnsi="宋体" w:eastAsia="宋体" w:cs="宋体"/>
          <w:b w:val="0"/>
          <w:bCs w:val="0"/>
          <w:sz w:val="32"/>
          <w:szCs w:val="32"/>
          <w:lang w:val="en-US" w:eastAsia="zh-CN"/>
        </w:rPr>
      </w:pPr>
      <w:r>
        <w:rPr>
          <w:rFonts w:hint="eastAsia" w:ascii="宋体" w:hAnsi="宋体" w:eastAsia="宋体" w:cs="宋体"/>
          <w:b w:val="0"/>
          <w:bCs w:val="0"/>
          <w:sz w:val="32"/>
          <w:szCs w:val="32"/>
          <w:lang w:val="en-US" w:eastAsia="zh-CN"/>
        </w:rPr>
        <w:t>2.单位负责人为同一人或者存在控股、管理关系的不同单位，不同单位董事、监事、高级管理人员相互交叉任职的，不得参加同一标包（标段）投标或者未划分标包（标段）的同一招标项目（标的）的投标。</w:t>
      </w:r>
    </w:p>
    <w:p>
      <w:pPr>
        <w:pStyle w:val="3"/>
        <w:keepNext w:val="0"/>
        <w:keepLines w:val="0"/>
        <w:pageBreakBefore w:val="0"/>
        <w:widowControl w:val="0"/>
        <w:numPr>
          <w:ilvl w:val="0"/>
          <w:numId w:val="0"/>
        </w:numPr>
        <w:kinsoku/>
        <w:wordWrap/>
        <w:overflowPunct/>
        <w:topLinePunct w:val="0"/>
        <w:autoSpaceDE/>
        <w:autoSpaceDN/>
        <w:bidi w:val="0"/>
        <w:spacing w:after="0" w:afterLines="0" w:line="580" w:lineRule="exact"/>
        <w:ind w:firstLine="640" w:firstLineChars="200"/>
        <w:jc w:val="both"/>
        <w:textAlignment w:val="auto"/>
        <w:rPr>
          <w:rFonts w:hint="eastAsia" w:ascii="宋体" w:hAnsi="宋体" w:eastAsia="宋体" w:cs="宋体"/>
          <w:b w:val="0"/>
          <w:bCs w:val="0"/>
          <w:sz w:val="32"/>
          <w:szCs w:val="32"/>
          <w:lang w:val="en-US" w:eastAsia="zh-CN"/>
        </w:rPr>
      </w:pPr>
      <w:r>
        <w:rPr>
          <w:rFonts w:hint="eastAsia" w:ascii="宋体" w:hAnsi="宋体" w:eastAsia="宋体" w:cs="宋体"/>
          <w:b w:val="0"/>
          <w:bCs w:val="0"/>
          <w:sz w:val="32"/>
          <w:szCs w:val="32"/>
          <w:lang w:val="en-US" w:eastAsia="zh-CN"/>
        </w:rPr>
        <w:t>3.不接受联合体投标。</w:t>
      </w:r>
    </w:p>
    <w:p>
      <w:pPr>
        <w:pStyle w:val="3"/>
        <w:keepNext w:val="0"/>
        <w:keepLines w:val="0"/>
        <w:pageBreakBefore w:val="0"/>
        <w:widowControl w:val="0"/>
        <w:numPr>
          <w:ilvl w:val="0"/>
          <w:numId w:val="0"/>
        </w:numPr>
        <w:kinsoku/>
        <w:wordWrap/>
        <w:overflowPunct/>
        <w:topLinePunct w:val="0"/>
        <w:autoSpaceDE/>
        <w:autoSpaceDN/>
        <w:bidi w:val="0"/>
        <w:spacing w:after="0" w:afterLines="0" w:line="580" w:lineRule="exact"/>
        <w:ind w:firstLine="640" w:firstLineChars="200"/>
        <w:jc w:val="both"/>
        <w:textAlignment w:val="auto"/>
        <w:rPr>
          <w:rFonts w:ascii="宋体" w:hAnsi="宋体" w:eastAsia="宋体" w:cs="宋体"/>
          <w:b w:val="0"/>
          <w:bCs w:val="0"/>
          <w:sz w:val="32"/>
          <w:szCs w:val="32"/>
        </w:rPr>
      </w:pPr>
      <w:r>
        <w:rPr>
          <w:rFonts w:hint="eastAsia" w:ascii="宋体" w:hAnsi="宋体" w:cs="宋体"/>
          <w:b w:val="0"/>
          <w:bCs w:val="0"/>
          <w:sz w:val="32"/>
          <w:szCs w:val="32"/>
          <w:lang w:val="en-US" w:eastAsia="zh-CN"/>
        </w:rPr>
        <w:t>4.</w:t>
      </w:r>
      <w:r>
        <w:rPr>
          <w:rFonts w:ascii="宋体" w:hAnsi="宋体" w:eastAsia="宋体" w:cs="宋体"/>
          <w:b w:val="0"/>
          <w:bCs w:val="0"/>
          <w:sz w:val="32"/>
          <w:szCs w:val="32"/>
        </w:rPr>
        <w:t>其他不得存在的情形：被相关政府部门实施市场禁入、禁止参加投标、承接新项目的；在中国南方电网有限责任公司范围内被纳入供应商预警名单或处理名单实施不接受投标处理、市场禁入处理，且未解除的。</w:t>
      </w:r>
    </w:p>
    <w:p>
      <w:pPr>
        <w:pStyle w:val="3"/>
        <w:keepNext w:val="0"/>
        <w:keepLines w:val="0"/>
        <w:pageBreakBefore w:val="0"/>
        <w:widowControl w:val="0"/>
        <w:numPr>
          <w:ilvl w:val="0"/>
          <w:numId w:val="0"/>
        </w:numPr>
        <w:kinsoku/>
        <w:wordWrap/>
        <w:overflowPunct/>
        <w:topLinePunct w:val="0"/>
        <w:autoSpaceDE/>
        <w:autoSpaceDN/>
        <w:bidi w:val="0"/>
        <w:spacing w:after="0" w:afterLines="0" w:line="580" w:lineRule="exact"/>
        <w:ind w:firstLine="640" w:firstLineChars="200"/>
        <w:jc w:val="both"/>
        <w:textAlignment w:val="auto"/>
        <w:rPr>
          <w:rFonts w:hint="eastAsia" w:ascii="宋体" w:hAnsi="宋体" w:eastAsia="宋体" w:cs="宋体"/>
          <w:b w:val="0"/>
          <w:bCs w:val="0"/>
          <w:sz w:val="32"/>
          <w:szCs w:val="32"/>
          <w:lang w:val="en-US" w:eastAsia="zh-CN"/>
        </w:rPr>
      </w:pPr>
      <w:r>
        <w:rPr>
          <w:rFonts w:hint="eastAsia" w:ascii="宋体" w:hAnsi="宋体" w:eastAsia="宋体" w:cs="宋体"/>
          <w:b w:val="0"/>
          <w:bCs w:val="0"/>
          <w:sz w:val="32"/>
          <w:szCs w:val="32"/>
          <w:lang w:val="en-US" w:eastAsia="zh-CN"/>
        </w:rPr>
        <w:t>（二）专用资格要求</w:t>
      </w:r>
    </w:p>
    <w:tbl>
      <w:tblPr>
        <w:tblW w:w="832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654"/>
        <w:gridCol w:w="4765"/>
        <w:gridCol w:w="290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975" w:hRule="atLeast"/>
        </w:trPr>
        <w:tc>
          <w:tcPr>
            <w:tcW w:w="8320" w:type="dxa"/>
            <w:gridSpan w:val="3"/>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专用资格要求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4"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内容</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关联标的</w:t>
            </w:r>
            <w:r>
              <w:rPr>
                <w:rStyle w:val="10"/>
                <w:bdr w:val="none" w:color="auto" w:sz="0" w:space="0"/>
                <w:lang w:val="en-US" w:eastAsia="zh-CN" w:bidi="ar"/>
              </w:rPr>
              <w:t>/</w:t>
            </w:r>
            <w:r>
              <w:rPr>
                <w:rStyle w:val="11"/>
                <w:bdr w:val="none" w:color="auto" w:sz="0" w:space="0"/>
                <w:lang w:val="en-US" w:eastAsia="zh-CN" w:bidi="ar"/>
              </w:rPr>
              <w:t>标包</w:t>
            </w:r>
            <w:r>
              <w:rPr>
                <w:rStyle w:val="10"/>
                <w:bdr w:val="none" w:color="auto" w:sz="0" w:space="0"/>
                <w:lang w:val="en-US" w:eastAsia="zh-CN" w:bidi="ar"/>
              </w:rPr>
              <w:t>/</w:t>
            </w:r>
            <w:r>
              <w:rPr>
                <w:rStyle w:val="11"/>
                <w:bdr w:val="none" w:color="auto" w:sz="0" w:space="0"/>
                <w:lang w:val="en-US" w:eastAsia="zh-CN" w:bidi="ar"/>
              </w:rPr>
              <w:t>标段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63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1</w:t>
            </w:r>
          </w:p>
        </w:tc>
        <w:tc>
          <w:tcPr>
            <w:tcW w:w="4649"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依据中国法律在中华人民共和国境内（不含港、澳、台地区）注册成立的内资会计师事务所（事务所的分支机构不具有投标资格），持有合法有效的《会计师事务所执业证书》。</w:t>
            </w:r>
          </w:p>
        </w:tc>
        <w:tc>
          <w:tcPr>
            <w:tcW w:w="283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工程项目竣工决算编制及其他管理服务</w:t>
            </w:r>
          </w:p>
        </w:tc>
      </w:tr>
    </w:tbl>
    <w:p>
      <w:pPr>
        <w:pStyle w:val="4"/>
        <w:rPr>
          <w:rFonts w:hint="eastAsia" w:eastAsia="宋体"/>
          <w:lang w:val="en-US" w:eastAsia="zh-CN"/>
        </w:rPr>
      </w:pPr>
    </w:p>
    <w:p>
      <w:pPr>
        <w:pStyle w:val="3"/>
        <w:keepNext w:val="0"/>
        <w:keepLines w:val="0"/>
        <w:pageBreakBefore w:val="0"/>
        <w:widowControl w:val="0"/>
        <w:numPr>
          <w:ilvl w:val="0"/>
          <w:numId w:val="0"/>
        </w:numPr>
        <w:kinsoku/>
        <w:wordWrap/>
        <w:overflowPunct/>
        <w:topLinePunct w:val="0"/>
        <w:autoSpaceDE/>
        <w:autoSpaceDN/>
        <w:bidi w:val="0"/>
        <w:spacing w:after="0" w:afterLines="0" w:line="580" w:lineRule="exact"/>
        <w:ind w:firstLine="643" w:firstLineChars="200"/>
        <w:jc w:val="both"/>
        <w:textAlignment w:val="auto"/>
        <w:rPr>
          <w:rFonts w:hint="eastAsia" w:ascii="宋体" w:hAnsi="宋体" w:eastAsia="宋体" w:cs="宋体"/>
          <w:b/>
          <w:bCs/>
          <w:sz w:val="32"/>
          <w:szCs w:val="32"/>
          <w:lang w:val="en-US" w:eastAsia="zh-CN"/>
        </w:rPr>
      </w:pPr>
      <w:r>
        <w:rPr>
          <w:rFonts w:hint="eastAsia" w:ascii="宋体" w:hAnsi="宋体" w:cs="宋体"/>
          <w:b/>
          <w:bCs/>
          <w:sz w:val="32"/>
          <w:szCs w:val="32"/>
          <w:lang w:val="en-US" w:eastAsia="zh-CN"/>
        </w:rPr>
        <w:t>二、</w:t>
      </w:r>
      <w:r>
        <w:rPr>
          <w:rFonts w:hint="eastAsia" w:ascii="宋体" w:hAnsi="宋体" w:eastAsia="宋体" w:cs="宋体"/>
          <w:b/>
          <w:bCs/>
          <w:sz w:val="32"/>
          <w:szCs w:val="32"/>
          <w:lang w:val="en-US" w:eastAsia="zh-CN"/>
        </w:rPr>
        <w:t>响应文件</w:t>
      </w:r>
      <w:r>
        <w:rPr>
          <w:b/>
          <w:bCs/>
          <w:color w:val="000000"/>
          <w:sz w:val="32"/>
          <w:szCs w:val="32"/>
        </w:rPr>
        <w:t>应包括但不限于下列内容</w:t>
      </w:r>
    </w:p>
    <w:p>
      <w:pPr>
        <w:pStyle w:val="4"/>
        <w:keepNext w:val="0"/>
        <w:keepLines w:val="0"/>
        <w:pageBreakBefore w:val="0"/>
        <w:widowControl w:val="0"/>
        <w:numPr>
          <w:ilvl w:val="0"/>
          <w:numId w:val="1"/>
        </w:numPr>
        <w:kinsoku/>
        <w:wordWrap/>
        <w:overflowPunct/>
        <w:topLinePunct w:val="0"/>
        <w:autoSpaceDE/>
        <w:autoSpaceDN/>
        <w:bidi w:val="0"/>
        <w:spacing w:before="0" w:after="0" w:line="580" w:lineRule="exact"/>
        <w:ind w:firstLine="643" w:firstLineChars="200"/>
        <w:jc w:val="both"/>
        <w:textAlignment w:val="auto"/>
        <w:rPr>
          <w:rFonts w:hint="eastAsia"/>
          <w:b/>
          <w:bCs/>
          <w:sz w:val="32"/>
          <w:szCs w:val="32"/>
          <w:lang w:val="en-US" w:eastAsia="zh-CN"/>
        </w:rPr>
      </w:pPr>
      <w:r>
        <w:rPr>
          <w:rFonts w:hint="eastAsia"/>
          <w:b/>
          <w:bCs/>
          <w:sz w:val="32"/>
          <w:szCs w:val="32"/>
          <w:lang w:val="en-US" w:eastAsia="zh-CN"/>
        </w:rPr>
        <w:t>报价表</w:t>
      </w:r>
    </w:p>
    <w:p>
      <w:pPr>
        <w:keepNext w:val="0"/>
        <w:keepLines w:val="0"/>
        <w:widowControl/>
        <w:suppressLineNumbers w:val="0"/>
        <w:jc w:val="left"/>
        <w:rPr>
          <w:rFonts w:hint="eastAsia" w:ascii="宋体" w:hAnsi="宋体" w:eastAsia="宋体" w:cs="宋体"/>
          <w:b w:val="0"/>
          <w:bCs w:val="0"/>
          <w:kern w:val="2"/>
          <w:sz w:val="32"/>
          <w:szCs w:val="32"/>
          <w:lang w:val="en-US" w:eastAsia="zh-CN" w:bidi="ar-SA"/>
        </w:rPr>
      </w:pPr>
      <w:r>
        <w:rPr>
          <w:rFonts w:hint="eastAsia" w:ascii="宋体" w:hAnsi="宋体" w:eastAsia="宋体" w:cs="宋体"/>
          <w:b w:val="0"/>
          <w:bCs w:val="0"/>
          <w:kern w:val="2"/>
          <w:sz w:val="32"/>
          <w:szCs w:val="32"/>
          <w:lang w:val="en-US" w:eastAsia="zh-CN" w:bidi="ar-SA"/>
        </w:rPr>
        <w:t>1.评估服务费收费标准依据《广西壮族自治区物价局关于资产评估收费有关问题的函》（桂价费函［2012］772号）计件</w:t>
      </w:r>
      <w:r>
        <w:rPr>
          <w:rFonts w:hint="eastAsia" w:ascii="宋体" w:hAnsi="宋体" w:eastAsia="宋体" w:cs="宋体"/>
          <w:b/>
          <w:bCs/>
          <w:kern w:val="2"/>
          <w:sz w:val="32"/>
          <w:szCs w:val="32"/>
          <w:lang w:val="en-US" w:eastAsia="zh-CN" w:bidi="ar-SA"/>
        </w:rPr>
        <w:t>评估收费标准的价折扣率报价</w:t>
      </w:r>
      <w:r>
        <w:rPr>
          <w:rFonts w:hint="eastAsia" w:ascii="宋体" w:hAnsi="宋体" w:eastAsia="宋体" w:cs="宋体"/>
          <w:b w:val="0"/>
          <w:bCs w:val="0"/>
          <w:kern w:val="2"/>
          <w:sz w:val="32"/>
          <w:szCs w:val="32"/>
          <w:lang w:val="en-US" w:eastAsia="zh-CN" w:bidi="ar-SA"/>
        </w:rPr>
        <w:t>，以项目决算编制金额（不含税，下同）为基础计算，收费比率如下：a.单个项目决 算金额＜ 1000 万的按 2 ‰计收编制服务费；b.单个项目决算金额 ≥1000 万的按 1 ‰计收编制服务费。</w:t>
      </w:r>
    </w:p>
    <w:p>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jc w:val="both"/>
        <w:textAlignment w:val="auto"/>
        <w:rPr>
          <w:rFonts w:hint="eastAsia" w:ascii="宋体" w:hAnsi="宋体" w:eastAsia="宋体" w:cs="宋体"/>
          <w:b w:val="0"/>
          <w:bCs w:val="0"/>
          <w:kern w:val="2"/>
          <w:sz w:val="32"/>
          <w:szCs w:val="32"/>
          <w:lang w:val="en-US" w:eastAsia="zh-CN" w:bidi="ar-SA"/>
        </w:rPr>
      </w:pPr>
      <w:r>
        <w:rPr>
          <w:rFonts w:hint="eastAsia" w:ascii="宋体" w:hAnsi="宋体" w:eastAsia="宋体" w:cs="宋体"/>
          <w:b w:val="0"/>
          <w:bCs w:val="0"/>
          <w:kern w:val="2"/>
          <w:sz w:val="32"/>
          <w:szCs w:val="32"/>
          <w:lang w:val="en-US" w:eastAsia="zh-CN" w:bidi="ar-SA"/>
        </w:rPr>
        <w:t>具体收费标准如下表：</w:t>
      </w:r>
    </w:p>
    <w:tbl>
      <w:tblPr>
        <w:tblStyle w:val="6"/>
        <w:tblpPr w:leftFromText="180" w:rightFromText="180" w:vertAnchor="text" w:horzAnchor="page" w:tblpX="1259" w:tblpY="549"/>
        <w:tblOverlap w:val="never"/>
        <w:tblW w:w="9540"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
      <w:tblGrid>
        <w:gridCol w:w="2015"/>
        <w:gridCol w:w="1240"/>
        <w:gridCol w:w="2996"/>
        <w:gridCol w:w="3289"/>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436" w:hRule="atLeast"/>
        </w:trPr>
        <w:tc>
          <w:tcPr>
            <w:tcW w:w="2015" w:type="dxa"/>
            <w:vMerge w:val="restart"/>
            <w:tcBorders>
              <w:tl2br w:val="nil"/>
              <w:tr2bl w:val="nil"/>
            </w:tcBorders>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ascii="华文细黑" w:hAnsi="华文细黑" w:eastAsia="华文细黑" w:cs="华文细黑"/>
                <w:b/>
                <w:i w:val="0"/>
                <w:color w:val="000000"/>
                <w:sz w:val="24"/>
                <w:szCs w:val="24"/>
                <w:u w:val="none"/>
              </w:rPr>
            </w:pPr>
            <w:r>
              <w:rPr>
                <w:rFonts w:hint="eastAsia" w:ascii="华文细黑" w:hAnsi="华文细黑" w:eastAsia="华文细黑" w:cs="华文细黑"/>
                <w:b/>
                <w:i w:val="0"/>
                <w:color w:val="000000"/>
                <w:kern w:val="0"/>
                <w:sz w:val="24"/>
                <w:szCs w:val="24"/>
                <w:u w:val="none"/>
                <w:lang w:val="en-US" w:eastAsia="zh-CN" w:bidi="ar"/>
              </w:rPr>
              <w:t>费用名称</w:t>
            </w:r>
          </w:p>
        </w:tc>
        <w:tc>
          <w:tcPr>
            <w:tcW w:w="1240" w:type="dxa"/>
            <w:vMerge w:val="restart"/>
            <w:tcBorders>
              <w:tl2br w:val="nil"/>
              <w:tr2bl w:val="nil"/>
            </w:tcBorders>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华文细黑" w:hAnsi="华文细黑" w:eastAsia="华文细黑" w:cs="华文细黑"/>
                <w:b/>
                <w:i w:val="0"/>
                <w:color w:val="000000"/>
                <w:sz w:val="24"/>
                <w:szCs w:val="24"/>
                <w:u w:val="none"/>
              </w:rPr>
            </w:pPr>
            <w:r>
              <w:rPr>
                <w:rFonts w:hint="eastAsia" w:ascii="华文细黑" w:hAnsi="华文细黑" w:eastAsia="华文细黑" w:cs="华文细黑"/>
                <w:b/>
                <w:i w:val="0"/>
                <w:color w:val="000000"/>
                <w:kern w:val="0"/>
                <w:sz w:val="24"/>
                <w:szCs w:val="24"/>
                <w:u w:val="none"/>
                <w:lang w:val="en-US" w:eastAsia="zh-CN" w:bidi="ar"/>
              </w:rPr>
              <w:t>计算基数</w:t>
            </w:r>
          </w:p>
        </w:tc>
        <w:tc>
          <w:tcPr>
            <w:tcW w:w="6285" w:type="dxa"/>
            <w:gridSpan w:val="2"/>
            <w:tcBorders>
              <w:tl2br w:val="nil"/>
              <w:tr2bl w:val="nil"/>
            </w:tcBorders>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华文细黑" w:hAnsi="华文细黑" w:eastAsia="华文细黑" w:cs="华文细黑"/>
                <w:b/>
                <w:i w:val="0"/>
                <w:color w:val="000000"/>
                <w:sz w:val="24"/>
                <w:szCs w:val="24"/>
                <w:u w:val="none"/>
              </w:rPr>
            </w:pPr>
            <w:r>
              <w:rPr>
                <w:rFonts w:hint="eastAsia" w:ascii="华文细黑" w:hAnsi="华文细黑" w:eastAsia="华文细黑" w:cs="华文细黑"/>
                <w:b/>
                <w:i w:val="0"/>
                <w:color w:val="000000"/>
                <w:kern w:val="0"/>
                <w:sz w:val="24"/>
                <w:szCs w:val="24"/>
                <w:u w:val="none"/>
                <w:lang w:val="en-US" w:eastAsia="zh-CN" w:bidi="ar"/>
              </w:rPr>
              <w:t>收费标准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436" w:hRule="atLeast"/>
        </w:trPr>
        <w:tc>
          <w:tcPr>
            <w:tcW w:w="2015" w:type="dxa"/>
            <w:vMerge w:val="continue"/>
            <w:tcBorders>
              <w:tl2br w:val="nil"/>
              <w:tr2bl w:val="nil"/>
            </w:tcBorders>
            <w:noWrap w:val="0"/>
            <w:tcMar>
              <w:top w:w="12" w:type="dxa"/>
              <w:left w:w="12" w:type="dxa"/>
              <w:right w:w="12" w:type="dxa"/>
            </w:tcMar>
            <w:vAlign w:val="center"/>
          </w:tcPr>
          <w:p>
            <w:pPr>
              <w:keepNext w:val="0"/>
              <w:keepLines w:val="0"/>
              <w:pageBreakBefore w:val="0"/>
              <w:kinsoku/>
              <w:wordWrap/>
              <w:overflowPunct/>
              <w:topLinePunct w:val="0"/>
              <w:autoSpaceDE/>
              <w:autoSpaceDN/>
              <w:bidi w:val="0"/>
              <w:adjustRightInd/>
              <w:snapToGrid/>
              <w:spacing w:line="560" w:lineRule="exact"/>
              <w:jc w:val="center"/>
              <w:rPr>
                <w:rFonts w:hint="eastAsia" w:ascii="华文细黑" w:hAnsi="华文细黑" w:eastAsia="华文细黑" w:cs="华文细黑"/>
                <w:b/>
                <w:i w:val="0"/>
                <w:color w:val="000000"/>
                <w:sz w:val="24"/>
                <w:szCs w:val="24"/>
                <w:u w:val="none"/>
              </w:rPr>
            </w:pPr>
          </w:p>
        </w:tc>
        <w:tc>
          <w:tcPr>
            <w:tcW w:w="1240" w:type="dxa"/>
            <w:vMerge w:val="continue"/>
            <w:tcBorders>
              <w:tl2br w:val="nil"/>
              <w:tr2bl w:val="nil"/>
            </w:tcBorders>
            <w:noWrap w:val="0"/>
            <w:tcMar>
              <w:top w:w="12" w:type="dxa"/>
              <w:left w:w="12" w:type="dxa"/>
              <w:right w:w="12" w:type="dxa"/>
            </w:tcMar>
            <w:vAlign w:val="center"/>
          </w:tcPr>
          <w:p>
            <w:pPr>
              <w:keepNext w:val="0"/>
              <w:keepLines w:val="0"/>
              <w:pageBreakBefore w:val="0"/>
              <w:kinsoku/>
              <w:wordWrap/>
              <w:overflowPunct/>
              <w:topLinePunct w:val="0"/>
              <w:autoSpaceDE/>
              <w:autoSpaceDN/>
              <w:bidi w:val="0"/>
              <w:adjustRightInd/>
              <w:snapToGrid/>
              <w:spacing w:line="560" w:lineRule="exact"/>
              <w:jc w:val="center"/>
              <w:rPr>
                <w:rFonts w:hint="eastAsia" w:ascii="华文细黑" w:hAnsi="华文细黑" w:eastAsia="华文细黑" w:cs="华文细黑"/>
                <w:b/>
                <w:i w:val="0"/>
                <w:color w:val="000000"/>
                <w:sz w:val="24"/>
                <w:szCs w:val="24"/>
                <w:u w:val="none"/>
              </w:rPr>
            </w:pPr>
          </w:p>
        </w:tc>
        <w:tc>
          <w:tcPr>
            <w:tcW w:w="2996" w:type="dxa"/>
            <w:tcBorders>
              <w:tl2br w:val="nil"/>
              <w:tr2bl w:val="nil"/>
            </w:tcBorders>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华文细黑" w:hAnsi="华文细黑" w:eastAsia="华文细黑" w:cs="华文细黑"/>
                <w:i w:val="0"/>
                <w:color w:val="000000"/>
                <w:sz w:val="24"/>
                <w:szCs w:val="24"/>
                <w:u w:val="none"/>
              </w:rPr>
            </w:pPr>
            <w:r>
              <w:rPr>
                <w:rFonts w:hint="eastAsia" w:ascii="华文细黑" w:hAnsi="华文细黑" w:eastAsia="华文细黑" w:cs="华文细黑"/>
                <w:i w:val="0"/>
                <w:color w:val="000000"/>
                <w:kern w:val="0"/>
                <w:sz w:val="24"/>
                <w:szCs w:val="24"/>
                <w:u w:val="none"/>
                <w:lang w:val="en-US" w:eastAsia="zh-CN" w:bidi="ar"/>
              </w:rPr>
              <w:t>1000万元以下</w:t>
            </w:r>
          </w:p>
        </w:tc>
        <w:tc>
          <w:tcPr>
            <w:tcW w:w="3289" w:type="dxa"/>
            <w:tcBorders>
              <w:tl2br w:val="nil"/>
              <w:tr2bl w:val="nil"/>
            </w:tcBorders>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华文细黑" w:hAnsi="华文细黑" w:eastAsia="华文细黑" w:cs="华文细黑"/>
                <w:i w:val="0"/>
                <w:color w:val="000000"/>
                <w:sz w:val="24"/>
                <w:szCs w:val="24"/>
                <w:u w:val="none"/>
              </w:rPr>
            </w:pPr>
            <w:r>
              <w:rPr>
                <w:rFonts w:hint="eastAsia" w:ascii="华文细黑" w:hAnsi="华文细黑" w:eastAsia="华文细黑" w:cs="华文细黑"/>
                <w:i w:val="0"/>
                <w:color w:val="000000"/>
                <w:kern w:val="0"/>
                <w:sz w:val="24"/>
                <w:szCs w:val="24"/>
                <w:u w:val="none"/>
                <w:lang w:val="en-US" w:eastAsia="zh-CN" w:bidi="ar"/>
              </w:rPr>
              <w:t>1000万元以上（含1000万元）</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30" w:hRule="atLeast"/>
        </w:trPr>
        <w:tc>
          <w:tcPr>
            <w:tcW w:w="2015" w:type="dxa"/>
            <w:tcBorders>
              <w:tl2br w:val="nil"/>
              <w:tr2bl w:val="nil"/>
            </w:tcBorders>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华文细黑" w:hAnsi="华文细黑" w:eastAsia="华文细黑" w:cs="华文细黑"/>
                <w:i w:val="0"/>
                <w:color w:val="000000"/>
                <w:sz w:val="20"/>
                <w:szCs w:val="20"/>
                <w:u w:val="none"/>
              </w:rPr>
            </w:pPr>
            <w:r>
              <w:rPr>
                <w:rFonts w:hint="eastAsia" w:ascii="华文细黑" w:hAnsi="华文细黑" w:eastAsia="华文细黑" w:cs="华文细黑"/>
                <w:i w:val="0"/>
                <w:color w:val="000000"/>
                <w:kern w:val="0"/>
                <w:sz w:val="20"/>
                <w:szCs w:val="20"/>
                <w:u w:val="none"/>
                <w:lang w:val="en-US" w:eastAsia="zh-CN" w:bidi="ar"/>
              </w:rPr>
              <w:t>工程竣工决算编制费</w:t>
            </w:r>
          </w:p>
        </w:tc>
        <w:tc>
          <w:tcPr>
            <w:tcW w:w="1240" w:type="dxa"/>
            <w:tcBorders>
              <w:tl2br w:val="nil"/>
              <w:tr2bl w:val="nil"/>
            </w:tcBorders>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华文细黑" w:hAnsi="华文细黑" w:eastAsia="华文细黑" w:cs="华文细黑"/>
                <w:i w:val="0"/>
                <w:color w:val="000000"/>
                <w:sz w:val="20"/>
                <w:szCs w:val="20"/>
                <w:u w:val="none"/>
              </w:rPr>
            </w:pPr>
            <w:r>
              <w:rPr>
                <w:rFonts w:hint="eastAsia" w:ascii="华文细黑" w:hAnsi="华文细黑" w:eastAsia="华文细黑" w:cs="华文细黑"/>
                <w:i w:val="0"/>
                <w:color w:val="000000"/>
                <w:kern w:val="0"/>
                <w:sz w:val="20"/>
                <w:szCs w:val="20"/>
                <w:u w:val="none"/>
                <w:lang w:val="en-US" w:eastAsia="zh-CN" w:bidi="ar"/>
              </w:rPr>
              <w:t>项目决算金额（不含税）</w:t>
            </w:r>
          </w:p>
        </w:tc>
        <w:tc>
          <w:tcPr>
            <w:tcW w:w="2996" w:type="dxa"/>
            <w:tcBorders>
              <w:tl2br w:val="nil"/>
              <w:tr2bl w:val="nil"/>
            </w:tcBorders>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华文细黑" w:hAnsi="华文细黑" w:eastAsia="华文细黑" w:cs="华文细黑"/>
                <w:i w:val="0"/>
                <w:color w:val="000000"/>
                <w:sz w:val="28"/>
                <w:szCs w:val="28"/>
                <w:u w:val="none"/>
              </w:rPr>
            </w:pPr>
            <w:r>
              <w:rPr>
                <w:rFonts w:hint="eastAsia" w:ascii="华文细黑" w:hAnsi="华文细黑" w:eastAsia="华文细黑" w:cs="华文细黑"/>
                <w:i w:val="0"/>
                <w:color w:val="000000"/>
                <w:kern w:val="0"/>
                <w:sz w:val="28"/>
                <w:szCs w:val="28"/>
                <w:u w:val="none"/>
                <w:lang w:val="en-US" w:eastAsia="zh-CN" w:bidi="ar"/>
              </w:rPr>
              <w:t>2‰</w:t>
            </w:r>
          </w:p>
        </w:tc>
        <w:tc>
          <w:tcPr>
            <w:tcW w:w="3289" w:type="dxa"/>
            <w:tcBorders>
              <w:tl2br w:val="nil"/>
              <w:tr2bl w:val="nil"/>
            </w:tcBorders>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华文细黑" w:hAnsi="华文细黑" w:eastAsia="华文细黑" w:cs="华文细黑"/>
                <w:i w:val="0"/>
                <w:color w:val="000000"/>
                <w:sz w:val="28"/>
                <w:szCs w:val="28"/>
                <w:u w:val="none"/>
              </w:rPr>
            </w:pPr>
            <w:r>
              <w:rPr>
                <w:rFonts w:hint="eastAsia" w:ascii="华文细黑" w:hAnsi="华文细黑" w:eastAsia="华文细黑" w:cs="华文细黑"/>
                <w:i w:val="0"/>
                <w:color w:val="000000"/>
                <w:kern w:val="0"/>
                <w:sz w:val="28"/>
                <w:szCs w:val="28"/>
                <w:u w:val="none"/>
                <w:lang w:val="en-US" w:eastAsia="zh-CN" w:bidi="ar"/>
              </w:rPr>
              <w:t>1‰</w:t>
            </w:r>
          </w:p>
        </w:tc>
      </w:tr>
    </w:tbl>
    <w:p>
      <w:pPr>
        <w:keepNext w:val="0"/>
        <w:keepLines w:val="0"/>
        <w:pageBreakBefore w:val="0"/>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2.报价应包含6%</w:t>
      </w:r>
      <w:r>
        <w:rPr>
          <w:rFonts w:hint="eastAsia" w:ascii="宋体" w:hAnsi="宋体" w:cs="宋体"/>
          <w:sz w:val="32"/>
          <w:szCs w:val="32"/>
          <w:lang w:val="en-US" w:eastAsia="zh-CN"/>
        </w:rPr>
        <w:t>税率</w:t>
      </w:r>
      <w:r>
        <w:rPr>
          <w:rFonts w:hint="eastAsia" w:ascii="宋体" w:hAnsi="宋体" w:eastAsia="宋体" w:cs="宋体"/>
          <w:sz w:val="32"/>
          <w:szCs w:val="32"/>
          <w:lang w:val="en-US" w:eastAsia="zh-CN"/>
        </w:rPr>
        <w:t>，如报价所含税率不为6%的请在报价表备注中注明。</w:t>
      </w:r>
    </w:p>
    <w:p>
      <w:pPr>
        <w:keepNext w:val="0"/>
        <w:keepLines w:val="0"/>
        <w:pageBreakBefore w:val="0"/>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eastAsia" w:ascii="宋体" w:hAnsi="宋体" w:eastAsia="宋体" w:cs="宋体"/>
          <w:sz w:val="32"/>
          <w:szCs w:val="32"/>
          <w:lang w:val="en-US" w:eastAsia="zh-CN"/>
        </w:rPr>
      </w:pPr>
      <w:r>
        <w:rPr>
          <w:rFonts w:hint="eastAsia" w:ascii="宋体" w:hAnsi="宋体" w:cs="宋体"/>
          <w:sz w:val="32"/>
          <w:szCs w:val="32"/>
          <w:lang w:val="en-US" w:eastAsia="zh-CN"/>
        </w:rPr>
        <w:t>3</w:t>
      </w:r>
      <w:r>
        <w:rPr>
          <w:rFonts w:hint="eastAsia" w:ascii="宋体" w:hAnsi="宋体" w:eastAsia="宋体" w:cs="宋体"/>
          <w:sz w:val="32"/>
          <w:szCs w:val="32"/>
          <w:lang w:val="en-US" w:eastAsia="zh-CN"/>
        </w:rPr>
        <w:t>.结算方式：单项资产评估项目工作完成并经甲方验收三十个工作日内支付全款。（乙方需提供真实有效的增值税专用发票）。</w:t>
      </w:r>
    </w:p>
    <w:p>
      <w:pPr>
        <w:keepNext w:val="0"/>
        <w:keepLines w:val="0"/>
        <w:pageBreakBefore w:val="0"/>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eastAsia" w:ascii="宋体" w:hAnsi="宋体" w:eastAsia="宋体" w:cs="宋体"/>
          <w:sz w:val="32"/>
          <w:szCs w:val="32"/>
          <w:lang w:val="en-US" w:eastAsia="zh-CN"/>
        </w:rPr>
      </w:pPr>
      <w:r>
        <w:rPr>
          <w:rFonts w:hint="eastAsia" w:ascii="宋体" w:hAnsi="宋体" w:cs="宋体"/>
          <w:sz w:val="32"/>
          <w:szCs w:val="32"/>
          <w:lang w:val="en-US" w:eastAsia="zh-CN"/>
        </w:rPr>
        <w:t>4</w:t>
      </w:r>
      <w:r>
        <w:rPr>
          <w:rFonts w:hint="eastAsia" w:ascii="宋体" w:hAnsi="宋体" w:eastAsia="宋体" w:cs="宋体"/>
          <w:sz w:val="32"/>
          <w:szCs w:val="32"/>
          <w:lang w:val="en-US" w:eastAsia="zh-CN"/>
        </w:rPr>
        <w:t>.报价有效期：</w:t>
      </w:r>
      <w:bookmarkStart w:id="0" w:name="_GoBack"/>
      <w:r>
        <w:rPr>
          <w:rFonts w:hint="eastAsia" w:ascii="宋体" w:hAnsi="宋体" w:eastAsia="宋体" w:cs="宋体"/>
          <w:sz w:val="32"/>
          <w:szCs w:val="32"/>
          <w:highlight w:val="none"/>
          <w:lang w:val="en-US" w:eastAsia="zh-CN"/>
        </w:rPr>
        <w:t>60</w:t>
      </w:r>
      <w:bookmarkEnd w:id="0"/>
      <w:r>
        <w:rPr>
          <w:rFonts w:hint="eastAsia" w:ascii="宋体" w:hAnsi="宋体" w:eastAsia="宋体" w:cs="宋体"/>
          <w:sz w:val="32"/>
          <w:szCs w:val="32"/>
          <w:highlight w:val="none"/>
          <w:lang w:val="en-US" w:eastAsia="zh-CN"/>
        </w:rPr>
        <w:t>天。</w:t>
      </w:r>
    </w:p>
    <w:p>
      <w:pPr>
        <w:keepNext w:val="0"/>
        <w:keepLines w:val="0"/>
        <w:pageBreakBefore w:val="0"/>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eastAsia" w:ascii="宋体" w:hAnsi="宋体" w:eastAsia="宋体" w:cs="宋体"/>
          <w:sz w:val="32"/>
          <w:szCs w:val="32"/>
          <w:lang w:val="en-US" w:eastAsia="zh-CN"/>
        </w:rPr>
      </w:pPr>
      <w:r>
        <w:rPr>
          <w:rFonts w:hint="eastAsia" w:ascii="宋体" w:hAnsi="宋体" w:cs="宋体"/>
          <w:sz w:val="32"/>
          <w:szCs w:val="32"/>
          <w:lang w:val="en-US" w:eastAsia="zh-CN"/>
        </w:rPr>
        <w:t>5</w:t>
      </w:r>
      <w:r>
        <w:rPr>
          <w:rFonts w:hint="eastAsia" w:ascii="宋体" w:hAnsi="宋体" w:eastAsia="宋体" w:cs="宋体"/>
          <w:sz w:val="32"/>
          <w:szCs w:val="32"/>
          <w:lang w:val="en-US" w:eastAsia="zh-CN"/>
        </w:rPr>
        <w:t>.确定成交方后3天内发出成交通知书。</w:t>
      </w:r>
    </w:p>
    <w:p>
      <w:pPr>
        <w:keepNext w:val="0"/>
        <w:keepLines w:val="0"/>
        <w:pageBreakBefore w:val="0"/>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eastAsia" w:ascii="宋体" w:hAnsi="宋体" w:eastAsia="宋体" w:cs="宋体"/>
          <w:sz w:val="32"/>
          <w:szCs w:val="32"/>
          <w:lang w:val="en-US" w:eastAsia="zh-CN"/>
        </w:rPr>
      </w:pPr>
      <w:r>
        <w:rPr>
          <w:rFonts w:hint="eastAsia" w:ascii="宋体" w:hAnsi="宋体" w:cs="宋体"/>
          <w:sz w:val="32"/>
          <w:szCs w:val="32"/>
          <w:lang w:val="en-US" w:eastAsia="zh-CN"/>
        </w:rPr>
        <w:t>6</w:t>
      </w:r>
      <w:r>
        <w:rPr>
          <w:rFonts w:hint="eastAsia" w:ascii="宋体" w:hAnsi="宋体" w:eastAsia="宋体" w:cs="宋体"/>
          <w:sz w:val="32"/>
          <w:szCs w:val="32"/>
          <w:lang w:val="en-US" w:eastAsia="zh-CN"/>
        </w:rPr>
        <w:t>.服务时间：合同生效之日起至</w:t>
      </w:r>
      <w:r>
        <w:rPr>
          <w:rFonts w:hint="eastAsia" w:ascii="宋体" w:hAnsi="宋体" w:cs="宋体"/>
          <w:sz w:val="32"/>
          <w:szCs w:val="32"/>
          <w:lang w:val="en-US" w:eastAsia="zh-CN"/>
        </w:rPr>
        <w:t>2026年12月31日</w:t>
      </w:r>
      <w:r>
        <w:rPr>
          <w:rFonts w:hint="eastAsia" w:ascii="宋体" w:hAnsi="宋体" w:eastAsia="宋体" w:cs="宋体"/>
          <w:sz w:val="32"/>
          <w:szCs w:val="32"/>
          <w:lang w:val="en-US" w:eastAsia="zh-CN"/>
        </w:rPr>
        <w:t>止。</w:t>
      </w:r>
    </w:p>
    <w:p>
      <w:pPr>
        <w:keepNext w:val="0"/>
        <w:keepLines w:val="0"/>
        <w:pageBreakBefore w:val="0"/>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eastAsia" w:ascii="宋体" w:hAnsi="宋体" w:eastAsia="宋体" w:cs="宋体"/>
          <w:sz w:val="32"/>
          <w:szCs w:val="32"/>
          <w:lang w:val="en-US" w:eastAsia="zh-CN"/>
        </w:rPr>
      </w:pPr>
      <w:r>
        <w:rPr>
          <w:rFonts w:hint="eastAsia" w:ascii="宋体" w:hAnsi="宋体" w:cs="宋体"/>
          <w:sz w:val="32"/>
          <w:szCs w:val="32"/>
          <w:lang w:val="en-US" w:eastAsia="zh-CN"/>
        </w:rPr>
        <w:t>7</w:t>
      </w:r>
      <w:r>
        <w:rPr>
          <w:rFonts w:hint="eastAsia" w:ascii="宋体" w:hAnsi="宋体" w:eastAsia="宋体" w:cs="宋体"/>
          <w:sz w:val="32"/>
          <w:szCs w:val="32"/>
          <w:lang w:val="en-US" w:eastAsia="zh-CN"/>
        </w:rPr>
        <w:t>.按技术规范书开展</w:t>
      </w:r>
      <w:r>
        <w:rPr>
          <w:rFonts w:hint="eastAsia" w:ascii="宋体" w:hAnsi="宋体" w:cs="宋体"/>
          <w:sz w:val="32"/>
          <w:szCs w:val="32"/>
          <w:lang w:val="en-US" w:eastAsia="zh-CN"/>
        </w:rPr>
        <w:t>服务、</w:t>
      </w:r>
      <w:r>
        <w:rPr>
          <w:rFonts w:hint="eastAsia" w:ascii="宋体" w:hAnsi="宋体" w:eastAsia="宋体" w:cs="宋体"/>
          <w:sz w:val="32"/>
          <w:szCs w:val="32"/>
          <w:lang w:val="en-US" w:eastAsia="zh-CN"/>
        </w:rPr>
        <w:t>验收。</w:t>
      </w:r>
    </w:p>
    <w:p>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580" w:lineRule="exact"/>
        <w:ind w:left="0" w:leftChars="0" w:right="0" w:firstLine="643" w:firstLineChars="200"/>
        <w:jc w:val="both"/>
        <w:textAlignment w:val="auto"/>
        <w:rPr>
          <w:rFonts w:hint="eastAsia" w:ascii="宋体" w:hAnsi="宋体" w:eastAsia="宋体" w:cs="宋体"/>
          <w:b/>
          <w:bCs/>
          <w:i w:val="0"/>
          <w:iCs w:val="0"/>
          <w:caps w:val="0"/>
          <w:spacing w:val="0"/>
          <w:sz w:val="32"/>
          <w:szCs w:val="32"/>
          <w:lang w:eastAsia="zh-CN"/>
        </w:rPr>
      </w:pPr>
      <w:r>
        <w:rPr>
          <w:rFonts w:hint="eastAsia" w:ascii="宋体" w:hAnsi="宋体" w:eastAsia="宋体" w:cs="宋体"/>
          <w:b/>
          <w:bCs/>
          <w:i w:val="0"/>
          <w:iCs w:val="0"/>
          <w:caps w:val="0"/>
          <w:spacing w:val="0"/>
          <w:sz w:val="32"/>
          <w:szCs w:val="32"/>
          <w:lang w:eastAsia="zh-CN"/>
        </w:rPr>
        <w:t>商务响应文件</w:t>
      </w:r>
    </w:p>
    <w:p>
      <w:pPr>
        <w:pStyle w:val="3"/>
        <w:keepNext w:val="0"/>
        <w:keepLines w:val="0"/>
        <w:pageBreakBefore w:val="0"/>
        <w:numPr>
          <w:ilvl w:val="0"/>
          <w:numId w:val="0"/>
        </w:numPr>
        <w:kinsoku/>
        <w:wordWrap/>
        <w:overflowPunct/>
        <w:topLinePunct w:val="0"/>
        <w:autoSpaceDE/>
        <w:autoSpaceDN/>
        <w:bidi w:val="0"/>
        <w:adjustRightInd/>
        <w:snapToGrid/>
        <w:spacing w:after="0" w:afterLines="0" w:line="580" w:lineRule="exact"/>
        <w:ind w:leftChars="0" w:firstLine="640" w:firstLineChars="200"/>
        <w:jc w:val="both"/>
        <w:textAlignment w:val="auto"/>
        <w:rPr>
          <w:rFonts w:hint="eastAsia" w:ascii="宋体" w:hAnsi="宋体" w:eastAsia="宋体" w:cs="宋体"/>
          <w:b w:val="0"/>
          <w:bCs w:val="0"/>
          <w:sz w:val="32"/>
          <w:szCs w:val="32"/>
          <w:lang w:val="en-US" w:eastAsia="zh-CN"/>
        </w:rPr>
      </w:pPr>
      <w:r>
        <w:rPr>
          <w:rFonts w:hint="eastAsia" w:ascii="宋体" w:hAnsi="宋体" w:eastAsia="宋体" w:cs="宋体"/>
          <w:b w:val="0"/>
          <w:bCs w:val="0"/>
          <w:sz w:val="32"/>
          <w:szCs w:val="32"/>
          <w:lang w:val="en-US" w:eastAsia="zh-CN"/>
        </w:rPr>
        <w:t>商务响应文件内容为企业营业执照副本（复印件）、法定代表人授权书、法定代表身份证明、被授权人身份证明、质量保证、服务承诺、企业相关业绩表及证明材料等，格式自拟。</w:t>
      </w:r>
      <w:r>
        <w:rPr>
          <w:rFonts w:hint="eastAsia" w:ascii="宋体" w:hAnsi="宋体" w:eastAsia="宋体" w:cs="宋体"/>
          <w:b w:val="0"/>
          <w:bCs w:val="0"/>
          <w:sz w:val="32"/>
          <w:szCs w:val="32"/>
          <w:lang w:val="en-US" w:eastAsia="zh-CN"/>
        </w:rPr>
        <w:br w:type="textWrapping"/>
      </w:r>
      <w:r>
        <w:rPr>
          <w:rFonts w:hint="eastAsia" w:ascii="宋体" w:hAnsi="宋体" w:cs="宋体"/>
          <w:b w:val="0"/>
          <w:bCs w:val="0"/>
          <w:sz w:val="32"/>
          <w:szCs w:val="32"/>
          <w:lang w:val="en-US" w:eastAsia="zh-CN"/>
        </w:rPr>
        <w:t xml:space="preserve">   </w:t>
      </w:r>
      <w:r>
        <w:rPr>
          <w:rFonts w:hint="eastAsia" w:ascii="宋体" w:hAnsi="宋体" w:eastAsia="宋体" w:cs="宋体"/>
          <w:b/>
          <w:bCs/>
          <w:sz w:val="32"/>
          <w:szCs w:val="32"/>
          <w:lang w:val="en-US" w:eastAsia="zh-CN"/>
        </w:rPr>
        <w:t>（三）技术响应文件</w:t>
      </w:r>
    </w:p>
    <w:p>
      <w:pPr>
        <w:pStyle w:val="3"/>
        <w:keepNext w:val="0"/>
        <w:keepLines w:val="0"/>
        <w:pageBreakBefore w:val="0"/>
        <w:numPr>
          <w:ilvl w:val="0"/>
          <w:numId w:val="0"/>
        </w:numPr>
        <w:kinsoku/>
        <w:wordWrap/>
        <w:overflowPunct/>
        <w:topLinePunct w:val="0"/>
        <w:autoSpaceDE/>
        <w:autoSpaceDN/>
        <w:bidi w:val="0"/>
        <w:adjustRightInd/>
        <w:snapToGrid/>
        <w:spacing w:after="0" w:afterLines="0" w:line="580" w:lineRule="exact"/>
        <w:ind w:leftChars="0" w:firstLine="640" w:firstLineChars="200"/>
        <w:jc w:val="both"/>
        <w:textAlignment w:val="auto"/>
        <w:rPr>
          <w:rFonts w:hint="eastAsia" w:ascii="宋体" w:hAnsi="宋体" w:eastAsia="宋体" w:cs="宋体"/>
          <w:b w:val="0"/>
          <w:bCs w:val="0"/>
          <w:sz w:val="32"/>
          <w:szCs w:val="32"/>
          <w:lang w:val="en-US" w:eastAsia="zh-CN"/>
        </w:rPr>
      </w:pPr>
      <w:r>
        <w:rPr>
          <w:rFonts w:hint="eastAsia" w:ascii="宋体" w:hAnsi="宋体" w:eastAsia="宋体" w:cs="宋体"/>
          <w:b w:val="0"/>
          <w:bCs w:val="0"/>
          <w:sz w:val="32"/>
          <w:szCs w:val="32"/>
          <w:lang w:val="en-US" w:eastAsia="zh-CN"/>
        </w:rPr>
        <w:t>技术响应文件内容为对采购文件的技术部分要求进行逐条点对点应答，包含技术投标偏差表、技术方案的详细描述、企业技术能力说明等，格式自拟。</w:t>
      </w:r>
      <w:r>
        <w:rPr>
          <w:rFonts w:hint="eastAsia" w:ascii="宋体" w:hAnsi="宋体" w:eastAsia="宋体" w:cs="宋体"/>
          <w:b w:val="0"/>
          <w:bCs w:val="0"/>
          <w:sz w:val="32"/>
          <w:szCs w:val="32"/>
          <w:lang w:val="en-US" w:eastAsia="zh-CN"/>
        </w:rPr>
        <w:br w:type="textWrapping"/>
      </w:r>
      <w:r>
        <w:rPr>
          <w:rFonts w:hint="eastAsia" w:ascii="宋体" w:hAnsi="宋体" w:eastAsia="宋体" w:cs="宋体"/>
          <w:b w:val="0"/>
          <w:bCs w:val="0"/>
          <w:sz w:val="32"/>
          <w:szCs w:val="32"/>
          <w:lang w:val="en-US" w:eastAsia="zh-CN"/>
        </w:rPr>
        <w:t>三、</w:t>
      </w:r>
      <w:r>
        <w:rPr>
          <w:rFonts w:hint="eastAsia" w:ascii="宋体" w:hAnsi="宋体" w:eastAsia="宋体" w:cs="宋体"/>
          <w:b/>
          <w:bCs/>
          <w:sz w:val="32"/>
          <w:szCs w:val="32"/>
          <w:lang w:val="en-US" w:eastAsia="zh-CN"/>
        </w:rPr>
        <w:t>响应和偏差</w:t>
      </w:r>
    </w:p>
    <w:p>
      <w:pPr>
        <w:pStyle w:val="3"/>
        <w:keepNext w:val="0"/>
        <w:keepLines w:val="0"/>
        <w:pageBreakBefore w:val="0"/>
        <w:numPr>
          <w:ilvl w:val="0"/>
          <w:numId w:val="0"/>
        </w:numPr>
        <w:kinsoku/>
        <w:wordWrap/>
        <w:overflowPunct/>
        <w:topLinePunct w:val="0"/>
        <w:autoSpaceDE/>
        <w:autoSpaceDN/>
        <w:bidi w:val="0"/>
        <w:adjustRightInd/>
        <w:snapToGrid/>
        <w:spacing w:after="0" w:afterLines="0" w:line="580" w:lineRule="exact"/>
        <w:ind w:firstLine="640" w:firstLineChars="200"/>
        <w:jc w:val="both"/>
        <w:textAlignment w:val="auto"/>
        <w:rPr>
          <w:rFonts w:hint="eastAsia" w:ascii="宋体" w:hAnsi="宋体" w:eastAsia="宋体" w:cs="宋体"/>
          <w:b w:val="0"/>
          <w:bCs w:val="0"/>
          <w:sz w:val="32"/>
          <w:szCs w:val="32"/>
          <w:lang w:val="en-US" w:eastAsia="zh-CN"/>
        </w:rPr>
      </w:pPr>
      <w:r>
        <w:rPr>
          <w:rFonts w:hint="eastAsia" w:ascii="宋体" w:hAnsi="宋体" w:eastAsia="宋体" w:cs="宋体"/>
          <w:b w:val="0"/>
          <w:bCs w:val="0"/>
          <w:sz w:val="32"/>
          <w:szCs w:val="32"/>
          <w:lang w:val="en-US" w:eastAsia="zh-CN"/>
        </w:rPr>
        <w:t>1.响应人对采购文件的所有条款、条件及规定的任何技术或商务的偏差，都应在响应文件中加以说明。如有偏差，响应人应在商务响应文件或技术响应文件中进行说明，不得修改技术规范书中明确列明的技术参数而不提出偏差。如无偏差，响应人应在响应文件中写“无偏差”。对于响应人未列明的偏差部分，采购人将视为响应人未提出该偏差。</w:t>
      </w:r>
    </w:p>
    <w:p>
      <w:pPr>
        <w:pStyle w:val="3"/>
        <w:keepNext w:val="0"/>
        <w:keepLines w:val="0"/>
        <w:pageBreakBefore w:val="0"/>
        <w:numPr>
          <w:ilvl w:val="0"/>
          <w:numId w:val="0"/>
        </w:numPr>
        <w:kinsoku/>
        <w:wordWrap/>
        <w:overflowPunct/>
        <w:topLinePunct w:val="0"/>
        <w:autoSpaceDE/>
        <w:autoSpaceDN/>
        <w:bidi w:val="0"/>
        <w:adjustRightInd/>
        <w:snapToGrid/>
        <w:spacing w:after="0" w:afterLines="0" w:line="580" w:lineRule="exact"/>
        <w:ind w:firstLine="640" w:firstLineChars="200"/>
        <w:jc w:val="both"/>
        <w:textAlignment w:val="auto"/>
        <w:rPr>
          <w:rFonts w:hint="eastAsia" w:ascii="宋体" w:hAnsi="宋体" w:eastAsia="宋体" w:cs="宋体"/>
          <w:b w:val="0"/>
          <w:bCs w:val="0"/>
          <w:sz w:val="32"/>
          <w:szCs w:val="32"/>
          <w:lang w:val="en-US" w:eastAsia="zh-CN"/>
        </w:rPr>
      </w:pPr>
      <w:r>
        <w:rPr>
          <w:rFonts w:hint="eastAsia" w:ascii="宋体" w:hAnsi="宋体" w:eastAsia="宋体" w:cs="宋体"/>
          <w:b w:val="0"/>
          <w:bCs w:val="0"/>
          <w:sz w:val="32"/>
          <w:szCs w:val="32"/>
          <w:lang w:val="en-US" w:eastAsia="zh-CN"/>
        </w:rPr>
        <w:t>2.如果响应人的响应文件存在实际偏差，但是未在响应文件中明确列出，导致合同无法签订的，采购人可以取消响应人的供货资格，并按照国家有关法律法规和中国南方电网有限责任公司相关规定对该响应人进行处理。</w:t>
      </w:r>
    </w:p>
    <w:p>
      <w:pPr>
        <w:pStyle w:val="3"/>
        <w:keepNext w:val="0"/>
        <w:keepLines w:val="0"/>
        <w:pageBreakBefore w:val="0"/>
        <w:widowControl w:val="0"/>
        <w:numPr>
          <w:ilvl w:val="0"/>
          <w:numId w:val="0"/>
        </w:numPr>
        <w:kinsoku/>
        <w:wordWrap/>
        <w:overflowPunct/>
        <w:topLinePunct w:val="0"/>
        <w:autoSpaceDE/>
        <w:autoSpaceDN/>
        <w:bidi w:val="0"/>
        <w:adjustRightInd/>
        <w:snapToGrid/>
        <w:spacing w:after="0" w:afterLines="0" w:line="580" w:lineRule="exact"/>
        <w:ind w:firstLine="643" w:firstLineChars="200"/>
        <w:jc w:val="both"/>
        <w:textAlignment w:val="auto"/>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四、响应文件提供及签署要求</w:t>
      </w:r>
    </w:p>
    <w:p>
      <w:pPr>
        <w:pStyle w:val="4"/>
        <w:keepNext w:val="0"/>
        <w:keepLines w:val="0"/>
        <w:pageBreakBefore w:val="0"/>
        <w:widowControl w:val="0"/>
        <w:kinsoku/>
        <w:wordWrap/>
        <w:overflowPunct/>
        <w:topLinePunct w:val="0"/>
        <w:autoSpaceDE/>
        <w:autoSpaceDN/>
        <w:bidi w:val="0"/>
        <w:adjustRightInd/>
        <w:snapToGrid/>
        <w:spacing w:before="0" w:after="0" w:line="580" w:lineRule="exact"/>
        <w:ind w:firstLine="640" w:firstLineChars="200"/>
        <w:jc w:val="both"/>
        <w:textAlignment w:val="auto"/>
        <w:rPr>
          <w:rFonts w:hint="eastAsia" w:ascii="宋体" w:hAnsi="宋体" w:eastAsia="宋体" w:cs="宋体"/>
          <w:b w:val="0"/>
          <w:bCs w:val="0"/>
          <w:sz w:val="32"/>
          <w:szCs w:val="32"/>
          <w:lang w:val="en-US" w:eastAsia="zh-CN"/>
        </w:rPr>
      </w:pPr>
      <w:r>
        <w:rPr>
          <w:rFonts w:hint="eastAsia" w:ascii="宋体" w:hAnsi="宋体" w:eastAsia="宋体" w:cs="宋体"/>
          <w:b w:val="0"/>
          <w:bCs w:val="0"/>
          <w:sz w:val="32"/>
          <w:szCs w:val="32"/>
          <w:lang w:val="en-US" w:eastAsia="zh-CN"/>
        </w:rPr>
        <w:t>1.未提供报价表、</w:t>
      </w:r>
      <w:r>
        <w:rPr>
          <w:rFonts w:hint="eastAsia" w:ascii="宋体" w:hAnsi="宋体" w:eastAsia="宋体" w:cs="宋体"/>
          <w:b w:val="0"/>
          <w:bCs w:val="0"/>
          <w:i w:val="0"/>
          <w:iCs w:val="0"/>
          <w:caps w:val="0"/>
          <w:spacing w:val="0"/>
          <w:sz w:val="32"/>
          <w:szCs w:val="32"/>
          <w:lang w:eastAsia="zh-CN"/>
        </w:rPr>
        <w:t>商务响应文件、</w:t>
      </w:r>
      <w:r>
        <w:rPr>
          <w:rFonts w:hint="eastAsia" w:ascii="宋体" w:hAnsi="宋体" w:eastAsia="宋体" w:cs="宋体"/>
          <w:b w:val="0"/>
          <w:bCs w:val="0"/>
          <w:sz w:val="32"/>
          <w:szCs w:val="32"/>
          <w:lang w:val="en-US" w:eastAsia="zh-CN"/>
        </w:rPr>
        <w:t>技术响应文件的作否决响应处理。</w:t>
      </w:r>
    </w:p>
    <w:p>
      <w:pPr>
        <w:pStyle w:val="4"/>
        <w:keepNext w:val="0"/>
        <w:keepLines w:val="0"/>
        <w:pageBreakBefore w:val="0"/>
        <w:widowControl w:val="0"/>
        <w:kinsoku/>
        <w:wordWrap/>
        <w:overflowPunct/>
        <w:topLinePunct w:val="0"/>
        <w:autoSpaceDE/>
        <w:autoSpaceDN/>
        <w:bidi w:val="0"/>
        <w:adjustRightInd/>
        <w:snapToGrid/>
        <w:spacing w:before="0" w:after="0" w:line="580" w:lineRule="exact"/>
        <w:ind w:firstLine="640" w:firstLineChars="200"/>
        <w:jc w:val="both"/>
        <w:textAlignment w:val="auto"/>
        <w:rPr>
          <w:rFonts w:hint="eastAsia" w:ascii="宋体" w:hAnsi="宋体" w:eastAsia="宋体" w:cs="宋体"/>
          <w:b w:val="0"/>
          <w:bCs w:val="0"/>
          <w:sz w:val="32"/>
          <w:szCs w:val="32"/>
          <w:lang w:val="en-US" w:eastAsia="zh-CN"/>
        </w:rPr>
      </w:pPr>
      <w:r>
        <w:rPr>
          <w:rFonts w:hint="eastAsia" w:ascii="宋体" w:hAnsi="宋体" w:eastAsia="宋体" w:cs="宋体"/>
          <w:b w:val="0"/>
          <w:bCs w:val="0"/>
          <w:sz w:val="32"/>
          <w:szCs w:val="32"/>
          <w:lang w:val="en-US" w:eastAsia="zh-CN"/>
        </w:rPr>
        <w:t>2.报价文件、商务响应文件、技术响应文件须盖单位章，如无盖章的，作否决响应处理。</w:t>
      </w:r>
    </w:p>
    <w:p>
      <w:pPr>
        <w:keepNext w:val="0"/>
        <w:keepLines w:val="0"/>
        <w:pageBreakBefore w:val="0"/>
        <w:kinsoku/>
        <w:wordWrap/>
        <w:overflowPunct/>
        <w:topLinePunct w:val="0"/>
        <w:autoSpaceDE/>
        <w:autoSpaceDN/>
        <w:bidi w:val="0"/>
        <w:adjustRightInd/>
        <w:snapToGrid/>
        <w:spacing w:line="580" w:lineRule="exact"/>
        <w:ind w:firstLine="643" w:firstLineChars="200"/>
        <w:jc w:val="both"/>
        <w:textAlignment w:val="auto"/>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五、成交原则</w:t>
      </w:r>
    </w:p>
    <w:p>
      <w:pPr>
        <w:keepNext w:val="0"/>
        <w:keepLines w:val="0"/>
        <w:pageBreakBefore w:val="0"/>
        <w:kinsoku/>
        <w:wordWrap/>
        <w:overflowPunct/>
        <w:topLinePunct w:val="0"/>
        <w:autoSpaceDE/>
        <w:autoSpaceDN/>
        <w:bidi w:val="0"/>
        <w:adjustRightInd/>
        <w:snapToGrid/>
        <w:spacing w:line="580" w:lineRule="exact"/>
        <w:ind w:firstLine="640" w:firstLineChars="200"/>
        <w:jc w:val="both"/>
        <w:textAlignment w:val="auto"/>
        <w:rPr>
          <w:rFonts w:hint="eastAsia" w:ascii="宋体" w:hAnsi="宋体" w:eastAsia="宋体" w:cs="宋体"/>
          <w:b w:val="0"/>
          <w:bCs w:val="0"/>
          <w:kern w:val="2"/>
          <w:sz w:val="32"/>
          <w:szCs w:val="32"/>
          <w:lang w:val="en-US" w:eastAsia="zh-CN" w:bidi="ar-SA"/>
        </w:rPr>
      </w:pPr>
      <w:r>
        <w:rPr>
          <w:rFonts w:hint="eastAsia" w:ascii="宋体" w:hAnsi="宋体" w:eastAsia="宋体" w:cs="宋体"/>
          <w:b w:val="0"/>
          <w:bCs w:val="0"/>
          <w:kern w:val="2"/>
          <w:sz w:val="32"/>
          <w:szCs w:val="32"/>
          <w:lang w:val="en-US" w:eastAsia="zh-CN" w:bidi="ar-SA"/>
        </w:rPr>
        <w:t>满足要求且含税报价最低的作为成交供应商；报价相同的，按报价时间先后顺序推荐成交供应商。</w:t>
      </w:r>
    </w:p>
    <w:p>
      <w:pPr>
        <w:pStyle w:val="3"/>
        <w:keepNext w:val="0"/>
        <w:keepLines w:val="0"/>
        <w:pageBreakBefore w:val="0"/>
        <w:numPr>
          <w:ilvl w:val="0"/>
          <w:numId w:val="2"/>
        </w:numPr>
        <w:kinsoku/>
        <w:wordWrap/>
        <w:overflowPunct/>
        <w:topLinePunct w:val="0"/>
        <w:autoSpaceDE/>
        <w:autoSpaceDN/>
        <w:bidi w:val="0"/>
        <w:adjustRightInd/>
        <w:snapToGrid/>
        <w:spacing w:after="0" w:afterLines="0" w:line="580" w:lineRule="exact"/>
        <w:ind w:firstLine="643" w:firstLineChars="200"/>
        <w:jc w:val="both"/>
        <w:textAlignment w:val="auto"/>
        <w:rPr>
          <w:rFonts w:hint="eastAsia" w:ascii="宋体" w:hAnsi="宋体" w:eastAsia="宋体" w:cs="宋体"/>
          <w:b/>
          <w:bCs/>
          <w:kern w:val="2"/>
          <w:sz w:val="32"/>
          <w:szCs w:val="32"/>
          <w:lang w:val="en-US" w:eastAsia="zh-CN" w:bidi="ar-SA"/>
        </w:rPr>
      </w:pPr>
      <w:r>
        <w:rPr>
          <w:rFonts w:hint="eastAsia" w:ascii="宋体" w:hAnsi="宋体" w:eastAsia="宋体" w:cs="宋体"/>
          <w:b/>
          <w:bCs/>
          <w:kern w:val="2"/>
          <w:sz w:val="32"/>
          <w:szCs w:val="32"/>
          <w:lang w:val="en-US" w:eastAsia="zh-CN" w:bidi="ar-SA"/>
        </w:rPr>
        <w:t>联系方式：</w:t>
      </w:r>
    </w:p>
    <w:p>
      <w:pPr>
        <w:pStyle w:val="3"/>
        <w:keepNext w:val="0"/>
        <w:keepLines w:val="0"/>
        <w:pageBreakBefore w:val="0"/>
        <w:numPr>
          <w:ilvl w:val="0"/>
          <w:numId w:val="0"/>
        </w:numPr>
        <w:kinsoku/>
        <w:wordWrap/>
        <w:overflowPunct/>
        <w:topLinePunct w:val="0"/>
        <w:autoSpaceDE/>
        <w:autoSpaceDN/>
        <w:bidi w:val="0"/>
        <w:adjustRightInd/>
        <w:snapToGrid/>
        <w:spacing w:after="0" w:afterLines="0" w:line="580" w:lineRule="exact"/>
        <w:ind w:firstLine="960" w:firstLineChars="300"/>
        <w:jc w:val="both"/>
        <w:textAlignment w:val="auto"/>
        <w:rPr>
          <w:rFonts w:hint="eastAsia" w:ascii="宋体" w:hAnsi="宋体" w:eastAsia="宋体" w:cs="宋体"/>
          <w:b w:val="0"/>
          <w:bCs w:val="0"/>
          <w:kern w:val="2"/>
          <w:sz w:val="32"/>
          <w:szCs w:val="32"/>
          <w:lang w:val="en-US" w:eastAsia="zh-CN" w:bidi="ar-SA"/>
        </w:rPr>
      </w:pPr>
      <w:r>
        <w:rPr>
          <w:rFonts w:hint="eastAsia" w:ascii="宋体" w:hAnsi="宋体" w:eastAsia="宋体" w:cs="宋体"/>
          <w:b w:val="0"/>
          <w:bCs w:val="0"/>
          <w:kern w:val="2"/>
          <w:sz w:val="32"/>
          <w:szCs w:val="32"/>
          <w:lang w:val="en-US" w:eastAsia="zh-CN" w:bidi="ar-SA"/>
        </w:rPr>
        <w:t>李香    电话：18378476496  0774-5616393</w:t>
      </w:r>
    </w:p>
    <w:p>
      <w:pPr>
        <w:pStyle w:val="3"/>
        <w:keepNext w:val="0"/>
        <w:keepLines w:val="0"/>
        <w:pageBreakBefore w:val="0"/>
        <w:numPr>
          <w:ilvl w:val="0"/>
          <w:numId w:val="0"/>
        </w:numPr>
        <w:kinsoku/>
        <w:wordWrap/>
        <w:overflowPunct/>
        <w:topLinePunct w:val="0"/>
        <w:autoSpaceDE/>
        <w:autoSpaceDN/>
        <w:bidi w:val="0"/>
        <w:adjustRightInd/>
        <w:snapToGrid/>
        <w:spacing w:after="0" w:afterLines="0" w:line="580" w:lineRule="exact"/>
        <w:ind w:firstLine="640" w:firstLineChars="200"/>
        <w:jc w:val="both"/>
        <w:textAlignment w:val="auto"/>
        <w:rPr>
          <w:rFonts w:hint="eastAsia" w:ascii="宋体" w:hAnsi="宋体" w:eastAsia="宋体" w:cs="宋体"/>
          <w:b w:val="0"/>
          <w:bCs w:val="0"/>
          <w:kern w:val="2"/>
          <w:sz w:val="32"/>
          <w:szCs w:val="32"/>
          <w:lang w:val="en-US" w:eastAsia="zh-CN" w:bidi="ar-SA"/>
        </w:rPr>
      </w:pPr>
    </w:p>
    <w:p>
      <w:pPr>
        <w:pStyle w:val="3"/>
        <w:keepNext w:val="0"/>
        <w:keepLines w:val="0"/>
        <w:pageBreakBefore w:val="0"/>
        <w:numPr>
          <w:ilvl w:val="0"/>
          <w:numId w:val="0"/>
        </w:numPr>
        <w:kinsoku/>
        <w:wordWrap/>
        <w:overflowPunct/>
        <w:topLinePunct w:val="0"/>
        <w:autoSpaceDE/>
        <w:autoSpaceDN/>
        <w:bidi w:val="0"/>
        <w:adjustRightInd/>
        <w:snapToGrid/>
        <w:spacing w:after="0" w:afterLines="0" w:line="580" w:lineRule="exact"/>
        <w:ind w:firstLine="4800" w:firstLineChars="1500"/>
        <w:jc w:val="both"/>
        <w:textAlignment w:val="auto"/>
        <w:rPr>
          <w:rFonts w:hint="eastAsia" w:ascii="宋体" w:hAnsi="宋体" w:eastAsia="宋体" w:cs="宋体"/>
          <w:b w:val="0"/>
          <w:bCs w:val="0"/>
          <w:kern w:val="2"/>
          <w:sz w:val="32"/>
          <w:szCs w:val="32"/>
          <w:lang w:val="en-US" w:eastAsia="zh-CN" w:bidi="ar-SA"/>
        </w:rPr>
      </w:pPr>
      <w:r>
        <w:rPr>
          <w:rFonts w:hint="eastAsia" w:ascii="宋体" w:hAnsi="宋体" w:eastAsia="宋体" w:cs="宋体"/>
          <w:b w:val="0"/>
          <w:bCs w:val="0"/>
          <w:kern w:val="2"/>
          <w:sz w:val="32"/>
          <w:szCs w:val="32"/>
          <w:lang w:val="en-US" w:eastAsia="zh-CN" w:bidi="ar-SA"/>
        </w:rPr>
        <w:t>贺州供电局</w:t>
      </w:r>
      <w:r>
        <w:rPr>
          <w:rFonts w:hint="eastAsia" w:ascii="宋体" w:hAnsi="宋体" w:cs="宋体"/>
          <w:b w:val="0"/>
          <w:bCs w:val="0"/>
          <w:kern w:val="2"/>
          <w:sz w:val="32"/>
          <w:szCs w:val="32"/>
          <w:lang w:val="en-US" w:eastAsia="zh-CN" w:bidi="ar-SA"/>
        </w:rPr>
        <w:t>计财部</w:t>
      </w:r>
    </w:p>
    <w:p>
      <w:pPr>
        <w:pStyle w:val="4"/>
        <w:keepNext w:val="0"/>
        <w:keepLines w:val="0"/>
        <w:pageBreakBefore w:val="0"/>
        <w:kinsoku/>
        <w:wordWrap/>
        <w:overflowPunct/>
        <w:topLinePunct w:val="0"/>
        <w:autoSpaceDE/>
        <w:autoSpaceDN/>
        <w:bidi w:val="0"/>
        <w:adjustRightInd/>
        <w:snapToGrid/>
        <w:spacing w:before="0" w:after="0" w:line="580" w:lineRule="exact"/>
        <w:ind w:firstLine="640" w:firstLineChars="200"/>
        <w:textAlignment w:val="auto"/>
        <w:rPr>
          <w:rFonts w:hint="default"/>
          <w:lang w:val="en-US" w:eastAsia="zh-CN"/>
        </w:rPr>
      </w:pPr>
      <w:r>
        <w:rPr>
          <w:rFonts w:hint="eastAsia"/>
          <w:b w:val="0"/>
          <w:bCs w:val="0"/>
          <w:lang w:val="en-US" w:eastAsia="zh-CN"/>
        </w:rPr>
        <w:t xml:space="preserve">                    2026年1月15日</w:t>
      </w:r>
    </w:p>
    <w:sectPr>
      <w:pgSz w:w="11906" w:h="16838"/>
      <w:pgMar w:top="1440" w:right="1803" w:bottom="1440" w:left="1803" w:header="851" w:footer="992" w:gutter="0"/>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Calibri-Bold">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96186E"/>
    <w:multiLevelType w:val="singleLevel"/>
    <w:tmpl w:val="9C96186E"/>
    <w:lvl w:ilvl="0" w:tentative="0">
      <w:start w:val="1"/>
      <w:numFmt w:val="chineseCounting"/>
      <w:suff w:val="nothing"/>
      <w:lvlText w:val="（%1）"/>
      <w:lvlJc w:val="left"/>
      <w:rPr>
        <w:rFonts w:hint="eastAsia"/>
      </w:rPr>
    </w:lvl>
  </w:abstractNum>
  <w:abstractNum w:abstractNumId="1">
    <w:nsid w:val="275553C7"/>
    <w:multiLevelType w:val="singleLevel"/>
    <w:tmpl w:val="275553C7"/>
    <w:lvl w:ilvl="0" w:tentative="0">
      <w:start w:val="6"/>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C1C5471"/>
    <w:rsid w:val="078C4434"/>
    <w:rsid w:val="07D70B43"/>
    <w:rsid w:val="0E4037FC"/>
    <w:rsid w:val="0E584AF7"/>
    <w:rsid w:val="110A18CA"/>
    <w:rsid w:val="116468B2"/>
    <w:rsid w:val="11807557"/>
    <w:rsid w:val="15EC0B13"/>
    <w:rsid w:val="16660579"/>
    <w:rsid w:val="1783795A"/>
    <w:rsid w:val="17EE32B7"/>
    <w:rsid w:val="19B008CA"/>
    <w:rsid w:val="1BB03B81"/>
    <w:rsid w:val="1C1C5471"/>
    <w:rsid w:val="1C685B1A"/>
    <w:rsid w:val="22A70261"/>
    <w:rsid w:val="22DE4E8F"/>
    <w:rsid w:val="23632818"/>
    <w:rsid w:val="23F04A84"/>
    <w:rsid w:val="2CEB45D3"/>
    <w:rsid w:val="2FFD4166"/>
    <w:rsid w:val="30130075"/>
    <w:rsid w:val="35B25AC7"/>
    <w:rsid w:val="38EB64AE"/>
    <w:rsid w:val="39BA1DAD"/>
    <w:rsid w:val="39EE7014"/>
    <w:rsid w:val="3C3C0C29"/>
    <w:rsid w:val="3DEB6224"/>
    <w:rsid w:val="3E506E74"/>
    <w:rsid w:val="434F222C"/>
    <w:rsid w:val="448C4E25"/>
    <w:rsid w:val="454F4CD3"/>
    <w:rsid w:val="45A924E1"/>
    <w:rsid w:val="479218B2"/>
    <w:rsid w:val="49396A93"/>
    <w:rsid w:val="4A04384D"/>
    <w:rsid w:val="4C403398"/>
    <w:rsid w:val="50294B36"/>
    <w:rsid w:val="50AF7019"/>
    <w:rsid w:val="52147498"/>
    <w:rsid w:val="5653090B"/>
    <w:rsid w:val="56AD4D9D"/>
    <w:rsid w:val="57D149C7"/>
    <w:rsid w:val="59A70AF9"/>
    <w:rsid w:val="5AF9281A"/>
    <w:rsid w:val="5B6E4FED"/>
    <w:rsid w:val="5C977119"/>
    <w:rsid w:val="60DE2ED4"/>
    <w:rsid w:val="612B56BE"/>
    <w:rsid w:val="615D7FE7"/>
    <w:rsid w:val="62251C7F"/>
    <w:rsid w:val="62DA4A25"/>
    <w:rsid w:val="62DE3D1E"/>
    <w:rsid w:val="63B4163B"/>
    <w:rsid w:val="6BB96AD6"/>
    <w:rsid w:val="6C573B71"/>
    <w:rsid w:val="6F994CE1"/>
    <w:rsid w:val="70DF3982"/>
    <w:rsid w:val="71097529"/>
    <w:rsid w:val="725C0CAA"/>
    <w:rsid w:val="72F07F6D"/>
    <w:rsid w:val="73362DE5"/>
    <w:rsid w:val="73DB5234"/>
    <w:rsid w:val="74952DAB"/>
    <w:rsid w:val="77B63F8B"/>
    <w:rsid w:val="786C4E91"/>
    <w:rsid w:val="78ED7D37"/>
    <w:rsid w:val="7C7D05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line="240" w:lineRule="auto"/>
      <w:ind w:left="420" w:leftChars="200"/>
    </w:pPr>
    <w:rPr>
      <w:rFonts w:cs="Times New Roman"/>
    </w:rPr>
  </w:style>
  <w:style w:type="paragraph" w:styleId="3">
    <w:name w:val="Body Text"/>
    <w:basedOn w:val="1"/>
    <w:next w:val="4"/>
    <w:unhideWhenUsed/>
    <w:qFormat/>
    <w:uiPriority w:val="99"/>
    <w:pPr>
      <w:spacing w:after="120" w:afterLines="0"/>
    </w:pPr>
  </w:style>
  <w:style w:type="paragraph" w:styleId="4">
    <w:name w:val="Title"/>
    <w:basedOn w:val="1"/>
    <w:next w:val="1"/>
    <w:qFormat/>
    <w:uiPriority w:val="10"/>
    <w:pPr>
      <w:spacing w:before="240" w:after="60"/>
      <w:jc w:val="center"/>
      <w:outlineLvl w:val="0"/>
    </w:pPr>
    <w:rPr>
      <w:rFonts w:ascii="Arial" w:hAnsi="Arial"/>
      <w:b/>
      <w:bCs/>
      <w:sz w:val="32"/>
      <w:szCs w:val="32"/>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Hyperlink"/>
    <w:basedOn w:val="8"/>
    <w:qFormat/>
    <w:uiPriority w:val="0"/>
    <w:rPr>
      <w:color w:val="0000FF"/>
      <w:u w:val="single"/>
    </w:rPr>
  </w:style>
  <w:style w:type="character" w:customStyle="1" w:styleId="10">
    <w:name w:val="font31"/>
    <w:basedOn w:val="8"/>
    <w:uiPriority w:val="0"/>
    <w:rPr>
      <w:rFonts w:ascii="Calibri-Bold" w:hAnsi="Calibri-Bold" w:eastAsia="Calibri-Bold" w:cs="Calibri-Bold"/>
      <w:b/>
      <w:bCs/>
      <w:color w:val="000000"/>
      <w:sz w:val="21"/>
      <w:szCs w:val="21"/>
      <w:u w:val="none"/>
    </w:rPr>
  </w:style>
  <w:style w:type="character" w:customStyle="1" w:styleId="11">
    <w:name w:val="font11"/>
    <w:basedOn w:val="8"/>
    <w:uiPriority w:val="0"/>
    <w:rPr>
      <w:rFonts w:hint="eastAsia" w:ascii="宋体" w:hAnsi="宋体" w:eastAsia="宋体" w:cs="宋体"/>
      <w:b/>
      <w:bCs/>
      <w:color w:val="000000"/>
      <w:sz w:val="21"/>
      <w:szCs w:val="21"/>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1</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2020-07-28T08:44:00Z</dcterms:created>
  <dc:creator>梁兆庭</dc:creator>
  <cp:lastModifiedBy>覃鹏宇</cp:lastModifiedBy>
  <dcterms:modified xsi:type="dcterms:W3CDTF">2026-01-14T03:59:26Z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1FFC4464AE004407B26CD444A4978430</vt:lpwstr>
  </property>
</Properties>
</file>