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Style w:val="11"/>
          <w:rFonts w:hint="eastAsia" w:ascii="宋体" w:hAnsi="宋体"/>
          <w:b/>
          <w:sz w:val="28"/>
          <w:szCs w:val="28"/>
        </w:rPr>
      </w:pPr>
      <w:r>
        <w:rPr>
          <w:rStyle w:val="11"/>
          <w:rFonts w:hint="eastAsia" w:ascii="宋体" w:hAnsi="宋体"/>
          <w:b/>
          <w:sz w:val="28"/>
          <w:szCs w:val="28"/>
        </w:rPr>
        <w:t>数字电网公司2026年绿色电力证书采购报价表</w:t>
      </w:r>
    </w:p>
    <w:p>
      <w:pPr>
        <w:pStyle w:val="4"/>
      </w:pPr>
    </w:p>
    <w:p>
      <w:pPr>
        <w:spacing w:line="239" w:lineRule="auto"/>
        <w:jc w:val="right"/>
        <w:rPr>
          <w:rStyle w:val="11"/>
          <w:rFonts w:ascii="宋体" w:hAnsi="宋体"/>
          <w:sz w:val="24"/>
          <w:szCs w:val="24"/>
        </w:rPr>
      </w:pPr>
    </w:p>
    <w:tbl>
      <w:tblPr>
        <w:tblStyle w:val="7"/>
        <w:tblW w:w="0" w:type="auto"/>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37"/>
        <w:gridCol w:w="926"/>
        <w:gridCol w:w="1892"/>
        <w:gridCol w:w="1402"/>
        <w:gridCol w:w="4700"/>
        <w:gridCol w:w="516"/>
        <w:gridCol w:w="991"/>
        <w:gridCol w:w="881"/>
        <w:gridCol w:w="1268"/>
        <w:gridCol w:w="106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0" w:hRule="atLeast"/>
        </w:trPr>
        <w:tc>
          <w:tcPr>
            <w:tcW w:w="437"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序号</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项目</w:t>
            </w:r>
          </w:p>
        </w:tc>
        <w:tc>
          <w:tcPr>
            <w:tcW w:w="18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采购内容</w:t>
            </w: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b/>
                <w:bCs/>
                <w:i w:val="0"/>
                <w:iCs w:val="0"/>
                <w:color w:val="000000"/>
                <w:kern w:val="0"/>
                <w:sz w:val="22"/>
                <w:szCs w:val="22"/>
                <w:u w:val="none"/>
                <w:lang w:val="en-US" w:eastAsia="zh-CN" w:bidi="ar"/>
              </w:rPr>
            </w:pPr>
            <w:r>
              <w:rPr>
                <w:rFonts w:hint="eastAsia" w:ascii="宋体" w:hAnsi="宋体" w:cs="宋体"/>
                <w:b/>
                <w:bCs/>
                <w:i w:val="0"/>
                <w:iCs w:val="0"/>
                <w:color w:val="000000"/>
                <w:kern w:val="0"/>
                <w:sz w:val="22"/>
                <w:szCs w:val="22"/>
                <w:u w:val="none"/>
                <w:lang w:val="en-US" w:eastAsia="zh-CN" w:bidi="ar"/>
              </w:rPr>
              <w:t>绿证所属单位</w:t>
            </w:r>
          </w:p>
        </w:tc>
        <w:tc>
          <w:tcPr>
            <w:tcW w:w="4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规格型号</w:t>
            </w:r>
          </w:p>
        </w:tc>
        <w:tc>
          <w:tcPr>
            <w:tcW w:w="516"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单位</w:t>
            </w:r>
          </w:p>
        </w:tc>
        <w:tc>
          <w:tcPr>
            <w:tcW w:w="9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数量（Mwh）</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单价</w:t>
            </w:r>
            <w:r>
              <w:rPr>
                <w:rFonts w:hint="eastAsia" w:ascii="宋体" w:hAnsi="宋体" w:cs="宋体"/>
                <w:b/>
                <w:bCs/>
                <w:i w:val="0"/>
                <w:iCs w:val="0"/>
                <w:color w:val="000000"/>
                <w:kern w:val="0"/>
                <w:sz w:val="22"/>
                <w:szCs w:val="22"/>
                <w:highlight w:val="none"/>
                <w:u w:val="none"/>
                <w:lang w:val="en-US" w:eastAsia="zh-CN" w:bidi="ar"/>
              </w:rPr>
              <w:t>最高</w:t>
            </w:r>
            <w:r>
              <w:rPr>
                <w:rFonts w:hint="eastAsia" w:ascii="宋体" w:hAnsi="宋体" w:cs="宋体"/>
                <w:b/>
                <w:bCs/>
                <w:i w:val="0"/>
                <w:iCs w:val="0"/>
                <w:color w:val="000000"/>
                <w:kern w:val="0"/>
                <w:sz w:val="22"/>
                <w:szCs w:val="22"/>
                <w:u w:val="none"/>
                <w:lang w:val="en-US" w:eastAsia="zh-CN" w:bidi="ar"/>
              </w:rPr>
              <w:t>限价</w:t>
            </w:r>
            <w:r>
              <w:rPr>
                <w:rFonts w:hint="eastAsia" w:ascii="宋体" w:hAnsi="宋体" w:eastAsia="宋体" w:cs="宋体"/>
                <w:b/>
                <w:bCs/>
                <w:i w:val="0"/>
                <w:iCs w:val="0"/>
                <w:color w:val="000000"/>
                <w:kern w:val="0"/>
                <w:sz w:val="22"/>
                <w:szCs w:val="22"/>
                <w:u w:val="none"/>
                <w:lang w:val="en-US" w:eastAsia="zh-CN" w:bidi="ar"/>
              </w:rPr>
              <w:t>（元/M</w:t>
            </w:r>
            <w:r>
              <w:rPr>
                <w:rFonts w:hint="eastAsia" w:ascii="宋体" w:hAnsi="宋体" w:cs="宋体"/>
                <w:b/>
                <w:bCs/>
                <w:i w:val="0"/>
                <w:iCs w:val="0"/>
                <w:color w:val="000000"/>
                <w:kern w:val="0"/>
                <w:sz w:val="22"/>
                <w:szCs w:val="22"/>
                <w:u w:val="none"/>
                <w:lang w:val="en-US" w:eastAsia="zh-CN" w:bidi="ar"/>
              </w:rPr>
              <w:t>W</w:t>
            </w:r>
            <w:r>
              <w:rPr>
                <w:rFonts w:hint="eastAsia" w:ascii="宋体" w:hAnsi="宋体" w:eastAsia="宋体" w:cs="宋体"/>
                <w:b/>
                <w:bCs/>
                <w:i w:val="0"/>
                <w:iCs w:val="0"/>
                <w:color w:val="000000"/>
                <w:kern w:val="0"/>
                <w:sz w:val="22"/>
                <w:szCs w:val="22"/>
                <w:u w:val="none"/>
                <w:lang w:val="en-US" w:eastAsia="zh-CN" w:bidi="ar"/>
              </w:rPr>
              <w:t>h）</w:t>
            </w:r>
          </w:p>
        </w:tc>
        <w:tc>
          <w:tcPr>
            <w:tcW w:w="12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单价</w:t>
            </w:r>
            <w:r>
              <w:rPr>
                <w:rFonts w:hint="eastAsia" w:ascii="宋体" w:hAnsi="宋体" w:cs="宋体"/>
                <w:b/>
                <w:bCs/>
                <w:i w:val="0"/>
                <w:iCs w:val="0"/>
                <w:color w:val="000000"/>
                <w:kern w:val="0"/>
                <w:sz w:val="22"/>
                <w:szCs w:val="22"/>
                <w:u w:val="none"/>
                <w:lang w:val="en-US" w:eastAsia="zh-CN" w:bidi="ar"/>
              </w:rPr>
              <w:t>报价</w:t>
            </w:r>
            <w:r>
              <w:rPr>
                <w:rFonts w:hint="eastAsia" w:ascii="宋体" w:hAnsi="宋体" w:eastAsia="宋体" w:cs="宋体"/>
                <w:b/>
                <w:bCs/>
                <w:i w:val="0"/>
                <w:iCs w:val="0"/>
                <w:color w:val="000000"/>
                <w:kern w:val="0"/>
                <w:sz w:val="22"/>
                <w:szCs w:val="22"/>
                <w:u w:val="none"/>
                <w:lang w:val="en-US" w:eastAsia="zh-CN" w:bidi="ar"/>
              </w:rPr>
              <w:t>（元/M</w:t>
            </w:r>
            <w:r>
              <w:rPr>
                <w:rFonts w:hint="eastAsia" w:ascii="宋体" w:hAnsi="宋体" w:cs="宋体"/>
                <w:b/>
                <w:bCs/>
                <w:i w:val="0"/>
                <w:iCs w:val="0"/>
                <w:color w:val="000000"/>
                <w:kern w:val="0"/>
                <w:sz w:val="22"/>
                <w:szCs w:val="22"/>
                <w:u w:val="none"/>
                <w:lang w:val="en-US" w:eastAsia="zh-CN" w:bidi="ar"/>
              </w:rPr>
              <w:t>W</w:t>
            </w:r>
            <w:r>
              <w:rPr>
                <w:rFonts w:hint="eastAsia" w:ascii="宋体" w:hAnsi="宋体" w:eastAsia="宋体" w:cs="宋体"/>
                <w:b/>
                <w:bCs/>
                <w:i w:val="0"/>
                <w:iCs w:val="0"/>
                <w:color w:val="000000"/>
                <w:kern w:val="0"/>
                <w:sz w:val="22"/>
                <w:szCs w:val="22"/>
                <w:u w:val="none"/>
                <w:lang w:val="en-US" w:eastAsia="zh-CN" w:bidi="ar"/>
              </w:rPr>
              <w:t>h）</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cs="宋体"/>
                <w:b/>
                <w:bCs/>
                <w:i w:val="0"/>
                <w:iCs w:val="0"/>
                <w:color w:val="000000"/>
                <w:kern w:val="0"/>
                <w:sz w:val="22"/>
                <w:szCs w:val="22"/>
                <w:u w:val="none"/>
                <w:lang w:val="en-US" w:eastAsia="zh-CN" w:bidi="ar"/>
              </w:rPr>
              <w:t>报价</w:t>
            </w:r>
            <w:r>
              <w:rPr>
                <w:rFonts w:hint="eastAsia" w:ascii="宋体" w:hAnsi="宋体" w:eastAsia="宋体" w:cs="宋体"/>
                <w:b/>
                <w:bCs/>
                <w:i w:val="0"/>
                <w:iCs w:val="0"/>
                <w:color w:val="000000"/>
                <w:kern w:val="0"/>
                <w:sz w:val="22"/>
                <w:szCs w:val="22"/>
                <w:u w:val="none"/>
                <w:lang w:val="en-US" w:eastAsia="zh-CN" w:bidi="ar"/>
              </w:rPr>
              <w:t>总计（元）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0" w:hRule="atLeast"/>
        </w:trPr>
        <w:tc>
          <w:tcPr>
            <w:tcW w:w="437" w:type="dxa"/>
            <w:tcBorders>
              <w:top w:val="single" w:color="000000" w:sz="4" w:space="0"/>
              <w:left w:val="single" w:color="000000" w:sz="8"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926" w:type="dxa"/>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绿色电力证书采购</w:t>
            </w:r>
          </w:p>
        </w:tc>
        <w:tc>
          <w:tcPr>
            <w:tcW w:w="1892" w:type="dxa"/>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采购中国地区绿色电力证书（GEC）。</w:t>
            </w:r>
          </w:p>
        </w:tc>
        <w:tc>
          <w:tcPr>
            <w:tcW w:w="1402" w:type="dxa"/>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宋体" w:hAnsi="宋体" w:cs="宋体"/>
                <w:i w:val="0"/>
                <w:iCs w:val="0"/>
                <w:color w:val="000000"/>
                <w:kern w:val="0"/>
                <w:sz w:val="20"/>
                <w:szCs w:val="20"/>
                <w:highlight w:val="none"/>
                <w:u w:val="none"/>
                <w:lang w:val="en-US" w:eastAsia="zh-CN" w:bidi="ar"/>
              </w:rPr>
            </w:pPr>
            <w:r>
              <w:rPr>
                <w:rFonts w:hint="eastAsia" w:ascii="宋体" w:hAnsi="宋体" w:cs="宋体"/>
                <w:i w:val="0"/>
                <w:iCs w:val="0"/>
                <w:color w:val="000000"/>
                <w:kern w:val="0"/>
                <w:sz w:val="20"/>
                <w:szCs w:val="20"/>
                <w:highlight w:val="none"/>
                <w:u w:val="none"/>
                <w:lang w:val="en-US" w:eastAsia="zh-CN" w:bidi="ar"/>
              </w:rPr>
              <w:t>南方电网数字电网科技（广东）有限公司</w:t>
            </w:r>
          </w:p>
        </w:tc>
        <w:tc>
          <w:tcPr>
            <w:tcW w:w="4700" w:type="dxa"/>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1.绿证类型为中国国内绿证；</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2.电站项目类型</w:t>
            </w:r>
            <w:r>
              <w:rPr>
                <w:rFonts w:hint="eastAsia" w:ascii="宋体" w:hAnsi="宋体" w:cs="宋体"/>
                <w:i w:val="0"/>
                <w:iCs w:val="0"/>
                <w:color w:val="000000"/>
                <w:kern w:val="0"/>
                <w:sz w:val="20"/>
                <w:szCs w:val="20"/>
                <w:highlight w:val="none"/>
                <w:u w:val="none"/>
                <w:lang w:val="en-US" w:eastAsia="zh-CN" w:bidi="ar"/>
              </w:rPr>
              <w:t>为</w:t>
            </w:r>
            <w:r>
              <w:rPr>
                <w:rFonts w:hint="eastAsia" w:ascii="宋体" w:hAnsi="宋体" w:eastAsia="宋体" w:cs="宋体"/>
                <w:i w:val="0"/>
                <w:iCs w:val="0"/>
                <w:color w:val="000000"/>
                <w:kern w:val="0"/>
                <w:sz w:val="20"/>
                <w:szCs w:val="20"/>
                <w:u w:val="none"/>
                <w:lang w:val="en-US" w:eastAsia="zh-CN" w:bidi="ar"/>
              </w:rPr>
              <w:t>风电、光伏</w:t>
            </w:r>
            <w:r>
              <w:rPr>
                <w:rFonts w:hint="eastAsia" w:ascii="宋体" w:hAnsi="宋体" w:cs="宋体"/>
                <w:i w:val="0"/>
                <w:iCs w:val="0"/>
                <w:color w:val="000000"/>
                <w:kern w:val="0"/>
                <w:sz w:val="20"/>
                <w:szCs w:val="20"/>
                <w:highlight w:val="none"/>
                <w:u w:val="none"/>
                <w:lang w:val="en-US" w:eastAsia="zh-CN" w:bidi="ar"/>
              </w:rPr>
              <w:t>等</w:t>
            </w:r>
            <w:r>
              <w:rPr>
                <w:rFonts w:hint="eastAsia" w:ascii="宋体" w:hAnsi="宋体" w:eastAsia="宋体" w:cs="宋体"/>
                <w:i w:val="0"/>
                <w:iCs w:val="0"/>
                <w:color w:val="000000"/>
                <w:kern w:val="0"/>
                <w:sz w:val="20"/>
                <w:szCs w:val="20"/>
                <w:highlight w:val="none"/>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3.电量生产时间为202</w:t>
            </w:r>
            <w:r>
              <w:rPr>
                <w:rFonts w:hint="eastAsia" w:ascii="宋体" w:hAnsi="宋体" w:cs="宋体"/>
                <w:i w:val="0"/>
                <w:iCs w:val="0"/>
                <w:color w:val="000000"/>
                <w:kern w:val="0"/>
                <w:sz w:val="20"/>
                <w:szCs w:val="20"/>
                <w:highlight w:val="none"/>
                <w:u w:val="none"/>
                <w:lang w:val="en-US" w:eastAsia="zh-CN" w:bidi="ar"/>
              </w:rPr>
              <w:t>5</w:t>
            </w:r>
            <w:r>
              <w:rPr>
                <w:rFonts w:hint="eastAsia" w:ascii="宋体" w:hAnsi="宋体" w:eastAsia="宋体" w:cs="宋体"/>
                <w:i w:val="0"/>
                <w:iCs w:val="0"/>
                <w:color w:val="000000"/>
                <w:kern w:val="0"/>
                <w:sz w:val="20"/>
                <w:szCs w:val="20"/>
                <w:highlight w:val="none"/>
                <w:u w:val="none"/>
                <w:lang w:val="en-US" w:eastAsia="zh-CN" w:bidi="ar"/>
              </w:rPr>
              <w:t>年；</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4.所提供绿证的绿色环境权益未被重复开发；</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5.绿证出售后对应的电量不再享受国家可再生能源电价附加资金的补贴。</w:t>
            </w:r>
          </w:p>
          <w:p>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cs="宋体"/>
                <w:i w:val="0"/>
                <w:iCs w:val="0"/>
                <w:color w:val="000000"/>
                <w:kern w:val="0"/>
                <w:sz w:val="20"/>
                <w:szCs w:val="20"/>
                <w:highlight w:val="none"/>
                <w:u w:val="none"/>
                <w:lang w:val="en-US" w:eastAsia="zh-CN" w:bidi="ar"/>
              </w:rPr>
              <w:t>6.</w:t>
            </w:r>
            <w:r>
              <w:rPr>
                <w:rFonts w:hint="eastAsia" w:ascii="宋体" w:hAnsi="宋体" w:eastAsia="宋体" w:cs="宋体"/>
                <w:i w:val="0"/>
                <w:iCs w:val="0"/>
                <w:color w:val="000000"/>
                <w:kern w:val="0"/>
                <w:sz w:val="20"/>
                <w:szCs w:val="20"/>
                <w:highlight w:val="none"/>
                <w:u w:val="none"/>
                <w:lang w:val="en-US" w:eastAsia="zh-CN" w:bidi="ar"/>
              </w:rPr>
              <w:t>GEC的签发、核销需在南方区域绿色电力交易系统进行。</w:t>
            </w:r>
          </w:p>
        </w:tc>
        <w:tc>
          <w:tcPr>
            <w:tcW w:w="51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Mwh</w:t>
            </w:r>
          </w:p>
        </w:tc>
        <w:tc>
          <w:tcPr>
            <w:tcW w:w="991"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sz w:val="20"/>
                <w:szCs w:val="20"/>
                <w:highlight w:val="none"/>
                <w:u w:val="none"/>
                <w:lang w:val="en-US"/>
              </w:rPr>
            </w:pPr>
            <w:r>
              <w:rPr>
                <w:rFonts w:hint="eastAsia" w:ascii="宋体" w:hAnsi="宋体" w:cs="宋体"/>
                <w:i w:val="0"/>
                <w:iCs w:val="0"/>
                <w:color w:val="000000"/>
                <w:kern w:val="0"/>
                <w:sz w:val="20"/>
                <w:szCs w:val="20"/>
                <w:highlight w:val="none"/>
                <w:u w:val="none"/>
                <w:lang w:val="en-US" w:eastAsia="zh-CN" w:bidi="ar"/>
              </w:rPr>
              <w:t>2313</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lang w:val="en-US" w:eastAsia="zh-CN"/>
              </w:rPr>
            </w:pPr>
            <w:r>
              <w:rPr>
                <w:rFonts w:hint="eastAsia" w:ascii="宋体" w:hAnsi="宋体" w:cs="宋体"/>
                <w:i w:val="0"/>
                <w:iCs w:val="0"/>
                <w:color w:val="000000"/>
                <w:sz w:val="22"/>
                <w:szCs w:val="22"/>
                <w:highlight w:val="none"/>
                <w:u w:val="none"/>
                <w:lang w:val="en-US" w:eastAsia="zh-CN"/>
              </w:rPr>
              <w:t>7</w:t>
            </w:r>
          </w:p>
        </w:tc>
        <w:tc>
          <w:tcPr>
            <w:tcW w:w="12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仿宋" w:hAnsi="仿宋" w:eastAsia="仿宋" w:cs="仿宋"/>
                <w:i w:val="0"/>
                <w:iCs w:val="0"/>
                <w:color w:val="000000"/>
                <w:sz w:val="21"/>
                <w:szCs w:val="21"/>
                <w:highlight w:val="none"/>
                <w:u w:val="none"/>
              </w:rPr>
            </w:pPr>
          </w:p>
        </w:tc>
      </w:tr>
    </w:tbl>
    <w:p>
      <w:pPr>
        <w:rPr>
          <w:rFonts w:hint="eastAsia"/>
        </w:rPr>
      </w:pPr>
      <w:r>
        <w:rPr>
          <w:rFonts w:hint="eastAsia"/>
        </w:rPr>
        <w:t>注：本</w:t>
      </w:r>
      <w:r>
        <w:rPr>
          <w:rFonts w:hint="eastAsia"/>
          <w:lang w:val="en-US" w:eastAsia="zh-CN"/>
        </w:rPr>
        <w:t>单</w:t>
      </w:r>
      <w:r>
        <w:rPr>
          <w:rFonts w:hint="eastAsia"/>
        </w:rPr>
        <w:t>价已包税金、签发、核销及其他相关各类费用。报价含</w:t>
      </w:r>
      <w:r>
        <w:rPr>
          <w:rFonts w:hint="eastAsia"/>
          <w:lang w:val="en-US" w:eastAsia="zh-CN"/>
        </w:rPr>
        <w:t>6%</w:t>
      </w:r>
      <w:r>
        <w:rPr>
          <w:rFonts w:hint="eastAsia"/>
        </w:rPr>
        <w:t>增值税，报价保留两位小数。</w:t>
      </w:r>
    </w:p>
    <w:p>
      <w:pPr>
        <w:pStyle w:val="4"/>
        <w:rPr>
          <w:rFonts w:hint="eastAsia"/>
        </w:rPr>
      </w:pPr>
    </w:p>
    <w:p>
      <w:pPr>
        <w:pStyle w:val="4"/>
        <w:rPr>
          <w:rFonts w:hint="eastAsia"/>
        </w:rPr>
      </w:pPr>
    </w:p>
    <w:p>
      <w:pPr>
        <w:pStyle w:val="4"/>
        <w:rPr>
          <w:rFonts w:hint="eastAsia"/>
        </w:rPr>
      </w:pPr>
    </w:p>
    <w:p>
      <w:pPr>
        <w:ind w:left="7560" w:leftChars="0" w:firstLine="420" w:firstLineChars="0"/>
        <w:rPr>
          <w:rFonts w:hint="eastAsia"/>
          <w:b/>
          <w:bCs/>
          <w:lang w:val="en-US" w:eastAsia="zh-CN"/>
        </w:rPr>
      </w:pPr>
      <w:r>
        <w:rPr>
          <w:rFonts w:hint="eastAsia"/>
          <w:b/>
          <w:bCs/>
          <w:lang w:val="en-US" w:eastAsia="zh-CN"/>
        </w:rPr>
        <w:t>报价单位（盖公章或电子章）：</w:t>
      </w:r>
    </w:p>
    <w:p>
      <w:pPr>
        <w:pStyle w:val="2"/>
        <w:ind w:left="2948" w:leftChars="1340" w:firstLine="5877" w:firstLineChars="0"/>
        <w:rPr>
          <w:rFonts w:hint="default"/>
          <w:b/>
          <w:bCs/>
          <w:lang w:val="en-US" w:eastAsia="zh-CN"/>
        </w:rPr>
      </w:pPr>
      <w:r>
        <w:rPr>
          <w:rFonts w:hint="eastAsia"/>
          <w:b/>
          <w:bCs/>
          <w:lang w:val="en-US" w:eastAsia="zh-CN"/>
        </w:rPr>
        <w:t>日期：</w:t>
      </w:r>
    </w:p>
    <w:p>
      <w:pPr>
        <w:pStyle w:val="4"/>
        <w:rPr>
          <w:rFonts w:hint="eastAsia"/>
        </w:rPr>
      </w:pPr>
      <w:bookmarkStart w:id="0" w:name="_GoBack"/>
      <w:bookmarkEnd w:id="0"/>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g1MjZiYWYzOTlkYmYxNzVjZjcyZGE5ZWViNTg1MzQifQ=="/>
  </w:docVars>
  <w:rsids>
    <w:rsidRoot w:val="00222489"/>
    <w:rsid w:val="00222489"/>
    <w:rsid w:val="00361FFF"/>
    <w:rsid w:val="00597E06"/>
    <w:rsid w:val="005F2260"/>
    <w:rsid w:val="00863796"/>
    <w:rsid w:val="009F0433"/>
    <w:rsid w:val="00BD795D"/>
    <w:rsid w:val="00CD74DD"/>
    <w:rsid w:val="00E077BC"/>
    <w:rsid w:val="00EB7DCC"/>
    <w:rsid w:val="00F2113B"/>
    <w:rsid w:val="00F744DD"/>
    <w:rsid w:val="00FC11AF"/>
    <w:rsid w:val="02904E6B"/>
    <w:rsid w:val="0A7974BD"/>
    <w:rsid w:val="10725943"/>
    <w:rsid w:val="115A68FB"/>
    <w:rsid w:val="14530E95"/>
    <w:rsid w:val="1A2428A3"/>
    <w:rsid w:val="1EE043EB"/>
    <w:rsid w:val="1EF10C2C"/>
    <w:rsid w:val="24783FD0"/>
    <w:rsid w:val="2C8026C6"/>
    <w:rsid w:val="3FC66A19"/>
    <w:rsid w:val="40F37EF5"/>
    <w:rsid w:val="437B7794"/>
    <w:rsid w:val="481C7677"/>
    <w:rsid w:val="4C615D0F"/>
    <w:rsid w:val="4EDD67EF"/>
    <w:rsid w:val="4FC526FD"/>
    <w:rsid w:val="5026332B"/>
    <w:rsid w:val="562A7103"/>
    <w:rsid w:val="5723497C"/>
    <w:rsid w:val="5BFF4F41"/>
    <w:rsid w:val="62192E45"/>
    <w:rsid w:val="6DCE717A"/>
    <w:rsid w:val="6EF33312"/>
    <w:rsid w:val="74D24B9D"/>
    <w:rsid w:val="753F6B6A"/>
    <w:rsid w:val="797713E8"/>
    <w:rsid w:val="79AB2154"/>
    <w:rsid w:val="7B2043BD"/>
    <w:rsid w:val="7CB40407"/>
    <w:rsid w:val="7ECE76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textAlignment w:val="baseline"/>
    </w:pPr>
    <w:rPr>
      <w:rFonts w:ascii="Calibri" w:hAnsi="Calibri" w:eastAsia="宋体" w:cs="Times New Roman"/>
      <w:kern w:val="0"/>
      <w:sz w:val="22"/>
      <w:szCs w:val="22"/>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3">
    <w:name w:val="annotation text"/>
    <w:basedOn w:val="1"/>
    <w:semiHidden/>
    <w:unhideWhenUsed/>
    <w:qFormat/>
    <w:uiPriority w:val="99"/>
    <w:pPr>
      <w:jc w:val="left"/>
    </w:pPr>
  </w:style>
  <w:style w:type="paragraph" w:styleId="4">
    <w:name w:val="Plain Text"/>
    <w:basedOn w:val="1"/>
    <w:link w:val="12"/>
    <w:qFormat/>
    <w:uiPriority w:val="0"/>
    <w:rPr>
      <w:rFonts w:ascii="宋体" w:hAnsi="Courier New"/>
      <w:szCs w:val="21"/>
    </w:rPr>
  </w:style>
  <w:style w:type="paragraph" w:styleId="5">
    <w:name w:val="footer"/>
    <w:basedOn w:val="1"/>
    <w:link w:val="10"/>
    <w:unhideWhenUsed/>
    <w:qFormat/>
    <w:uiPriority w:val="99"/>
    <w:pPr>
      <w:tabs>
        <w:tab w:val="center" w:pos="4153"/>
        <w:tab w:val="right" w:pos="8306"/>
      </w:tabs>
      <w:snapToGrid w:val="0"/>
    </w:pPr>
    <w:rPr>
      <w:sz w:val="18"/>
      <w:szCs w:val="18"/>
    </w:rPr>
  </w:style>
  <w:style w:type="paragraph" w:styleId="6">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9">
    <w:name w:val="页眉 字符"/>
    <w:basedOn w:val="8"/>
    <w:link w:val="6"/>
    <w:qFormat/>
    <w:uiPriority w:val="99"/>
    <w:rPr>
      <w:sz w:val="18"/>
      <w:szCs w:val="18"/>
    </w:rPr>
  </w:style>
  <w:style w:type="character" w:customStyle="1" w:styleId="10">
    <w:name w:val="页脚 字符"/>
    <w:basedOn w:val="8"/>
    <w:link w:val="5"/>
    <w:qFormat/>
    <w:uiPriority w:val="99"/>
    <w:rPr>
      <w:sz w:val="18"/>
      <w:szCs w:val="18"/>
    </w:rPr>
  </w:style>
  <w:style w:type="character" w:customStyle="1" w:styleId="11">
    <w:name w:val="NormalCharacter"/>
    <w:qFormat/>
    <w:uiPriority w:val="0"/>
  </w:style>
  <w:style w:type="character" w:customStyle="1" w:styleId="12">
    <w:name w:val="纯文本 字符"/>
    <w:basedOn w:val="8"/>
    <w:link w:val="4"/>
    <w:qFormat/>
    <w:uiPriority w:val="0"/>
    <w:rPr>
      <w:rFonts w:ascii="宋体" w:hAnsi="Courier New" w:eastAsia="宋体" w:cs="Times New Roman"/>
      <w:kern w:val="0"/>
      <w:sz w:val="22"/>
      <w:szCs w:val="21"/>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662</Words>
  <Characters>740</Characters>
  <Lines>1</Lines>
  <Paragraphs>1</Paragraphs>
  <TotalTime>0</TotalTime>
  <ScaleCrop>false</ScaleCrop>
  <LinksUpToDate>false</LinksUpToDate>
  <CharactersWithSpaces>740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2022-11-03T06:21:00Z</dcterms:created>
  <dc:creator>刘 剑清</dc:creator>
  <cp:lastModifiedBy>张玉霞</cp:lastModifiedBy>
  <dcterms:modified xsi:type="dcterms:W3CDTF">2026-01-14T00:44:27Z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FFDD233313BF4FC29E7B87ADA12BA3C9_13</vt:lpwstr>
  </property>
  <property fmtid="{D5CDD505-2E9C-101B-9397-08002B2CF9AE}" pid="4" name="KSOTemplateDocerSaveRecord">
    <vt:lpwstr>eyJoZGlkIjoiODE5OGZmYTgxNTQyNDU1Nzk0YjVkYTliZmFkNTI2MTIiLCJ1c2VySWQiOiIxNzU0NzY0NyJ9</vt:lpwstr>
  </property>
</Properties>
</file>