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EC4F10">
      <w:pPr>
        <w:adjustRightInd w:val="0"/>
        <w:snapToGrid w:val="0"/>
        <w:spacing w:before="120" w:line="360" w:lineRule="auto"/>
        <w:jc w:val="center"/>
        <w:rPr>
          <w:rFonts w:hint="eastAsia" w:cs="Times New Roman"/>
          <w:b/>
          <w:kern w:val="0"/>
          <w:sz w:val="24"/>
          <w:lang w:val="en-US" w:eastAsia="zh-CN"/>
        </w:rPr>
      </w:pPr>
      <w:r>
        <w:rPr>
          <w:rFonts w:hint="eastAsia" w:cs="Times New Roman"/>
          <w:b/>
          <w:kern w:val="0"/>
          <w:sz w:val="24"/>
          <w:lang w:eastAsia="zh-CN"/>
        </w:rPr>
        <w:t>报价</w:t>
      </w:r>
      <w:r>
        <w:rPr>
          <w:rFonts w:hint="eastAsia" w:eastAsia="宋体" w:cs="Times New Roman"/>
          <w:b/>
          <w:kern w:val="0"/>
          <w:sz w:val="24"/>
        </w:rPr>
        <w:t>表</w:t>
      </w:r>
    </w:p>
    <w:tbl>
      <w:tblPr>
        <w:tblStyle w:val="8"/>
        <w:tblpPr w:leftFromText="180" w:rightFromText="180" w:vertAnchor="text" w:horzAnchor="page" w:tblpXSpec="center" w:tblpY="146"/>
        <w:tblOverlap w:val="never"/>
        <w:tblW w:w="926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9"/>
        <w:gridCol w:w="1453"/>
        <w:gridCol w:w="1843"/>
        <w:gridCol w:w="1583"/>
        <w:gridCol w:w="1583"/>
        <w:gridCol w:w="1583"/>
      </w:tblGrid>
      <w:tr w14:paraId="7229A7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6" w:hRule="atLeast"/>
          <w:jc w:val="center"/>
        </w:trPr>
        <w:tc>
          <w:tcPr>
            <w:tcW w:w="1219" w:type="dxa"/>
            <w:vAlign w:val="center"/>
          </w:tcPr>
          <w:p w14:paraId="593242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/>
                <w:bCs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  <w:lang w:val="en-US" w:eastAsia="zh-CN"/>
              </w:rPr>
              <w:t xml:space="preserve">  车型</w:t>
            </w:r>
          </w:p>
        </w:tc>
        <w:tc>
          <w:tcPr>
            <w:tcW w:w="1453" w:type="dxa"/>
            <w:vAlign w:val="center"/>
          </w:tcPr>
          <w:p w14:paraId="1BB9A1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</w:rPr>
              <w:t>汽车品牌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  <w:lang w:val="en-US" w:eastAsia="zh-CN"/>
              </w:rPr>
              <w:t>/型号</w:t>
            </w:r>
          </w:p>
        </w:tc>
        <w:tc>
          <w:tcPr>
            <w:tcW w:w="1843" w:type="dxa"/>
            <w:vAlign w:val="center"/>
          </w:tcPr>
          <w:p w14:paraId="1A0F2FF2">
            <w:pPr>
              <w:widowControl/>
              <w:spacing w:line="240" w:lineRule="auto"/>
              <w:jc w:val="center"/>
              <w:outlineLvl w:val="0"/>
              <w:rPr>
                <w:rFonts w:hint="eastAsia" w:ascii="宋体" w:hAnsi="宋体" w:eastAsia="宋体" w:cs="宋体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</w:rPr>
              <w:t>基础单价</w:t>
            </w:r>
          </w:p>
          <w:p w14:paraId="044874D3">
            <w:pPr>
              <w:widowControl/>
              <w:spacing w:line="240" w:lineRule="auto"/>
              <w:jc w:val="center"/>
              <w:outlineLvl w:val="0"/>
              <w:rPr>
                <w:rFonts w:hint="eastAsia" w:ascii="宋体" w:hAnsi="宋体" w:cs="宋体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sz w:val="18"/>
                <w:szCs w:val="18"/>
                <w:highlight w:val="none"/>
                <w:lang w:eastAsia="zh-CN"/>
              </w:rPr>
              <w:t>限价</w:t>
            </w:r>
          </w:p>
          <w:p w14:paraId="0103268D">
            <w:pPr>
              <w:widowControl/>
              <w:spacing w:line="240" w:lineRule="auto"/>
              <w:jc w:val="center"/>
              <w:outlineLvl w:val="0"/>
              <w:rPr>
                <w:rFonts w:hint="default" w:asciiTheme="minorEastAsia" w:hAnsiTheme="minorEastAsia" w:eastAsiaTheme="minorEastAsia" w:cstheme="minorEastAsia"/>
                <w:b/>
                <w:bCs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</w:rPr>
              <w:t>（元/天/台）</w:t>
            </w:r>
          </w:p>
        </w:tc>
        <w:tc>
          <w:tcPr>
            <w:tcW w:w="1583" w:type="dxa"/>
            <w:vAlign w:val="center"/>
          </w:tcPr>
          <w:p w14:paraId="3935AA2F">
            <w:pPr>
              <w:widowControl/>
              <w:spacing w:line="240" w:lineRule="auto"/>
              <w:jc w:val="center"/>
              <w:outlineLvl w:val="0"/>
              <w:rPr>
                <w:rFonts w:hint="eastAsia" w:ascii="宋体" w:hAnsi="宋体" w:eastAsia="宋体" w:cs="宋体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  <w:t>超</w:t>
            </w: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</w:rPr>
              <w:t>里程单价</w:t>
            </w:r>
          </w:p>
          <w:p w14:paraId="461047D6">
            <w:pPr>
              <w:widowControl/>
              <w:spacing w:line="240" w:lineRule="auto"/>
              <w:jc w:val="center"/>
              <w:outlineLvl w:val="0"/>
              <w:rPr>
                <w:rFonts w:hint="eastAsia" w:ascii="宋体" w:hAnsi="宋体" w:cs="宋体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sz w:val="18"/>
                <w:szCs w:val="18"/>
                <w:highlight w:val="none"/>
                <w:lang w:eastAsia="zh-CN"/>
              </w:rPr>
              <w:t>限价</w:t>
            </w:r>
          </w:p>
          <w:p w14:paraId="6E385349">
            <w:pPr>
              <w:widowControl/>
              <w:spacing w:line="240" w:lineRule="auto"/>
              <w:jc w:val="center"/>
              <w:outlineLvl w:val="0"/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</w:rPr>
              <w:t>（元/公里）</w:t>
            </w:r>
          </w:p>
        </w:tc>
        <w:tc>
          <w:tcPr>
            <w:tcW w:w="1583" w:type="dxa"/>
            <w:vAlign w:val="center"/>
          </w:tcPr>
          <w:p w14:paraId="17E29BE8">
            <w:pPr>
              <w:widowControl/>
              <w:spacing w:line="240" w:lineRule="auto"/>
              <w:jc w:val="center"/>
              <w:outlineLvl w:val="0"/>
              <w:rPr>
                <w:rFonts w:hint="eastAsia" w:ascii="宋体" w:hAnsi="宋体" w:eastAsia="宋体" w:cs="宋体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  <w:t>超</w:t>
            </w: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</w:rPr>
              <w:t>时间单价</w:t>
            </w:r>
          </w:p>
          <w:p w14:paraId="5D6519B1">
            <w:pPr>
              <w:widowControl/>
              <w:spacing w:line="240" w:lineRule="auto"/>
              <w:jc w:val="center"/>
              <w:outlineLvl w:val="0"/>
              <w:rPr>
                <w:rFonts w:hint="eastAsia" w:ascii="宋体" w:hAnsi="宋体" w:cs="宋体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sz w:val="18"/>
                <w:szCs w:val="18"/>
                <w:highlight w:val="none"/>
                <w:lang w:eastAsia="zh-CN"/>
              </w:rPr>
              <w:t>限价</w:t>
            </w:r>
          </w:p>
          <w:p w14:paraId="3F4662FF">
            <w:pPr>
              <w:widowControl/>
              <w:spacing w:line="240" w:lineRule="auto"/>
              <w:jc w:val="center"/>
              <w:outlineLvl w:val="0"/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</w:rPr>
              <w:t>（元/小时）</w:t>
            </w:r>
          </w:p>
        </w:tc>
        <w:tc>
          <w:tcPr>
            <w:tcW w:w="1583" w:type="dxa"/>
            <w:shd w:val="clear" w:color="auto" w:fill="auto"/>
            <w:vAlign w:val="center"/>
          </w:tcPr>
          <w:p w14:paraId="529D7ECE">
            <w:pPr>
              <w:widowControl/>
              <w:spacing w:line="240" w:lineRule="auto"/>
              <w:jc w:val="center"/>
              <w:outlineLvl w:val="0"/>
              <w:rPr>
                <w:rFonts w:hint="eastAsia" w:ascii="宋体" w:hAnsi="宋体" w:cs="宋体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18"/>
                <w:szCs w:val="18"/>
                <w:highlight w:val="none"/>
                <w:lang w:val="en-US" w:eastAsia="zh-CN"/>
              </w:rPr>
              <w:t>费率（即折扣率）</w:t>
            </w:r>
          </w:p>
          <w:p w14:paraId="5A9DFBC5">
            <w:pPr>
              <w:widowControl/>
              <w:spacing w:line="240" w:lineRule="auto"/>
              <w:jc w:val="center"/>
              <w:outlineLvl w:val="0"/>
              <w:rPr>
                <w:rFonts w:hint="eastAsia" w:ascii="宋体" w:hAnsi="宋体" w:eastAsia="宋体" w:cs="宋体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8"/>
                <w:szCs w:val="18"/>
                <w:highlight w:val="none"/>
                <w:lang w:val="en-US" w:eastAsia="zh-CN"/>
              </w:rPr>
              <w:t>=报价/限价×100%</w:t>
            </w:r>
          </w:p>
        </w:tc>
      </w:tr>
      <w:tr w14:paraId="3B63FC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3" w:hRule="atLeast"/>
          <w:jc w:val="center"/>
        </w:trPr>
        <w:tc>
          <w:tcPr>
            <w:tcW w:w="1219" w:type="dxa"/>
            <w:vAlign w:val="center"/>
          </w:tcPr>
          <w:p w14:paraId="1E245ADB">
            <w:pPr>
              <w:widowControl/>
              <w:jc w:val="center"/>
              <w:rPr>
                <w:rFonts w:hint="default" w:asciiTheme="minorEastAsia" w:hAnsiTheme="minorEastAsia" w:eastAsiaTheme="minorEastAsia" w:cstheme="minorEastAsia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</w:rPr>
              <w:t>小轿车（5座）</w:t>
            </w:r>
          </w:p>
        </w:tc>
        <w:tc>
          <w:tcPr>
            <w:tcW w:w="1453" w:type="dxa"/>
            <w:vAlign w:val="center"/>
          </w:tcPr>
          <w:p w14:paraId="74BFA521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</w:rPr>
              <w:t>丰田凯美瑞、 本田雅阁或同级别或</w:t>
            </w: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  <w:t>新</w:t>
            </w: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</w:rPr>
              <w:t>能源中型车</w:t>
            </w:r>
          </w:p>
        </w:tc>
        <w:tc>
          <w:tcPr>
            <w:tcW w:w="1843" w:type="dxa"/>
            <w:vAlign w:val="center"/>
          </w:tcPr>
          <w:p w14:paraId="1FD9F55F">
            <w:pPr>
              <w:widowControl/>
              <w:spacing w:line="240" w:lineRule="auto"/>
              <w:jc w:val="center"/>
              <w:outlineLvl w:val="0"/>
              <w:rPr>
                <w:rFonts w:hint="default" w:asciiTheme="minorEastAsia" w:hAnsiTheme="minorEastAsia" w:eastAsiaTheme="minorEastAsia" w:cstheme="minorEastAsia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  <w:lang w:val="en-US" w:eastAsia="zh-CN"/>
              </w:rPr>
              <w:t>800</w:t>
            </w:r>
          </w:p>
        </w:tc>
        <w:tc>
          <w:tcPr>
            <w:tcW w:w="1583" w:type="dxa"/>
            <w:vAlign w:val="center"/>
          </w:tcPr>
          <w:p w14:paraId="7C3C7DFC">
            <w:pPr>
              <w:widowControl/>
              <w:spacing w:line="240" w:lineRule="auto"/>
              <w:jc w:val="center"/>
              <w:outlineLvl w:val="0"/>
              <w:rPr>
                <w:rFonts w:hint="default" w:asciiTheme="minorEastAsia" w:hAnsiTheme="minorEastAsia" w:eastAsiaTheme="minorEastAsia" w:cstheme="minorEastAsia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  <w:t>2.00</w:t>
            </w:r>
          </w:p>
        </w:tc>
        <w:tc>
          <w:tcPr>
            <w:tcW w:w="1583" w:type="dxa"/>
            <w:vAlign w:val="center"/>
          </w:tcPr>
          <w:p w14:paraId="7FA07F21">
            <w:pPr>
              <w:widowControl/>
              <w:spacing w:line="240" w:lineRule="auto"/>
              <w:jc w:val="center"/>
              <w:outlineLvl w:val="0"/>
              <w:rPr>
                <w:rFonts w:hint="default" w:asciiTheme="minorEastAsia" w:hAnsiTheme="minorEastAsia" w:eastAsiaTheme="minorEastAsia" w:cstheme="minorEastAsia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  <w:t>30.00</w:t>
            </w:r>
          </w:p>
        </w:tc>
        <w:tc>
          <w:tcPr>
            <w:tcW w:w="1583" w:type="dxa"/>
            <w:vMerge w:val="restart"/>
            <w:vAlign w:val="center"/>
          </w:tcPr>
          <w:p w14:paraId="3EA2A87E">
            <w:pPr>
              <w:widowControl/>
              <w:jc w:val="center"/>
              <w:rPr>
                <w:rFonts w:hint="default" w:asciiTheme="minorEastAsia" w:hAnsiTheme="minorEastAsia" w:eastAsiaTheme="minorEastAsia" w:cstheme="minorEastAsia"/>
                <w:sz w:val="20"/>
                <w:szCs w:val="20"/>
                <w:lang w:val="en-US" w:eastAsia="zh-CN"/>
              </w:rPr>
            </w:pPr>
          </w:p>
        </w:tc>
      </w:tr>
      <w:tr w14:paraId="615051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2" w:hRule="atLeast"/>
          <w:jc w:val="center"/>
        </w:trPr>
        <w:tc>
          <w:tcPr>
            <w:tcW w:w="1219" w:type="dxa"/>
            <w:vAlign w:val="center"/>
          </w:tcPr>
          <w:p w14:paraId="70040746">
            <w:pPr>
              <w:widowControl/>
              <w:jc w:val="center"/>
              <w:rPr>
                <w:rFonts w:hint="default" w:asciiTheme="minorEastAsia" w:hAnsiTheme="minorEastAsia" w:eastAsiaTheme="minorEastAsia" w:cstheme="minorEastAsia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</w:rPr>
              <w:t>商务车（7座）或</w:t>
            </w: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en-US"/>
              </w:rPr>
              <w:t>SUV</w:t>
            </w:r>
          </w:p>
        </w:tc>
        <w:tc>
          <w:tcPr>
            <w:tcW w:w="1453" w:type="dxa"/>
            <w:vAlign w:val="center"/>
          </w:tcPr>
          <w:p w14:paraId="103A7BEC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</w:rPr>
              <w:t>别克 或同级别</w:t>
            </w:r>
          </w:p>
        </w:tc>
        <w:tc>
          <w:tcPr>
            <w:tcW w:w="1843" w:type="dxa"/>
            <w:vAlign w:val="center"/>
          </w:tcPr>
          <w:p w14:paraId="7CECA472">
            <w:pPr>
              <w:widowControl/>
              <w:spacing w:line="240" w:lineRule="auto"/>
              <w:jc w:val="center"/>
              <w:outlineLvl w:val="0"/>
              <w:rPr>
                <w:rFonts w:hint="default" w:asciiTheme="minorEastAsia" w:hAnsiTheme="minorEastAsia" w:eastAsiaTheme="minorEastAsia" w:cstheme="minorEastAsia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  <w:t>900</w:t>
            </w:r>
          </w:p>
        </w:tc>
        <w:tc>
          <w:tcPr>
            <w:tcW w:w="1583" w:type="dxa"/>
            <w:vAlign w:val="center"/>
          </w:tcPr>
          <w:p w14:paraId="1D344B59">
            <w:pPr>
              <w:widowControl/>
              <w:spacing w:line="240" w:lineRule="auto"/>
              <w:jc w:val="center"/>
              <w:outlineLvl w:val="0"/>
              <w:rPr>
                <w:rFonts w:hint="default" w:asciiTheme="minorEastAsia" w:hAnsiTheme="minorEastAsia" w:eastAsiaTheme="minorEastAsia" w:cstheme="minorEastAsia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  <w:t>2.00</w:t>
            </w:r>
          </w:p>
        </w:tc>
        <w:tc>
          <w:tcPr>
            <w:tcW w:w="1583" w:type="dxa"/>
            <w:vAlign w:val="center"/>
          </w:tcPr>
          <w:p w14:paraId="7675382B">
            <w:pPr>
              <w:widowControl/>
              <w:spacing w:line="240" w:lineRule="auto"/>
              <w:jc w:val="center"/>
              <w:outlineLvl w:val="0"/>
              <w:rPr>
                <w:rFonts w:hint="default" w:asciiTheme="minorEastAsia" w:hAnsiTheme="minorEastAsia" w:eastAsiaTheme="minorEastAsia" w:cstheme="minorEastAsia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  <w:t>30.00</w:t>
            </w:r>
          </w:p>
        </w:tc>
        <w:tc>
          <w:tcPr>
            <w:tcW w:w="1583" w:type="dxa"/>
            <w:vMerge w:val="continue"/>
            <w:vAlign w:val="center"/>
          </w:tcPr>
          <w:p w14:paraId="2EC42443">
            <w:pPr>
              <w:widowControl/>
              <w:jc w:val="center"/>
              <w:rPr>
                <w:rFonts w:hint="default" w:asciiTheme="minorEastAsia" w:hAnsiTheme="minorEastAsia" w:eastAsiaTheme="minorEastAsia" w:cstheme="minorEastAsia"/>
                <w:sz w:val="20"/>
                <w:szCs w:val="20"/>
                <w:lang w:val="en-US" w:eastAsia="zh-CN"/>
              </w:rPr>
            </w:pPr>
          </w:p>
        </w:tc>
      </w:tr>
    </w:tbl>
    <w:p w14:paraId="6263D9D1">
      <w:pPr>
        <w:widowControl/>
        <w:jc w:val="left"/>
        <w:rPr>
          <w:rFonts w:hint="eastAsia" w:ascii="宋体" w:hAnsi="宋体" w:eastAsia="宋体"/>
          <w:b/>
          <w:bCs/>
          <w:sz w:val="20"/>
          <w:szCs w:val="20"/>
          <w:lang w:eastAsia="zh-CN"/>
        </w:rPr>
      </w:pPr>
      <w:r>
        <w:rPr>
          <w:rFonts w:hint="eastAsia" w:ascii="宋体" w:hAnsi="宋体"/>
          <w:b/>
          <w:bCs/>
          <w:sz w:val="20"/>
          <w:szCs w:val="20"/>
          <w:lang w:eastAsia="zh-CN"/>
        </w:rPr>
        <w:t>报价说明：</w:t>
      </w:r>
    </w:p>
    <w:p w14:paraId="59B1B0FB">
      <w:pPr>
        <w:spacing w:line="360" w:lineRule="auto"/>
        <w:rPr>
          <w:rFonts w:hint="default" w:ascii="宋体" w:hAnsi="宋体" w:eastAsia="宋体" w:cs="宋体"/>
          <w:b w:val="0"/>
          <w:bCs w:val="0"/>
          <w:color w:val="000000"/>
          <w:kern w:val="0"/>
          <w:sz w:val="18"/>
          <w:szCs w:val="1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18"/>
          <w:szCs w:val="18"/>
          <w:lang w:val="en-US" w:eastAsia="zh-CN" w:bidi="ar-SA"/>
        </w:rPr>
        <w:t>1、基础单价：当天接、送的往返总里程含200公里以内，总时间10小时内价格，基础单价含车辆租用费用、驾驶员费用、油/电费及车辆和驾驶员的保险费</w:t>
      </w:r>
      <w:r>
        <w:rPr>
          <w:rFonts w:hint="eastAsia" w:ascii="宋体" w:hAnsi="宋体" w:cs="宋体"/>
          <w:b w:val="0"/>
          <w:bCs w:val="0"/>
          <w:color w:val="000000"/>
          <w:kern w:val="0"/>
          <w:sz w:val="18"/>
          <w:szCs w:val="18"/>
          <w:lang w:val="en-US" w:eastAsia="zh-CN" w:bidi="ar-SA"/>
        </w:rPr>
        <w:t>（商业险第三者责任保险不低于200万元）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18"/>
          <w:szCs w:val="18"/>
          <w:lang w:val="en-US" w:eastAsia="zh-CN" w:bidi="ar-SA"/>
        </w:rPr>
        <w:t>等履约的必要成本，不含过路过桥费、停车费、以及驾驶员珠海市外出差期间的住</w:t>
      </w:r>
      <w:bookmarkStart w:id="0" w:name="_GoBack"/>
      <w:bookmarkEnd w:id="0"/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18"/>
          <w:szCs w:val="18"/>
          <w:lang w:val="en-US" w:eastAsia="zh-CN" w:bidi="ar-SA"/>
        </w:rPr>
        <w:t>宿费用，原则上应走高速。出发地点为珠海市外/单程目的地为珠海市外的行程按双程用车时间和公里数进行结算。</w:t>
      </w:r>
    </w:p>
    <w:p w14:paraId="3F4097FD">
      <w:pPr>
        <w:spacing w:line="360" w:lineRule="auto"/>
        <w:rPr>
          <w:rFonts w:hint="eastAsia" w:ascii="宋体" w:hAnsi="宋体" w:eastAsia="宋体" w:cs="宋体"/>
          <w:b w:val="0"/>
          <w:bCs w:val="0"/>
          <w:color w:val="000000"/>
          <w:kern w:val="0"/>
          <w:sz w:val="18"/>
          <w:szCs w:val="1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18"/>
          <w:szCs w:val="18"/>
          <w:lang w:val="en-US" w:eastAsia="zh-CN" w:bidi="ar-SA"/>
        </w:rPr>
        <w:t>2、超里程单价：日租超出200公里（半日租100公里，接送飞机/高铁载客时超50 公里）后，每公里单价。</w:t>
      </w:r>
    </w:p>
    <w:p w14:paraId="56D510A9">
      <w:pPr>
        <w:spacing w:line="360" w:lineRule="auto"/>
        <w:rPr>
          <w:rFonts w:hint="eastAsia" w:ascii="宋体" w:hAnsi="宋体" w:eastAsia="宋体" w:cs="宋体"/>
          <w:b w:val="0"/>
          <w:bCs w:val="0"/>
          <w:color w:val="000000"/>
          <w:kern w:val="0"/>
          <w:sz w:val="18"/>
          <w:szCs w:val="1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18"/>
          <w:szCs w:val="18"/>
          <w:lang w:val="en-US" w:eastAsia="zh-CN" w:bidi="ar-SA"/>
        </w:rPr>
        <w:t>3、超时间单价：日租超出10小时（半日租5小时）后，每小时单价。</w:t>
      </w:r>
    </w:p>
    <w:p w14:paraId="36C120AD">
      <w:pPr>
        <w:spacing w:line="360" w:lineRule="auto"/>
        <w:rPr>
          <w:rFonts w:hint="eastAsia" w:ascii="宋体" w:hAnsi="宋体" w:eastAsia="宋体" w:cs="宋体"/>
          <w:b w:val="0"/>
          <w:bCs w:val="0"/>
          <w:color w:val="000000"/>
          <w:kern w:val="0"/>
          <w:sz w:val="18"/>
          <w:szCs w:val="1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18"/>
          <w:szCs w:val="18"/>
          <w:lang w:val="en-US" w:eastAsia="zh-CN" w:bidi="ar-SA"/>
        </w:rPr>
        <w:t>4、接/送机场、高铁站单程价格含车辆50公里内租用费用、驾驶员费用和燃油费、过路过桥费和一小时停车费。机场、南站接人，在航班、车次预计到达等候1小时，超出1小时外的停车费用据实结算，</w:t>
      </w:r>
      <w:r>
        <w:rPr>
          <w:rFonts w:hint="eastAsia" w:ascii="宋体" w:hAnsi="宋体" w:eastAsia="宋体" w:cs="宋体"/>
          <w:sz w:val="18"/>
          <w:szCs w:val="18"/>
          <w:lang w:val="en-US" w:eastAsia="zh-CN"/>
        </w:rPr>
        <w:t>原则上应走高速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18"/>
          <w:szCs w:val="18"/>
          <w:lang w:val="en-US" w:eastAsia="zh-CN" w:bidi="ar-SA"/>
        </w:rPr>
        <w:t>。</w:t>
      </w:r>
    </w:p>
    <w:p w14:paraId="32385046">
      <w:pPr>
        <w:pStyle w:val="2"/>
        <w:rPr>
          <w:rFonts w:hint="eastAsia" w:ascii="宋体" w:hAnsi="宋体" w:eastAsia="宋体" w:cs="宋体"/>
          <w:b w:val="0"/>
          <w:bCs w:val="0"/>
          <w:color w:val="000000"/>
          <w:kern w:val="0"/>
          <w:sz w:val="18"/>
          <w:szCs w:val="1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18"/>
          <w:szCs w:val="18"/>
          <w:lang w:val="en-US" w:eastAsia="zh-CN" w:bidi="ar-SA"/>
        </w:rPr>
        <w:t>5、结算方式：</w:t>
      </w:r>
    </w:p>
    <w:p w14:paraId="045C615F">
      <w:pPr>
        <w:pStyle w:val="2"/>
        <w:rPr>
          <w:rFonts w:hint="eastAsia" w:ascii="宋体" w:hAnsi="宋体" w:eastAsia="宋体" w:cs="宋体"/>
          <w:kern w:val="2"/>
          <w:sz w:val="18"/>
          <w:szCs w:val="18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18"/>
          <w:szCs w:val="18"/>
          <w:lang w:val="en-US" w:eastAsia="zh-CN" w:bidi="ar-SA"/>
        </w:rPr>
        <w:t>日租价格</w:t>
      </w:r>
      <w:r>
        <w:rPr>
          <w:rFonts w:hint="eastAsia" w:ascii="宋体" w:hAnsi="宋体" w:eastAsia="宋体" w:cs="宋体"/>
          <w:kern w:val="2"/>
          <w:sz w:val="18"/>
          <w:szCs w:val="18"/>
          <w:lang w:val="en-US" w:eastAsia="zh-CN" w:bidi="ar-SA"/>
        </w:rPr>
        <w:t>=基础单价+超里程数（超200公里的部分）*里程单价+超时数（超10小时的部分）*超时单价，行程在8小时以内的结算价按日租/半日租价格较低价为准，行程在8小时及以上的结算价按日租价格为准；</w:t>
      </w:r>
    </w:p>
    <w:p w14:paraId="6A2D448F">
      <w:pPr>
        <w:pStyle w:val="2"/>
        <w:rPr>
          <w:rFonts w:hint="eastAsia" w:ascii="宋体" w:hAnsi="宋体" w:eastAsia="宋体" w:cs="宋体"/>
          <w:kern w:val="2"/>
          <w:sz w:val="18"/>
          <w:szCs w:val="18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18"/>
          <w:szCs w:val="18"/>
          <w:lang w:val="en-US" w:eastAsia="zh-CN" w:bidi="ar-SA"/>
        </w:rPr>
        <w:t>半日租价格</w:t>
      </w:r>
      <w:r>
        <w:rPr>
          <w:rFonts w:hint="eastAsia" w:ascii="宋体" w:hAnsi="宋体" w:eastAsia="宋体" w:cs="宋体"/>
          <w:kern w:val="2"/>
          <w:sz w:val="18"/>
          <w:szCs w:val="18"/>
          <w:lang w:val="en-US" w:eastAsia="zh-CN" w:bidi="ar-SA"/>
        </w:rPr>
        <w:t>=基础单价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18"/>
          <w:szCs w:val="18"/>
          <w:vertAlign w:val="baseline"/>
          <w:lang w:val="en-US" w:eastAsia="zh-CN"/>
        </w:rPr>
        <w:t>×</w:t>
      </w:r>
      <w:r>
        <w:rPr>
          <w:rFonts w:hint="eastAsia" w:ascii="宋体" w:hAnsi="宋体" w:eastAsia="宋体" w:cs="宋体"/>
          <w:kern w:val="2"/>
          <w:sz w:val="18"/>
          <w:szCs w:val="18"/>
          <w:lang w:val="en-US" w:eastAsia="en-US" w:bidi="ar-SA"/>
        </w:rPr>
        <w:t>70%+</w:t>
      </w:r>
      <w:r>
        <w:rPr>
          <w:rFonts w:hint="eastAsia" w:ascii="宋体" w:hAnsi="宋体" w:eastAsia="宋体" w:cs="宋体"/>
          <w:kern w:val="2"/>
          <w:sz w:val="18"/>
          <w:szCs w:val="18"/>
          <w:lang w:val="en-US" w:eastAsia="zh-CN" w:bidi="ar-SA"/>
        </w:rPr>
        <w:t>超里程数（超100公里的部分）*里程单价+超时数（超5小时的部分</w:t>
      </w:r>
      <w:r>
        <w:rPr>
          <w:rFonts w:hint="eastAsia" w:ascii="宋体" w:hAnsi="宋体" w:eastAsia="宋体" w:cs="宋体"/>
          <w:kern w:val="2"/>
          <w:sz w:val="18"/>
          <w:szCs w:val="18"/>
          <w:lang w:val="en-US" w:eastAsia="en-US" w:bidi="ar-SA"/>
        </w:rPr>
        <w:t>）</w:t>
      </w:r>
      <w:r>
        <w:rPr>
          <w:rFonts w:hint="eastAsia" w:ascii="宋体" w:hAnsi="宋体" w:eastAsia="宋体" w:cs="宋体"/>
          <w:kern w:val="2"/>
          <w:sz w:val="18"/>
          <w:szCs w:val="18"/>
          <w:lang w:val="en-US" w:eastAsia="zh-CN" w:bidi="ar-SA"/>
        </w:rPr>
        <w:t>*超时单价；</w:t>
      </w:r>
    </w:p>
    <w:p w14:paraId="24804197">
      <w:pPr>
        <w:pStyle w:val="2"/>
        <w:rPr>
          <w:rFonts w:hint="eastAsia" w:ascii="宋体" w:hAnsi="宋体" w:eastAsia="宋体" w:cs="宋体"/>
          <w:kern w:val="2"/>
          <w:sz w:val="18"/>
          <w:szCs w:val="18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18"/>
          <w:szCs w:val="18"/>
          <w:lang w:val="en-US" w:eastAsia="zh-CN" w:bidi="ar-SA"/>
        </w:rPr>
        <w:t>接送飞机/高铁价格</w:t>
      </w:r>
      <w:r>
        <w:rPr>
          <w:rFonts w:hint="eastAsia" w:ascii="宋体" w:hAnsi="宋体" w:eastAsia="宋体" w:cs="宋体"/>
          <w:kern w:val="2"/>
          <w:sz w:val="18"/>
          <w:szCs w:val="18"/>
          <w:lang w:val="en-US" w:eastAsia="zh-CN" w:bidi="ar-SA"/>
        </w:rPr>
        <w:t>=基础单价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18"/>
          <w:szCs w:val="18"/>
          <w:vertAlign w:val="baseline"/>
          <w:lang w:val="en-US" w:eastAsia="zh-CN"/>
        </w:rPr>
        <w:t>×</w:t>
      </w:r>
      <w:r>
        <w:rPr>
          <w:rFonts w:hint="eastAsia" w:ascii="宋体" w:hAnsi="宋体" w:eastAsia="宋体" w:cs="宋体"/>
          <w:kern w:val="2"/>
          <w:sz w:val="18"/>
          <w:szCs w:val="18"/>
          <w:lang w:val="en-US" w:eastAsia="zh-CN" w:bidi="ar-SA"/>
        </w:rPr>
        <w:t>4</w:t>
      </w:r>
      <w:r>
        <w:rPr>
          <w:rFonts w:hint="eastAsia" w:ascii="宋体" w:hAnsi="宋体" w:eastAsia="宋体" w:cs="宋体"/>
          <w:kern w:val="2"/>
          <w:sz w:val="18"/>
          <w:szCs w:val="18"/>
          <w:lang w:val="en-US" w:eastAsia="en-US" w:bidi="ar-SA"/>
        </w:rPr>
        <w:t>0%+</w:t>
      </w:r>
      <w:r>
        <w:rPr>
          <w:rFonts w:hint="eastAsia" w:ascii="宋体" w:hAnsi="宋体" w:eastAsia="宋体" w:cs="宋体"/>
          <w:kern w:val="2"/>
          <w:sz w:val="18"/>
          <w:szCs w:val="18"/>
          <w:lang w:val="en-US" w:eastAsia="zh-CN" w:bidi="ar-SA"/>
        </w:rPr>
        <w:t>超里程数（载客时超50公里的部分）*里程单价。</w:t>
      </w:r>
    </w:p>
    <w:p w14:paraId="28E30ACE">
      <w:pPr>
        <w:pStyle w:val="2"/>
        <w:numPr>
          <w:ilvl w:val="0"/>
          <w:numId w:val="0"/>
        </w:numPr>
        <w:ind w:leftChars="0"/>
        <w:rPr>
          <w:rFonts w:hint="default" w:ascii="宋体" w:hAnsi="宋体" w:eastAsia="宋体" w:cs="宋体"/>
          <w:b w:val="0"/>
          <w:bCs w:val="0"/>
          <w:color w:val="000000"/>
          <w:kern w:val="0"/>
          <w:sz w:val="18"/>
          <w:szCs w:val="1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18"/>
          <w:szCs w:val="18"/>
          <w:lang w:val="en-US" w:eastAsia="zh-CN"/>
        </w:rPr>
        <w:t>6、以上费用为含税价格，税率为9%，无法开具9%税率发票的，则结算价格需扣除对应差额作为最终结算价格。计算公式：最终结算价格=投标价*[1-（9%-开具发票税点）]。过路过桥费、停车费以及驾驶员珠海市外出差期间的住宿费（不超过250元/间）根据实际情况进行结算，经双方分项核算确认后，纳入当期费用由投标人统一开票结算（招标人不再另行支付税金）。</w:t>
      </w:r>
    </w:p>
    <w:p w14:paraId="40CB84AF">
      <w:pPr>
        <w:pStyle w:val="2"/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 w:val="0"/>
          <w:color w:val="000000"/>
          <w:kern w:val="0"/>
          <w:sz w:val="18"/>
          <w:szCs w:val="18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18"/>
          <w:szCs w:val="18"/>
          <w:lang w:val="en-US" w:eastAsia="zh-CN"/>
        </w:rPr>
        <w:t>7、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18"/>
          <w:szCs w:val="18"/>
        </w:rPr>
        <w:t>如投标人不按本报价表格式进行报价、篡改格式、占比或另外制作表格报价的，将作否决投标处理。</w:t>
      </w:r>
    </w:p>
    <w:p w14:paraId="59EB30A2">
      <w:pPr>
        <w:pStyle w:val="4"/>
        <w:rPr>
          <w:rFonts w:hint="eastAsia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18"/>
          <w:szCs w:val="18"/>
          <w:lang w:val="en-US" w:eastAsia="zh-CN"/>
        </w:rPr>
        <w:t>8、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18"/>
          <w:szCs w:val="18"/>
        </w:rPr>
        <w:t>投标人报价按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18"/>
          <w:szCs w:val="18"/>
          <w:lang w:val="en-US" w:eastAsia="zh-CN"/>
        </w:rPr>
        <w:t>折扣率计算排名，且100%</w:t>
      </w:r>
      <w:r>
        <w:rPr>
          <w:rFonts w:hint="eastAsia" w:ascii="Arial" w:hAnsi="Arial" w:eastAsia="宋体" w:cs="Arial"/>
          <w:b w:val="0"/>
          <w:bCs w:val="0"/>
          <w:color w:val="000000"/>
          <w:kern w:val="0"/>
          <w:sz w:val="18"/>
          <w:szCs w:val="18"/>
          <w:lang w:val="en-US" w:eastAsia="zh-CN"/>
        </w:rPr>
        <w:t>≥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18"/>
          <w:szCs w:val="18"/>
          <w:lang w:val="en-US" w:eastAsia="zh-CN"/>
        </w:rPr>
        <w:t>折扣率＞0（报价低于最高限价85%的，须附成本分析报告），否则将作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18"/>
          <w:szCs w:val="18"/>
        </w:rPr>
        <w:t>否决投标处理。</w:t>
      </w:r>
    </w:p>
    <w:p w14:paraId="7893B35A">
      <w:pPr>
        <w:pStyle w:val="5"/>
        <w:rPr>
          <w:rFonts w:hint="eastAsia"/>
          <w:lang w:val="en-US" w:eastAsia="zh-CN"/>
        </w:rPr>
      </w:pPr>
    </w:p>
    <w:p w14:paraId="0D8FE1A1">
      <w:pPr>
        <w:spacing w:after="0" w:line="240" w:lineRule="exact"/>
        <w:ind w:firstLine="4830" w:firstLineChars="2300"/>
        <w:rPr>
          <w:rFonts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报价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eastAsia="zh-CN"/>
        </w:rPr>
        <w:t>人</w:t>
      </w:r>
      <w:r>
        <w:rPr>
          <w:rFonts w:ascii="宋体" w:hAnsi="宋体" w:eastAsia="宋体" w:cs="宋体"/>
          <w:color w:val="auto"/>
          <w:sz w:val="21"/>
          <w:szCs w:val="21"/>
          <w:highlight w:val="none"/>
        </w:rPr>
        <w:t>名称（盖公章或电子签章）：</w:t>
      </w:r>
    </w:p>
    <w:p w14:paraId="37B092F9">
      <w:pPr>
        <w:spacing w:after="0" w:line="240" w:lineRule="exact"/>
        <w:ind w:firstLine="4830" w:firstLineChars="2300"/>
        <w:rPr>
          <w:rFonts w:ascii="宋体" w:hAnsi="宋体" w:eastAsia="宋体" w:cs="宋体"/>
          <w:color w:val="auto"/>
          <w:sz w:val="21"/>
          <w:szCs w:val="21"/>
          <w:highlight w:val="none"/>
        </w:rPr>
      </w:pPr>
    </w:p>
    <w:p w14:paraId="56EF3549">
      <w:pPr>
        <w:spacing w:after="0" w:line="240" w:lineRule="exact"/>
        <w:ind w:firstLine="5460" w:firstLineChars="2600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eastAsia="zh-CN"/>
        </w:rPr>
        <w:t>年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 xml:space="preserve">     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月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日</w:t>
      </w:r>
    </w:p>
    <w:p w14:paraId="5605B387"/>
    <w:sectPr>
      <w:foot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DE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D83B147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2D76FB60">
                          <w:pPr>
                            <w:pStyle w:val="6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zSVju0AAAAAUBAAAPAAAAAAAAAAEAIAAAACIAAABkcnMvZG93bnJldi54bWxQ&#10;SwECFAAUAAAACACHTuJAXhqPXzgCAABvBAAADgAAAAAAAAABACAAAAAfAQAAZHJzL2Uyb0RvYy54&#10;bWxQSwUGAAAAAAYABgBZAQAAy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D76FB60">
                    <w:pPr>
                      <w:pStyle w:val="6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6D66397"/>
    <w:rsid w:val="03561773"/>
    <w:rsid w:val="03870681"/>
    <w:rsid w:val="08213B2C"/>
    <w:rsid w:val="08A26511"/>
    <w:rsid w:val="08AD2745"/>
    <w:rsid w:val="08B4210E"/>
    <w:rsid w:val="09DF4031"/>
    <w:rsid w:val="0A4607F6"/>
    <w:rsid w:val="0C587335"/>
    <w:rsid w:val="0C5D186F"/>
    <w:rsid w:val="0DCC38C5"/>
    <w:rsid w:val="0F310C59"/>
    <w:rsid w:val="0F770363"/>
    <w:rsid w:val="101B514F"/>
    <w:rsid w:val="102A054D"/>
    <w:rsid w:val="18F9617A"/>
    <w:rsid w:val="1C5C0822"/>
    <w:rsid w:val="1DF673D7"/>
    <w:rsid w:val="21606BC8"/>
    <w:rsid w:val="22B6397B"/>
    <w:rsid w:val="22C7079B"/>
    <w:rsid w:val="22EE0C6D"/>
    <w:rsid w:val="233564BA"/>
    <w:rsid w:val="23BF27C3"/>
    <w:rsid w:val="27640FE1"/>
    <w:rsid w:val="28BD6DCC"/>
    <w:rsid w:val="298226FA"/>
    <w:rsid w:val="2BBB230F"/>
    <w:rsid w:val="2E3E2FA6"/>
    <w:rsid w:val="2F9939E1"/>
    <w:rsid w:val="2FD61C77"/>
    <w:rsid w:val="30676FB9"/>
    <w:rsid w:val="343551F7"/>
    <w:rsid w:val="3574620F"/>
    <w:rsid w:val="36812558"/>
    <w:rsid w:val="36CA10C7"/>
    <w:rsid w:val="3A157BE9"/>
    <w:rsid w:val="3A6E47B4"/>
    <w:rsid w:val="3C574EAC"/>
    <w:rsid w:val="3D3C1F89"/>
    <w:rsid w:val="3E4D069E"/>
    <w:rsid w:val="402C43CC"/>
    <w:rsid w:val="4044075B"/>
    <w:rsid w:val="40A91DB5"/>
    <w:rsid w:val="41E009D8"/>
    <w:rsid w:val="43C153CB"/>
    <w:rsid w:val="45023191"/>
    <w:rsid w:val="45E16DDF"/>
    <w:rsid w:val="4773060B"/>
    <w:rsid w:val="48F7566D"/>
    <w:rsid w:val="490C63DF"/>
    <w:rsid w:val="500D43D1"/>
    <w:rsid w:val="52CD78D4"/>
    <w:rsid w:val="53353630"/>
    <w:rsid w:val="538207CC"/>
    <w:rsid w:val="54863089"/>
    <w:rsid w:val="54886D3A"/>
    <w:rsid w:val="551E2B46"/>
    <w:rsid w:val="554661D5"/>
    <w:rsid w:val="5919315A"/>
    <w:rsid w:val="5C3E7017"/>
    <w:rsid w:val="60A5501C"/>
    <w:rsid w:val="616D300B"/>
    <w:rsid w:val="64B83A66"/>
    <w:rsid w:val="66EC230E"/>
    <w:rsid w:val="69407952"/>
    <w:rsid w:val="694942E8"/>
    <w:rsid w:val="6D9D753F"/>
    <w:rsid w:val="6DEF1090"/>
    <w:rsid w:val="6F820A92"/>
    <w:rsid w:val="6FA9085B"/>
    <w:rsid w:val="70A77973"/>
    <w:rsid w:val="71B458BC"/>
    <w:rsid w:val="7332781D"/>
    <w:rsid w:val="739A51B5"/>
    <w:rsid w:val="73E86182"/>
    <w:rsid w:val="7413447E"/>
    <w:rsid w:val="765544F5"/>
    <w:rsid w:val="76D66397"/>
    <w:rsid w:val="79CC4713"/>
    <w:rsid w:val="7A2059A2"/>
    <w:rsid w:val="7B5E0A56"/>
    <w:rsid w:val="7D0C0CF4"/>
    <w:rsid w:val="7E5C37A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iPriority="9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  <w:outlineLvl w:val="0"/>
    </w:pPr>
    <w:rPr>
      <w:rFonts w:hint="default" w:ascii="Arial" w:hAnsi="Arial" w:eastAsia="宋体" w:cs="Times New Roman"/>
      <w:b/>
      <w:color w:val="000000"/>
      <w:sz w:val="32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pPr>
      <w:widowControl/>
      <w:spacing w:line="360" w:lineRule="auto"/>
      <w:jc w:val="left"/>
    </w:pPr>
    <w:rPr>
      <w:rFonts w:ascii="仿宋_GB2312" w:hAnsi="Courier New" w:eastAsia="仿宋_GB2312"/>
      <w:kern w:val="0"/>
      <w:sz w:val="32"/>
      <w:szCs w:val="21"/>
    </w:rPr>
  </w:style>
  <w:style w:type="paragraph" w:styleId="4">
    <w:name w:val="Body Text"/>
    <w:basedOn w:val="1"/>
    <w:next w:val="5"/>
    <w:qFormat/>
    <w:uiPriority w:val="1"/>
    <w:pPr>
      <w:autoSpaceDE w:val="0"/>
      <w:autoSpaceDN w:val="0"/>
      <w:spacing w:line="360" w:lineRule="auto"/>
      <w:jc w:val="left"/>
    </w:pPr>
    <w:rPr>
      <w:rFonts w:ascii="宋体" w:hAnsi="宋体" w:cs="宋体"/>
      <w:kern w:val="0"/>
      <w:sz w:val="24"/>
      <w:lang w:val="zh-CN" w:bidi="zh-CN"/>
    </w:rPr>
  </w:style>
  <w:style w:type="paragraph" w:styleId="5">
    <w:name w:val="Title"/>
    <w:basedOn w:val="1"/>
    <w:next w:val="1"/>
    <w:qFormat/>
    <w:uiPriority w:val="1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925</Words>
  <Characters>984</Characters>
  <Lines>0</Lines>
  <Paragraphs>0</Paragraphs>
  <TotalTime>6</TotalTime>
  <ScaleCrop>false</ScaleCrop>
  <LinksUpToDate>false</LinksUpToDate>
  <CharactersWithSpaces>999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2023-12-19T01:33:00Z</dcterms:created>
  <dc:creator>俞国华</dc:creator>
  <cp:lastModifiedBy>张世豪</cp:lastModifiedBy>
  <dcterms:modified xsi:type="dcterms:W3CDTF">2026-01-13T08:22:08Z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DAED2E640502425CAA6B59C844578573_13</vt:lpwstr>
  </property>
  <property fmtid="{D5CDD505-2E9C-101B-9397-08002B2CF9AE}" pid="4" name="KSOTemplateDocerSaveRecord">
    <vt:lpwstr>eyJoZGlkIjoiYzUwYjE1OThlMmJjNDczZmRhY2I3MzllMDRkMjdmNjQiLCJ1c2VySWQiOiIxMjM4NTk2ODY5In0=</vt:lpwstr>
  </property>
</Properties>
</file>