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360" w:lineRule="auto"/>
        <w:jc w:val="center"/>
        <w:outlineLvl w:val="0"/>
        <w:rPr>
          <w:rFonts w:eastAsia="仿宋"/>
          <w:b/>
          <w:bCs/>
          <w:color w:val="0A210D"/>
          <w:sz w:val="32"/>
          <w:szCs w:val="32"/>
        </w:rPr>
      </w:pPr>
      <w:bookmarkStart w:id="0" w:name="_Toc250988913"/>
      <w:bookmarkStart w:id="1" w:name="_Toc446509936"/>
      <w:r>
        <w:rPr>
          <w:rFonts w:eastAsia="仿宋"/>
          <w:b/>
          <w:bCs/>
          <w:color w:val="0A210D"/>
          <w:sz w:val="32"/>
          <w:szCs w:val="32"/>
        </w:rPr>
        <w:t xml:space="preserve"> </w:t>
      </w:r>
      <w:r>
        <w:rPr>
          <w:rFonts w:hint="eastAsia" w:eastAsia="仿宋" w:cs="仿宋"/>
          <w:b/>
          <w:bCs/>
          <w:color w:val="0A210D"/>
          <w:sz w:val="32"/>
          <w:szCs w:val="32"/>
        </w:rPr>
        <w:t>技术</w:t>
      </w:r>
      <w:bookmarkEnd w:id="0"/>
      <w:r>
        <w:rPr>
          <w:rFonts w:hint="eastAsia" w:eastAsia="仿宋" w:cs="仿宋"/>
          <w:b/>
          <w:bCs/>
          <w:color w:val="0A210D"/>
          <w:sz w:val="32"/>
          <w:szCs w:val="32"/>
        </w:rPr>
        <w:t>文件</w:t>
      </w:r>
      <w:bookmarkEnd w:id="1"/>
    </w:p>
    <w:p>
      <w:pPr>
        <w:pStyle w:val="10"/>
        <w:snapToGrid w:val="0"/>
        <w:spacing w:line="360" w:lineRule="auto"/>
        <w:ind w:firstLine="0" w:firstLineChars="0"/>
        <w:outlineLvl w:val="0"/>
        <w:rPr>
          <w:rFonts w:ascii="仿宋" w:hAnsi="仿宋" w:eastAsia="仿宋"/>
          <w:b/>
          <w:bCs/>
          <w:sz w:val="32"/>
          <w:szCs w:val="32"/>
        </w:rPr>
      </w:pPr>
    </w:p>
    <w:p>
      <w:pPr>
        <w:pStyle w:val="10"/>
        <w:numPr>
          <w:ilvl w:val="0"/>
          <w:numId w:val="0"/>
        </w:numPr>
        <w:snapToGrid w:val="0"/>
        <w:spacing w:line="360" w:lineRule="auto"/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项目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ind w:firstLine="480" w:firstLineChars="200"/>
        <w:rPr>
          <w:rFonts w:hint="default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云南电网有限责任公司电力科学研究院2026年特种车辆服务。</w:t>
      </w:r>
      <w:bookmarkStart w:id="2" w:name="_GoBack"/>
      <w:bookmarkEnd w:id="2"/>
    </w:p>
    <w:p>
      <w:pPr>
        <w:numPr>
          <w:ilvl w:val="0"/>
          <w:numId w:val="0"/>
        </w:numPr>
        <w:adjustRightInd w:val="0"/>
        <w:snapToGrid w:val="0"/>
        <w:spacing w:line="336" w:lineRule="auto"/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2.服务要求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2.1吊车、叉车司机，都必须经过培训、考核合格，持有特种设备作业人员操作证、驾驶证等符合作业条件相应的操作资格证书，严禁无证人员操作。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2.2进行吊车作业前司机必须检查各部装置是否正常，严禁吊车各工作部件带病运行。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ind w:firstLine="480" w:firstLineChars="200"/>
        <w:rPr>
          <w:rFonts w:hint="default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2.3当采购方有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特种车辆使用服务需求时，供应商应在采购方提出需求4小时内满足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服务。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3.服务内容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提供吊车8吨、12吨、25吨及叉车装卸腾挪大型设备使用服务。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4.服务期限</w:t>
      </w:r>
    </w:p>
    <w:p>
      <w:pPr>
        <w:numPr>
          <w:ilvl w:val="0"/>
          <w:numId w:val="0"/>
        </w:numPr>
        <w:adjustRightInd w:val="0"/>
        <w:snapToGrid w:val="0"/>
        <w:spacing w:line="336" w:lineRule="auto"/>
        <w:ind w:firstLine="480" w:firstLineChars="200"/>
        <w:rPr>
          <w:rFonts w:hint="default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自采购完成之日起壹年。</w:t>
      </w:r>
    </w:p>
    <w:p>
      <w:pPr>
        <w:pStyle w:val="10"/>
        <w:numPr>
          <w:ilvl w:val="0"/>
          <w:numId w:val="0"/>
        </w:numPr>
        <w:snapToGrid w:val="0"/>
        <w:spacing w:line="360" w:lineRule="auto"/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6.报价方式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b/>
          <w:bCs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</w:rPr>
        <w:t>报价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lang w:val="en-US" w:eastAsia="zh-CN"/>
        </w:rPr>
        <w:t>按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-SA"/>
        </w:rPr>
        <w:t>下表各类车型最高限价统一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lang w:val="en-US" w:eastAsia="zh-CN"/>
        </w:rPr>
        <w:t>优惠下浮点进行报价。</w:t>
      </w:r>
    </w:p>
    <w:tbl>
      <w:tblPr>
        <w:tblStyle w:val="5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1650"/>
        <w:gridCol w:w="2490"/>
        <w:gridCol w:w="24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665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b/>
                <w:bCs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车型</w:t>
            </w:r>
          </w:p>
        </w:tc>
        <w:tc>
          <w:tcPr>
            <w:tcW w:w="1650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b/>
                <w:bCs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最高限价</w:t>
            </w:r>
          </w:p>
        </w:tc>
        <w:tc>
          <w:tcPr>
            <w:tcW w:w="2490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  <w:t>优惠下浮点（）%</w:t>
            </w:r>
          </w:p>
        </w:tc>
        <w:tc>
          <w:tcPr>
            <w:tcW w:w="2475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b/>
                <w:bCs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665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8吨吊车</w:t>
            </w:r>
          </w:p>
        </w:tc>
        <w:tc>
          <w:tcPr>
            <w:tcW w:w="1650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850元/天</w:t>
            </w:r>
          </w:p>
        </w:tc>
        <w:tc>
          <w:tcPr>
            <w:tcW w:w="2490" w:type="dxa"/>
            <w:vMerge w:val="restart"/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2475" w:type="dxa"/>
            <w:vMerge w:val="restart"/>
            <w:vAlign w:val="center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含驾驶员、司索工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665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12吨吊车</w:t>
            </w:r>
          </w:p>
        </w:tc>
        <w:tc>
          <w:tcPr>
            <w:tcW w:w="1650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1250元/天</w:t>
            </w:r>
          </w:p>
        </w:tc>
        <w:tc>
          <w:tcPr>
            <w:tcW w:w="2490" w:type="dxa"/>
            <w:vMerge w:val="continue"/>
            <w:vAlign w:val="bottom"/>
          </w:tcPr>
          <w:p>
            <w:pPr>
              <w:widowControl w:val="0"/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75" w:type="dxa"/>
            <w:vMerge w:val="continue"/>
            <w:vAlign w:val="center"/>
          </w:tcPr>
          <w:p>
            <w:pPr>
              <w:widowControl w:val="0"/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665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25吨吊车</w:t>
            </w:r>
          </w:p>
        </w:tc>
        <w:tc>
          <w:tcPr>
            <w:tcW w:w="1650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2050元/天</w:t>
            </w:r>
          </w:p>
        </w:tc>
        <w:tc>
          <w:tcPr>
            <w:tcW w:w="2490" w:type="dxa"/>
            <w:vMerge w:val="continue"/>
            <w:vAlign w:val="bottom"/>
          </w:tcPr>
          <w:p>
            <w:pPr>
              <w:widowControl w:val="0"/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75" w:type="dxa"/>
            <w:vMerge w:val="continue"/>
            <w:vAlign w:val="center"/>
          </w:tcPr>
          <w:p>
            <w:pPr>
              <w:widowControl w:val="0"/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665" w:type="dxa"/>
            <w:vAlign w:val="bottom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叉车</w:t>
            </w:r>
          </w:p>
        </w:tc>
        <w:tc>
          <w:tcPr>
            <w:tcW w:w="1650" w:type="dxa"/>
            <w:vAlign w:val="bottom"/>
          </w:tcPr>
          <w:p>
            <w:pPr>
              <w:widowControl w:val="0"/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850元/天</w:t>
            </w:r>
          </w:p>
        </w:tc>
        <w:tc>
          <w:tcPr>
            <w:tcW w:w="2490" w:type="dxa"/>
            <w:vMerge w:val="continue"/>
            <w:vAlign w:val="bottom"/>
          </w:tcPr>
          <w:p>
            <w:pPr>
              <w:widowControl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75" w:type="dxa"/>
            <w:vAlign w:val="center"/>
          </w:tcPr>
          <w:p>
            <w:pPr>
              <w:pStyle w:val="1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含驾驶员</w:t>
            </w:r>
          </w:p>
        </w:tc>
      </w:tr>
    </w:tbl>
    <w:p>
      <w:pPr>
        <w:pStyle w:val="10"/>
        <w:snapToGrid w:val="0"/>
        <w:spacing w:line="360" w:lineRule="auto"/>
        <w:ind w:left="0" w:leftChars="0" w:firstLine="0" w:firstLineChars="0"/>
        <w:rPr>
          <w:rFonts w:hint="eastAsia" w:ascii="仿宋" w:hAnsi="仿宋" w:eastAsia="仿宋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7.结算方式</w:t>
      </w:r>
    </w:p>
    <w:p>
      <w:pPr>
        <w:pStyle w:val="1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按季度据实结算，统一下浮点应用于各类车型单价。服务供应商必须开具增值税专用发票。</w:t>
      </w:r>
      <w:r>
        <w:rPr>
          <w:rFonts w:hint="eastAsia" w:ascii="仿宋" w:hAnsi="仿宋" w:eastAsia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根据车辆实际使用天数和车型据实结算；吊车、叉车使用4小时以内按50%计费。</w:t>
      </w:r>
      <w:r>
        <w:rPr>
          <w:rFonts w:ascii="仿宋" w:hAnsi="仿宋" w:eastAsia="仿宋" w:cs="仿宋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5880" w:y="-14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3</w:t>
    </w:r>
    <w:r>
      <w:rPr>
        <w:rStyle w:val="7"/>
      </w:rPr>
      <w:fldChar w:fldCharType="end"/>
    </w:r>
  </w:p>
  <w:p>
    <w:pPr>
      <w:pStyle w:val="2"/>
      <w:spacing w:line="360" w:lineRule="auto"/>
      <w:ind w:right="360"/>
      <w:jc w:val="both"/>
      <w:rPr>
        <w:rFonts w:ascii="宋体"/>
        <w:b/>
        <w:bCs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-2" w:leftChars="-71" w:hanging="140" w:hangingChars="78"/>
      <w:jc w:val="left"/>
      <w:rPr>
        <w:rFonts w:ascii="楷体_GB2312" w:hAnsi="宋体" w:eastAsia="楷体_GB23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437F13"/>
    <w:rsid w:val="00026618"/>
    <w:rsid w:val="0075790A"/>
    <w:rsid w:val="007F73F9"/>
    <w:rsid w:val="00861A04"/>
    <w:rsid w:val="00886552"/>
    <w:rsid w:val="00996284"/>
    <w:rsid w:val="094D427E"/>
    <w:rsid w:val="09A13DB7"/>
    <w:rsid w:val="09E27CC3"/>
    <w:rsid w:val="0C437F13"/>
    <w:rsid w:val="0D6A0AED"/>
    <w:rsid w:val="0F38701E"/>
    <w:rsid w:val="0FB07AD5"/>
    <w:rsid w:val="117660A5"/>
    <w:rsid w:val="131B4F68"/>
    <w:rsid w:val="1328620E"/>
    <w:rsid w:val="1BA279EB"/>
    <w:rsid w:val="1C700577"/>
    <w:rsid w:val="20196F22"/>
    <w:rsid w:val="24CE37EF"/>
    <w:rsid w:val="2685028B"/>
    <w:rsid w:val="26C669DC"/>
    <w:rsid w:val="279718E3"/>
    <w:rsid w:val="27E11879"/>
    <w:rsid w:val="2A3348CB"/>
    <w:rsid w:val="2BC73246"/>
    <w:rsid w:val="2D376058"/>
    <w:rsid w:val="2D680B8A"/>
    <w:rsid w:val="2F211B9B"/>
    <w:rsid w:val="310C51DD"/>
    <w:rsid w:val="359F3843"/>
    <w:rsid w:val="38584AA3"/>
    <w:rsid w:val="3A144735"/>
    <w:rsid w:val="3BBE0A17"/>
    <w:rsid w:val="3DB108F3"/>
    <w:rsid w:val="3E0D3DDD"/>
    <w:rsid w:val="40D3135B"/>
    <w:rsid w:val="445A65DD"/>
    <w:rsid w:val="446C09D5"/>
    <w:rsid w:val="46C81B7C"/>
    <w:rsid w:val="4A817DBC"/>
    <w:rsid w:val="4FD261B6"/>
    <w:rsid w:val="51491D32"/>
    <w:rsid w:val="51981EEB"/>
    <w:rsid w:val="53191722"/>
    <w:rsid w:val="541C1C0A"/>
    <w:rsid w:val="54D56E3A"/>
    <w:rsid w:val="566962B4"/>
    <w:rsid w:val="5C502193"/>
    <w:rsid w:val="5D170CA9"/>
    <w:rsid w:val="603E670B"/>
    <w:rsid w:val="61433C21"/>
    <w:rsid w:val="61D2367E"/>
    <w:rsid w:val="61DD3E1F"/>
    <w:rsid w:val="62103E20"/>
    <w:rsid w:val="63242567"/>
    <w:rsid w:val="63302147"/>
    <w:rsid w:val="63750D1A"/>
    <w:rsid w:val="65D12A9B"/>
    <w:rsid w:val="66490A5B"/>
    <w:rsid w:val="692B4988"/>
    <w:rsid w:val="6944683F"/>
    <w:rsid w:val="6AAF67E6"/>
    <w:rsid w:val="6E903DC2"/>
    <w:rsid w:val="6F457799"/>
    <w:rsid w:val="6F902885"/>
    <w:rsid w:val="71BE04BD"/>
    <w:rsid w:val="73197A6A"/>
    <w:rsid w:val="736B7EE9"/>
    <w:rsid w:val="73E45433"/>
    <w:rsid w:val="754F6478"/>
    <w:rsid w:val="76C97333"/>
    <w:rsid w:val="79723BF6"/>
    <w:rsid w:val="7AC06795"/>
    <w:rsid w:val="7B7C3C3B"/>
    <w:rsid w:val="7BAE4B83"/>
    <w:rsid w:val="7E78493E"/>
    <w:rsid w:val="7EAE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99"/>
  </w:style>
  <w:style w:type="character" w:customStyle="1" w:styleId="8">
    <w:name w:val="Footer Char"/>
    <w:basedOn w:val="6"/>
    <w:link w:val="2"/>
    <w:semiHidden/>
    <w:qFormat/>
    <w:uiPriority w:val="99"/>
    <w:rPr>
      <w:kern w:val="0"/>
      <w:sz w:val="18"/>
      <w:szCs w:val="18"/>
    </w:rPr>
  </w:style>
  <w:style w:type="character" w:customStyle="1" w:styleId="9">
    <w:name w:val="Header Char"/>
    <w:basedOn w:val="6"/>
    <w:link w:val="3"/>
    <w:semiHidden/>
    <w:qFormat/>
    <w:uiPriority w:val="99"/>
    <w:rPr>
      <w:kern w:val="0"/>
      <w:sz w:val="18"/>
      <w:szCs w:val="18"/>
    </w:rPr>
  </w:style>
  <w:style w:type="paragraph" w:customStyle="1" w:styleId="10">
    <w:name w:val="列出段落1"/>
    <w:basedOn w:val="1"/>
    <w:qFormat/>
    <w:uiPriority w:val="99"/>
    <w:pPr>
      <w:widowControl w:val="0"/>
      <w:ind w:firstLine="420" w:firstLineChars="200"/>
      <w:jc w:val="both"/>
    </w:pPr>
    <w:rPr>
      <w:kern w:val="2"/>
      <w:sz w:val="21"/>
      <w:szCs w:val="21"/>
    </w:rPr>
  </w:style>
  <w:style w:type="paragraph" w:customStyle="1" w:styleId="11">
    <w:name w:val="_Style 4"/>
    <w:basedOn w:val="1"/>
    <w:qFormat/>
    <w:uiPriority w:val="99"/>
    <w:pPr>
      <w:widowControl w:val="0"/>
      <w:adjustRightInd w:val="0"/>
      <w:snapToGrid w:val="0"/>
      <w:spacing w:line="360" w:lineRule="auto"/>
      <w:ind w:firstLine="420" w:firstLineChars="200"/>
      <w:jc w:val="both"/>
    </w:pPr>
    <w:rPr>
      <w:kern w:val="2"/>
      <w:sz w:val="28"/>
      <w:szCs w:val="28"/>
    </w:rPr>
  </w:style>
  <w:style w:type="paragraph" w:customStyle="1" w:styleId="12">
    <w:name w:val="p15"/>
    <w:basedOn w:val="1"/>
    <w:qFormat/>
    <w:uiPriority w:val="99"/>
    <w:pPr>
      <w:jc w:val="center"/>
    </w:pPr>
    <w:rPr>
      <w:rFonts w:ascii="仿宋_GB2312" w:hAnsi="宋体" w:eastAsia="仿宋_GB2312" w:cs="仿宋_GB2312"/>
      <w:b/>
      <w:bCs/>
      <w:sz w:val="84"/>
      <w:szCs w:val="84"/>
    </w:rPr>
  </w:style>
  <w:style w:type="paragraph" w:customStyle="1" w:styleId="13">
    <w:name w:val="正文样式"/>
    <w:basedOn w:val="1"/>
    <w:qFormat/>
    <w:uiPriority w:val="0"/>
    <w:pPr>
      <w:spacing w:line="360" w:lineRule="auto"/>
      <w:ind w:firstLine="567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电科院</Company>
  <Pages>1</Pages>
  <Words>318</Words>
  <Characters>1818</Characters>
  <Lines>0</Lines>
  <Paragraphs>0</Paragraphs>
  <TotalTime>12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2018-03-01T05:52:00Z</dcterms:created>
  <dc:creator>杨俊坤(兼职)</dc:creator>
  <cp:lastModifiedBy>pyj</cp:lastModifiedBy>
  <cp:lastPrinted>2024-12-23T04:50:00Z</cp:lastPrinted>
  <dcterms:modified xsi:type="dcterms:W3CDTF">2026-01-19T02:07:14Z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77981866F1104B4190A359C78CCD0C5B</vt:lpwstr>
  </property>
</Properties>
</file>