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营销客户档案整理</w:t>
      </w:r>
      <w:r>
        <w:rPr>
          <w:rFonts w:hint="eastAsia"/>
          <w:b/>
          <w:bCs/>
          <w:sz w:val="32"/>
          <w:szCs w:val="32"/>
          <w:lang w:val="en-US" w:eastAsia="zh-CN"/>
        </w:rPr>
        <w:t>服务技术要求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</w:t>
      </w:r>
      <w:r>
        <w:rPr>
          <w:rFonts w:hint="eastAsia"/>
          <w:b/>
          <w:bCs/>
          <w:sz w:val="28"/>
          <w:szCs w:val="28"/>
          <w:lang w:eastAsia="zh-CN"/>
        </w:rPr>
        <w:t>、</w:t>
      </w:r>
      <w:r>
        <w:rPr>
          <w:rFonts w:hint="eastAsia"/>
          <w:b/>
          <w:bCs/>
          <w:sz w:val="28"/>
          <w:szCs w:val="28"/>
        </w:rPr>
        <w:t>基础信息管理要求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信息采集完整：需覆盖客户核心必填信息（自然人客户：姓名、身份证号、联系电话、常住地址、业务办理账号；单位客户：单位全称、统一社会信用代码、经办人信息、对公联系方式、注册地址），以及补充关联信息（业务办理类型、办理时间、经办人、客户备注的特殊需求、沟通记录），无关键项空缺，无信息缺漏页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信息内容准确：档案信息需与客户提交的纸质材料、线上填报信息、系统登记数据三方核对一致，姓名、证件号、账号等关键信息无错别字、数字错位；纸质档案字迹工整可辨认，电子档案录入规范无乱码，发现信息矛盾需第一时间核实修正，不擅自臆断填写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3.信息真实有效：留存客户提交的资质材料复印件（自然人身份证、单位营业执照等）需标注“与原件核对无误”及核对人签字、核对日期，确保档案信息来源真实，杜绝虚假信息归档。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</w:t>
      </w:r>
      <w:r>
        <w:rPr>
          <w:rFonts w:hint="eastAsia"/>
          <w:b/>
          <w:bCs/>
          <w:sz w:val="28"/>
          <w:szCs w:val="28"/>
          <w:lang w:eastAsia="zh-CN"/>
        </w:rPr>
        <w:t>、</w:t>
      </w:r>
      <w:r>
        <w:rPr>
          <w:rFonts w:hint="eastAsia"/>
          <w:b/>
          <w:bCs/>
          <w:sz w:val="28"/>
          <w:szCs w:val="28"/>
        </w:rPr>
        <w:t xml:space="preserve">档案分类与归档规范要求 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分类标准统一：按固定口径分类归档，优先沿用业务既定标准（可选分类维度：按业务品类分、按客户等级分、按服务区域分、按档案状态分&lt;在用/休眠/注销&gt;），分类后不随意调整，同类别档案归集至同一区域/文件夹，不混放错乱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编号标签规范：档案编号采用“固定编码规则”（例：业务代码+年份+序号），编码唯一不重复；纸质档案贴统一规格标签，标注编号、客户名称、业务类型、建档日期；电子档案命名与编号保持一致，存入对应分类文件夹，便于检索识别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归档时限明确：业务办理完结（含资料签字确认、费用结清、系统录入完成）后，24小时内完成档案初步整理，3个工作日内完成正式归档；临时存放的待归档档案，单独标注“待归档”，每日清理不积压，不出现跨周未归档档案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归档装订合规：纸质档案采用统一装订方式（左侧装订/左上角固定），装订牢固不松散，无缺页、倒页、折页；附件材料（申请表、复印件、回执单）按业务办理流程顺序排列，首页附档案目录，标注页码及对应内容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</w:t>
      </w:r>
      <w:r>
        <w:rPr>
          <w:rFonts w:hint="eastAsia"/>
          <w:b/>
          <w:bCs/>
          <w:sz w:val="28"/>
          <w:szCs w:val="28"/>
          <w:lang w:eastAsia="zh-CN"/>
        </w:rPr>
        <w:t>、</w:t>
      </w:r>
      <w:r>
        <w:rPr>
          <w:rFonts w:hint="eastAsia"/>
          <w:b/>
          <w:bCs/>
          <w:sz w:val="28"/>
          <w:szCs w:val="28"/>
        </w:rPr>
        <w:t>保管与隐私安全要求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纸质档案保管：存放于专用档案柜，做好防潮、防蛀、防火、防盗措施，档案柜上锁管理，非档案管理人员不得接触；按档案保管年限分层存放，短期保管（1-3年）、长期保管（5年及以上）、永久保管档案分区明确，张贴标识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2.电子档案保管：存入专用业务系统或加密存储设备，设置权限管控，仅指定岗位人员可访问；定期（每周）备份，备份文件异地存放，防止数据丢失；电子档案不存入私人设备，不通过非工作渠道传输。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隐私保密合规：严格遵守客户信息保护相关规定，档案内容不私自泄露、传播，不向无关人员透露客户信息；纸质档案复印件需经审批，电子档案禁止截图、转发，档案销毁前需做脱敏处理，杜绝隐私泄露风险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</w:t>
      </w:r>
      <w:r>
        <w:rPr>
          <w:rFonts w:hint="eastAsia"/>
          <w:b/>
          <w:bCs/>
          <w:sz w:val="28"/>
          <w:szCs w:val="28"/>
          <w:lang w:eastAsia="zh-CN"/>
        </w:rPr>
        <w:t>、</w:t>
      </w:r>
      <w:r>
        <w:rPr>
          <w:rFonts w:hint="eastAsia"/>
          <w:b/>
          <w:bCs/>
          <w:sz w:val="28"/>
          <w:szCs w:val="28"/>
        </w:rPr>
        <w:t xml:space="preserve">查阅与交接管理要求 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查阅审批规范：内部人员查阅档案，需填写《档案查阅申请表》，注明查阅事由、查阅内容、查阅时长，经对应负责人签字审批；外部单位查阅（含监管部门），需提供有效证件及查阅函，登记备案后方可查阅，不允许无审批查阅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查阅使用规范：查阅档案仅限指定区域，纸质档案不带出档案存放地，不涂改、勾画、撕毁；电子档案仅可在线查看，不允许下载、复制；查阅完毕后，纸质档案当场核对页数，电子档案及时退出登录，做好查阅登记核销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档案交接规范：人员轮岗、离职或档案移交时，需填写《档案交接清单》，注明档案编号、数量、状态，交接双方核对无误后签字确认，监交人签字见证；交接过程全程留痕，避免档案遗失、错乱，交接后3个工作日内完成系统信息更新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</w:t>
      </w:r>
      <w:r>
        <w:rPr>
          <w:rFonts w:hint="eastAsia"/>
          <w:b/>
          <w:bCs/>
          <w:sz w:val="28"/>
          <w:szCs w:val="28"/>
          <w:lang w:eastAsia="zh-CN"/>
        </w:rPr>
        <w:t>、</w:t>
      </w:r>
      <w:r>
        <w:rPr>
          <w:rFonts w:hint="eastAsia"/>
          <w:b/>
          <w:bCs/>
          <w:sz w:val="28"/>
          <w:szCs w:val="28"/>
        </w:rPr>
        <w:t>动态更新与闭环管理要求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信息动态更新：客户信息（联系方式、地址、经办人）、业务状态（变更、注销、续约）发生变动时，需在变动确认后2个工作日内更新档案，标注更新时间、更新人及变更原因；补充业务记录（后续服务、投诉处理、业务续约）需及时归档，附相关凭证材料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2.定期排查清理：每月开展1次档案排查，核对档案信息有效性，对休眠客户、注销业务档案标注状态；每年开展1次全面清理，对超过保管年限、无留存必要的档案，按流程提交销毁申请，不擅自处置档案。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  <w:lang w:val="en-US" w:eastAsia="zh-CN"/>
        </w:rPr>
        <w:t>.</w:t>
      </w:r>
      <w:r>
        <w:rPr>
          <w:rFonts w:hint="eastAsia"/>
          <w:sz w:val="28"/>
          <w:szCs w:val="28"/>
        </w:rPr>
        <w:t>闭环管控要求：档案从建档、归档、更新、查阅到销毁，全流程留痕可追溯，各类申请表、交接清单、销毁审批表等资料，按年限留存归档；档案管理过程中发现问题（缺页、信息错误、遗失），需及时上报并整改，形成问题整改记录，实现闭环管理。</w:t>
      </w:r>
    </w:p>
    <w:p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六</w:t>
      </w:r>
      <w:r>
        <w:rPr>
          <w:rFonts w:hint="eastAsia"/>
          <w:b/>
          <w:bCs/>
          <w:sz w:val="28"/>
          <w:szCs w:val="28"/>
          <w:lang w:eastAsia="zh-CN"/>
        </w:rPr>
        <w:t>、</w:t>
      </w:r>
      <w:r>
        <w:rPr>
          <w:rFonts w:hint="eastAsia"/>
          <w:b/>
          <w:bCs/>
          <w:sz w:val="28"/>
          <w:szCs w:val="28"/>
        </w:rPr>
        <w:t>岗位责任要求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1.档案管理人员需熟悉档案管理规范，严格按要求开展整理、保管、更新工作，对档案完整性、准确性、安全性负责。</w:t>
      </w:r>
    </w:p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2.工作中发现档案异常（信息虚假、材料缺失、存放损坏</w:t>
      </w:r>
      <w:r>
        <w:rPr>
          <w:rFonts w:hint="eastAsia"/>
          <w:sz w:val="28"/>
          <w:szCs w:val="28"/>
          <w:lang w:eastAsia="zh-CN"/>
        </w:rPr>
        <w:t>）</w:t>
      </w:r>
    </w:p>
    <w:p>
      <w:pPr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七、人员安排</w:t>
      </w:r>
    </w:p>
    <w:tbl>
      <w:tblPr>
        <w:tblStyle w:val="2"/>
        <w:tblW w:w="8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625"/>
        <w:gridCol w:w="2356"/>
        <w:gridCol w:w="928"/>
        <w:gridCol w:w="1762"/>
        <w:gridCol w:w="24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62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序号</w:t>
            </w:r>
          </w:p>
        </w:tc>
        <w:tc>
          <w:tcPr>
            <w:tcW w:w="2356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highlight w:val="none"/>
              </w:rPr>
              <w:t>名称</w:t>
            </w:r>
          </w:p>
        </w:tc>
        <w:tc>
          <w:tcPr>
            <w:tcW w:w="928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bCs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highlight w:val="none"/>
                <w:lang w:eastAsia="zh-CN"/>
              </w:rPr>
              <w:t>单位</w:t>
            </w:r>
          </w:p>
        </w:tc>
        <w:tc>
          <w:tcPr>
            <w:tcW w:w="1762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highlight w:val="none"/>
                <w:lang w:eastAsia="zh-CN"/>
              </w:rPr>
              <w:t>人数</w:t>
            </w:r>
          </w:p>
        </w:tc>
        <w:tc>
          <w:tcPr>
            <w:tcW w:w="2427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highlight w:val="no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625" w:type="dxa"/>
            <w:vAlign w:val="center"/>
          </w:tcPr>
          <w:p>
            <w:pPr>
              <w:tabs>
                <w:tab w:val="left" w:pos="709"/>
              </w:tabs>
              <w:jc w:val="center"/>
              <w:outlineLvl w:val="1"/>
              <w:rPr>
                <w:rFonts w:ascii="宋体" w:hAnsi="宋体"/>
                <w:szCs w:val="21"/>
                <w:highlight w:val="none"/>
              </w:rPr>
            </w:pPr>
            <w:r>
              <w:rPr>
                <w:rFonts w:ascii="宋体" w:hAnsi="宋体"/>
                <w:szCs w:val="21"/>
                <w:highlight w:val="none"/>
              </w:rPr>
              <w:t>1</w:t>
            </w:r>
          </w:p>
        </w:tc>
        <w:tc>
          <w:tcPr>
            <w:tcW w:w="2356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城北营业厅</w:t>
            </w:r>
          </w:p>
        </w:tc>
        <w:tc>
          <w:tcPr>
            <w:tcW w:w="92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762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427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城北供电分局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625" w:type="dxa"/>
            <w:vAlign w:val="center"/>
          </w:tcPr>
          <w:p>
            <w:pPr>
              <w:tabs>
                <w:tab w:val="left" w:pos="709"/>
              </w:tabs>
              <w:jc w:val="center"/>
              <w:outlineLvl w:val="1"/>
              <w:rPr>
                <w:rFonts w:ascii="宋体" w:hAnsi="宋体"/>
                <w:szCs w:val="21"/>
                <w:highlight w:val="none"/>
              </w:rPr>
            </w:pPr>
            <w:r>
              <w:rPr>
                <w:rFonts w:ascii="宋体" w:hAnsi="宋体"/>
                <w:szCs w:val="21"/>
                <w:highlight w:val="none"/>
              </w:rPr>
              <w:t>2</w:t>
            </w:r>
          </w:p>
        </w:tc>
        <w:tc>
          <w:tcPr>
            <w:tcW w:w="2356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文化广场营业厅</w:t>
            </w:r>
          </w:p>
        </w:tc>
        <w:tc>
          <w:tcPr>
            <w:tcW w:w="928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762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2</w:t>
            </w:r>
            <w:bookmarkStart w:id="0" w:name="_GoBack"/>
            <w:bookmarkEnd w:id="0"/>
          </w:p>
        </w:tc>
        <w:tc>
          <w:tcPr>
            <w:tcW w:w="2427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城南供电分局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8098" w:type="dxa"/>
            <w:gridSpan w:val="5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eastAsia="zh-CN"/>
              </w:rPr>
              <w:t>注：因甲方营业厅名称或地址变更、新建、撤销等原因引起的营业厅档案维护服务变更的，以实际发生的数量和时间进行结算。</w:t>
            </w:r>
          </w:p>
        </w:tc>
      </w:tr>
    </w:tbl>
    <w:p>
      <w:pPr>
        <w:rPr>
          <w:rFonts w:hint="eastAsia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70735A"/>
    <w:rsid w:val="5F2C5D04"/>
    <w:rsid w:val="699F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2026-01-21T08:12:00Z</dcterms:created>
  <dc:creator>ylguser</dc:creator>
  <cp:lastModifiedBy>刘丕成</cp:lastModifiedBy>
  <dcterms:modified xsi:type="dcterms:W3CDTF">2026-01-21T09:28:37Z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EADC77FDD9C34CA79B624B3CEA3B66EB</vt:lpwstr>
  </property>
</Properties>
</file>