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240" w:lineRule="auto"/>
        <w:jc w:val="center"/>
        <w:outlineLvl w:val="0"/>
        <w:rPr>
          <w:rFonts w:ascii="仿宋" w:hAnsi="仿宋" w:eastAsia="仿宋"/>
          <w:b/>
          <w:bCs/>
          <w:sz w:val="32"/>
          <w:szCs w:val="32"/>
        </w:rPr>
      </w:pPr>
      <w:bookmarkStart w:id="0" w:name="_Toc250988913"/>
      <w:bookmarkStart w:id="1" w:name="_Toc446509936"/>
      <w:r>
        <w:rPr>
          <w:rFonts w:eastAsia="仿宋"/>
          <w:b/>
          <w:bCs/>
          <w:color w:val="0A210D"/>
          <w:sz w:val="32"/>
          <w:szCs w:val="32"/>
        </w:rPr>
        <w:t xml:space="preserve"> </w:t>
      </w:r>
      <w:r>
        <w:rPr>
          <w:rFonts w:hint="eastAsia" w:eastAsia="仿宋" w:cs="仿宋"/>
          <w:b/>
          <w:bCs/>
          <w:color w:val="0A210D"/>
          <w:sz w:val="32"/>
          <w:szCs w:val="32"/>
        </w:rPr>
        <w:t>技术</w:t>
      </w:r>
      <w:bookmarkEnd w:id="0"/>
      <w:r>
        <w:rPr>
          <w:rFonts w:hint="eastAsia" w:eastAsia="仿宋" w:cs="仿宋"/>
          <w:b/>
          <w:bCs/>
          <w:color w:val="0A210D"/>
          <w:sz w:val="32"/>
          <w:szCs w:val="32"/>
        </w:rPr>
        <w:t>文件</w:t>
      </w:r>
      <w:bookmarkEnd w:id="1"/>
    </w:p>
    <w:p>
      <w:pPr>
        <w:pStyle w:val="14"/>
        <w:keepNext w:val="0"/>
        <w:keepLines w:val="0"/>
        <w:pageBreakBefore w:val="0"/>
        <w:numPr>
          <w:ilvl w:val="0"/>
          <w:numId w:val="0"/>
        </w:numPr>
        <w:kinsoku/>
        <w:wordWrap/>
        <w:overflowPunct/>
        <w:topLinePunct w:val="0"/>
        <w:autoSpaceDE/>
        <w:autoSpaceDN/>
        <w:bidi w:val="0"/>
        <w:snapToGrid w:val="0"/>
        <w:spacing w:line="400" w:lineRule="exact"/>
        <w:textAlignment w:val="auto"/>
        <w:rPr>
          <w:rFonts w:ascii="仿宋" w:hAnsi="仿宋" w:eastAsia="仿宋"/>
          <w:b/>
          <w:bCs/>
          <w:color w:val="000000" w:themeColor="text1"/>
          <w:sz w:val="24"/>
          <w:szCs w:val="24"/>
          <w:highlight w:val="none"/>
        </w:rPr>
      </w:pPr>
      <w:r>
        <w:rPr>
          <w:rFonts w:hint="eastAsia" w:ascii="仿宋" w:hAnsi="仿宋" w:eastAsia="仿宋" w:cs="仿宋"/>
          <w:b/>
          <w:bCs/>
          <w:color w:val="000000" w:themeColor="text1"/>
          <w:kern w:val="0"/>
          <w:sz w:val="24"/>
          <w:szCs w:val="24"/>
          <w:highlight w:val="none"/>
          <w:lang w:val="en-US" w:eastAsia="zh-CN"/>
        </w:rPr>
        <w:t>1.</w:t>
      </w:r>
      <w:r>
        <w:rPr>
          <w:rFonts w:hint="eastAsia" w:ascii="仿宋" w:hAnsi="仿宋" w:eastAsia="仿宋" w:cs="仿宋"/>
          <w:b/>
          <w:bCs/>
          <w:color w:val="000000" w:themeColor="text1"/>
          <w:kern w:val="0"/>
          <w:sz w:val="24"/>
          <w:szCs w:val="24"/>
          <w:highlight w:val="none"/>
        </w:rPr>
        <w:t>项目</w:t>
      </w:r>
    </w:p>
    <w:p>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sz w:val="24"/>
          <w:szCs w:val="24"/>
          <w:lang w:val="en-US" w:eastAsia="zh-CN"/>
        </w:rPr>
        <w:t>云南电网有限责任公司电力科学研究院2026年车辆清洗服务</w:t>
      </w:r>
      <w:r>
        <w:rPr>
          <w:rFonts w:hint="eastAsia" w:ascii="仿宋" w:hAnsi="仿宋" w:eastAsia="仿宋" w:cs="仿宋"/>
          <w:b w:val="0"/>
          <w:bCs w:val="0"/>
          <w:color w:val="auto"/>
          <w:sz w:val="24"/>
          <w:szCs w:val="24"/>
        </w:rPr>
        <w:t>项目</w:t>
      </w:r>
      <w:r>
        <w:rPr>
          <w:rFonts w:hint="eastAsia" w:ascii="仿宋" w:hAnsi="仿宋" w:eastAsia="仿宋" w:cs="仿宋"/>
          <w:b w:val="0"/>
          <w:bCs w:val="0"/>
          <w:color w:val="auto"/>
          <w:sz w:val="24"/>
          <w:szCs w:val="24"/>
          <w:lang w:eastAsia="zh-CN"/>
        </w:rPr>
        <w:t>。</w:t>
      </w:r>
    </w:p>
    <w:p>
      <w:pPr>
        <w:keepNext w:val="0"/>
        <w:keepLines w:val="0"/>
        <w:pageBreakBefore w:val="0"/>
        <w:numPr>
          <w:ilvl w:val="0"/>
          <w:numId w:val="0"/>
        </w:numPr>
        <w:kinsoku/>
        <w:wordWrap/>
        <w:overflowPunct/>
        <w:topLinePunct w:val="0"/>
        <w:autoSpaceDE/>
        <w:autoSpaceDN/>
        <w:bidi w:val="0"/>
        <w:adjustRightInd w:val="0"/>
        <w:snapToGrid w:val="0"/>
        <w:spacing w:line="400" w:lineRule="exact"/>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2.服务要求</w:t>
      </w:r>
    </w:p>
    <w:p>
      <w:pPr>
        <w:keepNext w:val="0"/>
        <w:keepLines w:val="0"/>
        <w:pageBreakBefore w:val="0"/>
        <w:numPr>
          <w:ilvl w:val="0"/>
          <w:numId w:val="0"/>
        </w:numPr>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2.1洗车场应以采购单位坐落位置为中心，就近提供便捷服务。</w:t>
      </w:r>
    </w:p>
    <w:p>
      <w:pPr>
        <w:keepNext w:val="0"/>
        <w:keepLines w:val="0"/>
        <w:pageBreakBefore w:val="0"/>
        <w:numPr>
          <w:ilvl w:val="0"/>
          <w:numId w:val="0"/>
        </w:numPr>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2.2场内职责明确，管理规范，环境整洁，消防设施合格齐全，工作人员业务熟练，态度热情，提供高效、安全、规范的清洁服务。</w:t>
      </w:r>
    </w:p>
    <w:p>
      <w:pPr>
        <w:keepNext w:val="0"/>
        <w:keepLines w:val="0"/>
        <w:pageBreakBefore w:val="0"/>
        <w:numPr>
          <w:ilvl w:val="0"/>
          <w:numId w:val="0"/>
        </w:numPr>
        <w:kinsoku/>
        <w:wordWrap/>
        <w:overflowPunct/>
        <w:topLinePunct w:val="0"/>
        <w:autoSpaceDE/>
        <w:autoSpaceDN/>
        <w:bidi w:val="0"/>
        <w:adjustRightInd w:val="0"/>
        <w:snapToGrid w:val="0"/>
        <w:spacing w:line="400" w:lineRule="exact"/>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3.服务内容</w:t>
      </w:r>
    </w:p>
    <w:p>
      <w:pPr>
        <w:keepNext w:val="0"/>
        <w:keepLines w:val="0"/>
        <w:pageBreakBefore w:val="0"/>
        <w:numPr>
          <w:ilvl w:val="0"/>
          <w:numId w:val="0"/>
        </w:numPr>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为云南电网有限责任公司电力科学研究院自有车辆及长租车辆提供清洗（车辆内部清洁、外部清洗）等清洁服务。</w:t>
      </w:r>
    </w:p>
    <w:p>
      <w:pPr>
        <w:keepNext w:val="0"/>
        <w:keepLines w:val="0"/>
        <w:pageBreakBefore w:val="0"/>
        <w:numPr>
          <w:ilvl w:val="0"/>
          <w:numId w:val="0"/>
        </w:numPr>
        <w:kinsoku/>
        <w:wordWrap/>
        <w:overflowPunct/>
        <w:topLinePunct w:val="0"/>
        <w:autoSpaceDE/>
        <w:autoSpaceDN/>
        <w:bidi w:val="0"/>
        <w:adjustRightInd w:val="0"/>
        <w:snapToGrid w:val="0"/>
        <w:spacing w:line="400" w:lineRule="exact"/>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4.服务期限</w:t>
      </w:r>
    </w:p>
    <w:p>
      <w:pPr>
        <w:pStyle w:val="14"/>
        <w:keepNext w:val="0"/>
        <w:keepLines w:val="0"/>
        <w:pageBreakBefore w:val="0"/>
        <w:numPr>
          <w:ilvl w:val="0"/>
          <w:numId w:val="0"/>
        </w:numPr>
        <w:kinsoku/>
        <w:wordWrap/>
        <w:overflowPunct/>
        <w:topLinePunct w:val="0"/>
        <w:autoSpaceDE/>
        <w:autoSpaceDN/>
        <w:bidi w:val="0"/>
        <w:snapToGrid w:val="0"/>
        <w:spacing w:line="400" w:lineRule="exact"/>
        <w:ind w:left="425" w:leftChars="0"/>
        <w:textAlignment w:val="auto"/>
        <w:rPr>
          <w:rFonts w:hint="default"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采购结束之日起壹年。</w:t>
      </w:r>
    </w:p>
    <w:p>
      <w:pPr>
        <w:pStyle w:val="14"/>
        <w:keepNext w:val="0"/>
        <w:keepLines w:val="0"/>
        <w:pageBreakBefore w:val="0"/>
        <w:numPr>
          <w:ilvl w:val="0"/>
          <w:numId w:val="0"/>
        </w:numPr>
        <w:kinsoku/>
        <w:wordWrap/>
        <w:overflowPunct/>
        <w:topLinePunct w:val="0"/>
        <w:autoSpaceDE/>
        <w:autoSpaceDN/>
        <w:bidi w:val="0"/>
        <w:snapToGrid w:val="0"/>
        <w:spacing w:line="400" w:lineRule="exact"/>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5.报价方式</w:t>
      </w:r>
    </w:p>
    <w:p>
      <w:pPr>
        <w:keepNext w:val="0"/>
        <w:keepLines w:val="0"/>
        <w:pageBreakBefore w:val="0"/>
        <w:widowControl w:val="0"/>
        <w:kinsoku/>
        <w:wordWrap/>
        <w:overflowPunct/>
        <w:topLinePunct/>
        <w:autoSpaceDE w:val="0"/>
        <w:autoSpaceDN w:val="0"/>
        <w:bidi w:val="0"/>
        <w:adjustRightInd w:val="0"/>
        <w:snapToGrid/>
        <w:spacing w:line="400" w:lineRule="exact"/>
        <w:ind w:firstLine="480" w:firstLineChars="200"/>
        <w:textAlignment w:val="auto"/>
        <w:rPr>
          <w:rFonts w:hint="default" w:ascii="仿宋" w:hAnsi="仿宋" w:eastAsia="仿宋" w:cs="仿宋"/>
          <w:b/>
          <w:bCs/>
          <w:color w:val="000000" w:themeColor="text1"/>
          <w:kern w:val="0"/>
          <w:sz w:val="24"/>
          <w:szCs w:val="24"/>
          <w:highlight w:val="none"/>
          <w:lang w:val="en-US" w:eastAsia="zh-CN" w:bidi="ar-SA"/>
        </w:rPr>
      </w:pPr>
      <w:r>
        <w:rPr>
          <w:rFonts w:hint="eastAsia" w:ascii="仿宋" w:hAnsi="仿宋" w:eastAsia="仿宋" w:cs="仿宋"/>
          <w:b w:val="0"/>
          <w:bCs w:val="0"/>
          <w:color w:val="auto"/>
          <w:kern w:val="0"/>
          <w:sz w:val="24"/>
          <w:szCs w:val="24"/>
        </w:rPr>
        <w:t>报价</w:t>
      </w:r>
      <w:r>
        <w:rPr>
          <w:rFonts w:hint="eastAsia" w:ascii="仿宋" w:hAnsi="仿宋" w:eastAsia="仿宋" w:cs="仿宋"/>
          <w:b w:val="0"/>
          <w:bCs w:val="0"/>
          <w:color w:val="auto"/>
          <w:kern w:val="0"/>
          <w:sz w:val="24"/>
          <w:szCs w:val="24"/>
          <w:lang w:val="en-US" w:eastAsia="zh-CN"/>
        </w:rPr>
        <w:t>按</w:t>
      </w:r>
      <w:r>
        <w:rPr>
          <w:rFonts w:hint="eastAsia" w:ascii="仿宋" w:hAnsi="仿宋" w:eastAsia="仿宋" w:cs="仿宋"/>
          <w:b w:val="0"/>
          <w:bCs w:val="0"/>
          <w:color w:val="auto"/>
          <w:kern w:val="0"/>
          <w:sz w:val="24"/>
          <w:szCs w:val="24"/>
          <w:highlight w:val="none"/>
          <w:lang w:val="en-US" w:eastAsia="zh-CN" w:bidi="ar-SA"/>
        </w:rPr>
        <w:t>下表各类车型外部清洗、车辆内部清洁最高限价统一</w:t>
      </w:r>
      <w:r>
        <w:rPr>
          <w:rFonts w:hint="eastAsia" w:ascii="仿宋" w:hAnsi="仿宋" w:eastAsia="仿宋" w:cs="仿宋"/>
          <w:b w:val="0"/>
          <w:bCs w:val="0"/>
          <w:color w:val="auto"/>
          <w:kern w:val="0"/>
          <w:sz w:val="24"/>
          <w:szCs w:val="24"/>
          <w:lang w:val="en-US" w:eastAsia="zh-CN"/>
        </w:rPr>
        <w:t>优惠下浮点进行报价。</w:t>
      </w:r>
    </w:p>
    <w:tbl>
      <w:tblPr>
        <w:tblStyle w:val="8"/>
        <w:tblpPr w:leftFromText="180" w:rightFromText="180" w:vertAnchor="text" w:horzAnchor="page" w:tblpX="1915" w:tblpY="408"/>
        <w:tblOverlap w:val="never"/>
        <w:tblW w:w="485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05"/>
        <w:gridCol w:w="2430"/>
        <w:gridCol w:w="3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车型</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最高限价</w:t>
            </w:r>
            <w:r>
              <w:rPr>
                <w:rFonts w:hint="eastAsia" w:ascii="仿宋" w:hAnsi="仿宋" w:eastAsia="仿宋" w:cs="仿宋"/>
                <w:b/>
                <w:bCs/>
                <w:i w:val="0"/>
                <w:iCs w:val="0"/>
                <w:color w:val="auto"/>
                <w:kern w:val="0"/>
                <w:sz w:val="24"/>
                <w:szCs w:val="24"/>
                <w:u w:val="none"/>
                <w:lang w:val="en-US" w:eastAsia="zh-CN" w:bidi="ar"/>
              </w:rPr>
              <w:br w:type="textWrapping"/>
            </w:r>
            <w:r>
              <w:rPr>
                <w:rFonts w:hint="eastAsia" w:ascii="仿宋" w:hAnsi="仿宋" w:eastAsia="仿宋" w:cs="仿宋"/>
                <w:b/>
                <w:bCs/>
                <w:i w:val="0"/>
                <w:iCs w:val="0"/>
                <w:color w:val="auto"/>
                <w:kern w:val="0"/>
                <w:sz w:val="24"/>
                <w:szCs w:val="24"/>
                <w:u w:val="none"/>
                <w:lang w:val="en-US" w:eastAsia="zh-CN" w:bidi="ar"/>
              </w:rPr>
              <w:t>（元/次.车）</w:t>
            </w:r>
          </w:p>
        </w:tc>
        <w:tc>
          <w:tcPr>
            <w:tcW w:w="18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default"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color w:val="auto"/>
                <w:sz w:val="24"/>
                <w:szCs w:val="24"/>
                <w:lang w:val="en-US" w:eastAsia="zh-CN"/>
              </w:rPr>
              <w:t>优惠下浮点（）%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轿车</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30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olor w:val="auto"/>
                <w:sz w:val="24"/>
                <w:szCs w:val="24"/>
                <w:highlight w:val="none"/>
                <w:u w:val="single"/>
                <w:vertAlign w:val="baseline"/>
                <w:lang w:val="en-US" w:eastAsia="zh-CN"/>
              </w:rPr>
            </w:pPr>
            <w:r>
              <w:rPr>
                <w:rFonts w:hint="eastAsia" w:ascii="仿宋" w:hAnsi="仿宋" w:eastAsia="仿宋"/>
                <w:color w:val="auto"/>
                <w:sz w:val="24"/>
                <w:szCs w:val="24"/>
                <w:highlight w:val="none"/>
                <w:u w:val="single"/>
                <w:vertAlign w:val="baseline"/>
                <w:lang w:val="en-US" w:eastAsia="zh-CN"/>
              </w:rPr>
              <w:t xml:space="preserve">    </w:t>
            </w:r>
            <w:r>
              <w:rPr>
                <w:rFonts w:hint="eastAsia" w:ascii="仿宋" w:hAnsi="仿宋" w:eastAsia="仿宋"/>
                <w:color w:val="auto"/>
                <w:sz w:val="24"/>
                <w:szCs w:val="24"/>
                <w:highlight w:val="none"/>
                <w:u w:val="none"/>
                <w:vertAlign w:val="baseline"/>
                <w:lang w:val="en-US" w:eastAsia="zh-CN"/>
              </w:rPr>
              <w:t>%</w:t>
            </w:r>
          </w:p>
          <w:p>
            <w:pPr>
              <w:keepNext w:val="0"/>
              <w:keepLines w:val="0"/>
              <w:pageBreakBefore w:val="0"/>
              <w:widowControl w:val="0"/>
              <w:kinsoku/>
              <w:wordWrap/>
              <w:overflowPunct/>
              <w:topLinePunct/>
              <w:bidi w:val="0"/>
              <w:snapToGrid/>
              <w:spacing w:line="400" w:lineRule="exact"/>
              <w:jc w:val="center"/>
              <w:rPr>
                <w:rFonts w:hint="default"/>
                <w:lang w:val="en-US" w:eastAsia="zh-CN"/>
              </w:rPr>
            </w:pPr>
          </w:p>
          <w:p>
            <w:pPr>
              <w:pStyle w:val="2"/>
              <w:keepNext w:val="0"/>
              <w:keepLines w:val="0"/>
              <w:pageBreakBefore w:val="0"/>
              <w:widowControl w:val="0"/>
              <w:kinsoku/>
              <w:wordWrap/>
              <w:overflowPunct/>
              <w:topLinePunct/>
              <w:bidi w:val="0"/>
              <w:snapToGrid/>
              <w:spacing w:line="400" w:lineRule="exact"/>
              <w:rPr>
                <w:rFonts w:hint="default"/>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越野车</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40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商务车</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50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九座以上车辆</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80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二十座车辆</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110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轿车</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400元/次.车</w:t>
            </w:r>
          </w:p>
        </w:tc>
        <w:tc>
          <w:tcPr>
            <w:tcW w:w="1838" w:type="pct"/>
            <w:vMerge w:val="continue"/>
            <w:tcBorders>
              <w:left w:val="single" w:color="000000" w:sz="4" w:space="0"/>
              <w:right w:val="single" w:color="000000" w:sz="4" w:space="0"/>
            </w:tcBorders>
            <w:shd w:val="clear" w:color="auto" w:fill="auto"/>
            <w:noWrap/>
            <w:vAlign w:val="center"/>
          </w:tcPr>
          <w:p>
            <w:pPr>
              <w:pStyle w:val="2"/>
              <w:keepNext w:val="0"/>
              <w:keepLines w:val="0"/>
              <w:pageBreakBefore w:val="0"/>
              <w:widowControl w:val="0"/>
              <w:kinsoku/>
              <w:wordWrap/>
              <w:overflowPunct/>
              <w:topLinePunct/>
              <w:bidi w:val="0"/>
              <w:snapToGrid/>
              <w:spacing w:line="400" w:lineRule="exact"/>
              <w:rPr>
                <w:rFonts w:hint="default"/>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越野车</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400元/次.车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商务车</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500元/次.车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九座以上车辆</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600元/次.车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二十座车辆</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1350元/次.车</w:t>
            </w:r>
          </w:p>
        </w:tc>
        <w:tc>
          <w:tcPr>
            <w:tcW w:w="1838" w:type="pct"/>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bl>
    <w:p>
      <w:pPr>
        <w:pStyle w:val="14"/>
        <w:keepNext w:val="0"/>
        <w:keepLines w:val="0"/>
        <w:pageBreakBefore w:val="0"/>
        <w:kinsoku/>
        <w:wordWrap/>
        <w:overflowPunct/>
        <w:bidi w:val="0"/>
        <w:snapToGrid w:val="0"/>
        <w:spacing w:line="400" w:lineRule="exact"/>
        <w:ind w:left="0" w:leftChars="0" w:firstLine="0" w:firstLineChars="0"/>
        <w:rPr>
          <w:rFonts w:hint="eastAsia" w:ascii="仿宋" w:hAnsi="仿宋" w:eastAsia="仿宋"/>
          <w:b/>
          <w:bCs/>
          <w:color w:val="000000" w:themeColor="text1"/>
          <w:sz w:val="24"/>
          <w:szCs w:val="24"/>
          <w:highlight w:val="none"/>
          <w:lang w:val="en-US" w:eastAsia="zh-CN"/>
        </w:rPr>
      </w:pPr>
      <w:r>
        <w:rPr>
          <w:rFonts w:hint="eastAsia" w:ascii="仿宋" w:hAnsi="仿宋" w:eastAsia="仿宋"/>
          <w:b/>
          <w:bCs/>
          <w:color w:val="000000" w:themeColor="text1"/>
          <w:sz w:val="24"/>
          <w:szCs w:val="24"/>
          <w:highlight w:val="none"/>
          <w:lang w:val="en-US" w:eastAsia="zh-CN"/>
        </w:rPr>
        <w:t>6.结算方式</w:t>
      </w:r>
    </w:p>
    <w:p>
      <w:pPr>
        <w:pStyle w:val="14"/>
        <w:keepNext w:val="0"/>
        <w:keepLines w:val="0"/>
        <w:pageBreakBefore w:val="0"/>
        <w:kinsoku/>
        <w:wordWrap/>
        <w:overflowPunct/>
        <w:bidi w:val="0"/>
        <w:snapToGrid w:val="0"/>
        <w:spacing w:line="400" w:lineRule="exact"/>
        <w:ind w:left="0" w:leftChars="0" w:firstLine="480" w:firstLineChars="200"/>
        <w:rPr>
          <w:rFonts w:hint="eastAsia" w:ascii="仿宋" w:hAnsi="仿宋" w:eastAsia="仿宋" w:cs="仿宋"/>
          <w:b w:val="0"/>
          <w:bCs w:val="0"/>
          <w:color w:val="000000" w:themeColor="text1"/>
          <w:kern w:val="0"/>
          <w:sz w:val="24"/>
          <w:szCs w:val="24"/>
          <w:highlight w:val="none"/>
          <w:lang w:val="en-US" w:eastAsia="zh-CN" w:bidi="ar-SA"/>
        </w:rPr>
      </w:pPr>
      <w:r>
        <w:rPr>
          <w:rFonts w:hint="eastAsia" w:ascii="仿宋" w:hAnsi="仿宋" w:eastAsia="仿宋" w:cs="仿宋"/>
          <w:b w:val="0"/>
          <w:bCs w:val="0"/>
          <w:color w:val="000000" w:themeColor="text1"/>
          <w:kern w:val="0"/>
          <w:sz w:val="24"/>
          <w:szCs w:val="24"/>
          <w:highlight w:val="none"/>
          <w:lang w:val="en-US" w:eastAsia="zh-CN" w:bidi="ar-SA"/>
        </w:rPr>
        <w:t>6.1相关费用按月汇总统计、季度支付。统一下浮点应用于各类车型单价，据实结算。</w:t>
      </w:r>
    </w:p>
    <w:p>
      <w:pPr>
        <w:pStyle w:val="14"/>
        <w:keepNext w:val="0"/>
        <w:keepLines w:val="0"/>
        <w:pageBreakBefore w:val="0"/>
        <w:kinsoku/>
        <w:wordWrap/>
        <w:overflowPunct/>
        <w:bidi w:val="0"/>
        <w:snapToGrid w:val="0"/>
        <w:spacing w:line="400" w:lineRule="exact"/>
        <w:ind w:left="0" w:leftChars="0" w:firstLine="480" w:firstLineChars="200"/>
        <w:rPr>
          <w:color w:val="000000" w:themeColor="text1"/>
          <w:highlight w:val="none"/>
        </w:rPr>
      </w:pPr>
      <w:r>
        <w:rPr>
          <w:rFonts w:hint="eastAsia" w:ascii="仿宋" w:hAnsi="仿宋" w:eastAsia="仿宋" w:cs="仿宋"/>
          <w:b w:val="0"/>
          <w:bCs w:val="0"/>
          <w:color w:val="000000" w:themeColor="text1"/>
          <w:kern w:val="0"/>
          <w:sz w:val="24"/>
          <w:szCs w:val="24"/>
          <w:highlight w:val="none"/>
          <w:lang w:val="en-US" w:eastAsia="zh-CN" w:bidi="ar-SA"/>
        </w:rPr>
        <w:t xml:space="preserve">6.2服务供应商必须开具增值税专用发票。 </w:t>
      </w:r>
      <w:bookmarkStart w:id="2" w:name="_GoBack"/>
      <w:bookmarkEnd w:id="2"/>
    </w:p>
    <w:p>
      <w:pPr>
        <w:pStyle w:val="14"/>
        <w:snapToGrid w:val="0"/>
        <w:spacing w:line="360" w:lineRule="auto"/>
        <w:ind w:left="0" w:leftChars="0" w:firstLine="420" w:firstLineChars="200"/>
        <w:rPr>
          <w:rFonts w:hint="default"/>
          <w:color w:val="000000" w:themeColor="text1"/>
          <w:highlight w:val="none"/>
          <w:lang w:val="en-US"/>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5880" w:y="-14"/>
      <w:rPr>
        <w:rStyle w:val="11"/>
      </w:rPr>
    </w:pPr>
    <w:r>
      <w:rPr>
        <w:rStyle w:val="11"/>
      </w:rPr>
      <w:fldChar w:fldCharType="begin"/>
    </w:r>
    <w:r>
      <w:rPr>
        <w:rStyle w:val="11"/>
      </w:rPr>
      <w:instrText xml:space="preserve">PAGE  </w:instrText>
    </w:r>
    <w:r>
      <w:rPr>
        <w:rStyle w:val="11"/>
      </w:rPr>
      <w:fldChar w:fldCharType="separate"/>
    </w:r>
    <w:r>
      <w:rPr>
        <w:rStyle w:val="11"/>
      </w:rPr>
      <w:t>3</w:t>
    </w:r>
    <w:r>
      <w:rPr>
        <w:rStyle w:val="11"/>
      </w:rPr>
      <w:fldChar w:fldCharType="end"/>
    </w:r>
  </w:p>
  <w:p>
    <w:pPr>
      <w:pStyle w:val="4"/>
      <w:spacing w:line="360" w:lineRule="auto"/>
      <w:ind w:right="360"/>
      <w:jc w:val="both"/>
      <w:rPr>
        <w:rFonts w:ascii="宋体"/>
        <w:b/>
        <w:bC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2" w:leftChars="-71" w:hanging="140" w:hangingChars="78"/>
      <w:jc w:val="left"/>
      <w:rPr>
        <w:rFonts w:ascii="楷体_GB2312" w:hAnsi="宋体" w:eastAsia="楷体_GB23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C437F13"/>
    <w:rsid w:val="00026618"/>
    <w:rsid w:val="0075790A"/>
    <w:rsid w:val="007F73F9"/>
    <w:rsid w:val="00861A04"/>
    <w:rsid w:val="00886552"/>
    <w:rsid w:val="00996284"/>
    <w:rsid w:val="01D6466C"/>
    <w:rsid w:val="03E56917"/>
    <w:rsid w:val="088A1978"/>
    <w:rsid w:val="0AA25C16"/>
    <w:rsid w:val="0BE428ED"/>
    <w:rsid w:val="0C437F13"/>
    <w:rsid w:val="0D6A0AED"/>
    <w:rsid w:val="0E5E4FDE"/>
    <w:rsid w:val="0ECC0A79"/>
    <w:rsid w:val="115C6BF3"/>
    <w:rsid w:val="12332142"/>
    <w:rsid w:val="12B039C8"/>
    <w:rsid w:val="13B75A14"/>
    <w:rsid w:val="13DF3855"/>
    <w:rsid w:val="1824372C"/>
    <w:rsid w:val="19C82503"/>
    <w:rsid w:val="1BA279EB"/>
    <w:rsid w:val="1BC30BE9"/>
    <w:rsid w:val="205C4BA5"/>
    <w:rsid w:val="22606F73"/>
    <w:rsid w:val="22A72B65"/>
    <w:rsid w:val="23AF6C1B"/>
    <w:rsid w:val="27E11879"/>
    <w:rsid w:val="2BC73246"/>
    <w:rsid w:val="2F9724A4"/>
    <w:rsid w:val="335D34AE"/>
    <w:rsid w:val="33616C57"/>
    <w:rsid w:val="34047CEB"/>
    <w:rsid w:val="3A144735"/>
    <w:rsid w:val="3BB14741"/>
    <w:rsid w:val="3BBE0A17"/>
    <w:rsid w:val="3D965098"/>
    <w:rsid w:val="40D3135B"/>
    <w:rsid w:val="41892E3A"/>
    <w:rsid w:val="439508F1"/>
    <w:rsid w:val="446C09D5"/>
    <w:rsid w:val="480F57AF"/>
    <w:rsid w:val="4A817DBC"/>
    <w:rsid w:val="4C4E2CBD"/>
    <w:rsid w:val="4C5A316B"/>
    <w:rsid w:val="4E9E702E"/>
    <w:rsid w:val="4FD261B6"/>
    <w:rsid w:val="51981EEB"/>
    <w:rsid w:val="52AF3521"/>
    <w:rsid w:val="53194965"/>
    <w:rsid w:val="54DA0D43"/>
    <w:rsid w:val="566962B4"/>
    <w:rsid w:val="572A1E2E"/>
    <w:rsid w:val="575D4CB3"/>
    <w:rsid w:val="577E261B"/>
    <w:rsid w:val="58187E94"/>
    <w:rsid w:val="5AEC7D39"/>
    <w:rsid w:val="5B235C95"/>
    <w:rsid w:val="5F8474E0"/>
    <w:rsid w:val="5FA576D9"/>
    <w:rsid w:val="67B861B4"/>
    <w:rsid w:val="67F5111B"/>
    <w:rsid w:val="692B4988"/>
    <w:rsid w:val="6AAF67E6"/>
    <w:rsid w:val="6B705EB0"/>
    <w:rsid w:val="6B8F0DDA"/>
    <w:rsid w:val="6CB32CE3"/>
    <w:rsid w:val="6E0A777F"/>
    <w:rsid w:val="6E1E7D37"/>
    <w:rsid w:val="6E566C87"/>
    <w:rsid w:val="6E903DC2"/>
    <w:rsid w:val="6F6B55D8"/>
    <w:rsid w:val="71BE04BD"/>
    <w:rsid w:val="736B7EE9"/>
    <w:rsid w:val="73E45433"/>
    <w:rsid w:val="73FB300D"/>
    <w:rsid w:val="74263C47"/>
    <w:rsid w:val="754F6478"/>
    <w:rsid w:val="759365F4"/>
    <w:rsid w:val="76A50B03"/>
    <w:rsid w:val="76C97333"/>
    <w:rsid w:val="77A053B3"/>
    <w:rsid w:val="77B12F78"/>
    <w:rsid w:val="78E06AB0"/>
    <w:rsid w:val="7AC06795"/>
    <w:rsid w:val="7B7A5905"/>
    <w:rsid w:val="7B7C3C3B"/>
    <w:rsid w:val="7B8A593A"/>
    <w:rsid w:val="7CE50175"/>
    <w:rsid w:val="7E78493E"/>
    <w:rsid w:val="7E8B17A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0"/>
      <w:szCs w:val="20"/>
      <w:lang w:val="en-US" w:eastAsia="zh-CN" w:bidi="ar-SA"/>
    </w:rPr>
  </w:style>
  <w:style w:type="character" w:default="1" w:styleId="10">
    <w:name w:val="Default Paragraph Font"/>
    <w:semiHidden/>
    <w:uiPriority w:val="99"/>
  </w:style>
  <w:style w:type="table" w:default="1" w:styleId="8">
    <w:name w:val="Normal Table"/>
    <w:unhideWhenUsed/>
    <w:qFormat/>
    <w:uiPriority w:val="99"/>
    <w:tblPr>
      <w:tblCellMar>
        <w:top w:w="0" w:type="dxa"/>
        <w:left w:w="108" w:type="dxa"/>
        <w:bottom w:w="0" w:type="dxa"/>
        <w:right w:w="108" w:type="dxa"/>
      </w:tblCellMar>
    </w:tblPr>
  </w:style>
  <w:style w:type="paragraph" w:customStyle="1" w:styleId="2">
    <w:name w:val="正文样式"/>
    <w:basedOn w:val="1"/>
    <w:qFormat/>
    <w:uiPriority w:val="0"/>
    <w:pPr>
      <w:spacing w:line="360" w:lineRule="auto"/>
      <w:ind w:firstLine="567"/>
    </w:pPr>
    <w:rPr>
      <w:rFonts w:ascii="宋体" w:hAnsi="宋体"/>
      <w:kern w:val="0"/>
      <w:sz w:val="24"/>
    </w:rPr>
  </w:style>
  <w:style w:type="paragraph" w:styleId="3">
    <w:name w:val="Body Text Indent"/>
    <w:basedOn w:val="1"/>
    <w:next w:val="1"/>
    <w:unhideWhenUsed/>
    <w:qFormat/>
    <w:uiPriority w:val="0"/>
    <w:pPr>
      <w:spacing w:after="120"/>
      <w:ind w:left="420" w:leftChars="200"/>
    </w:pPr>
  </w:style>
  <w:style w:type="paragraph" w:styleId="4">
    <w:name w:val="footer"/>
    <w:basedOn w:val="1"/>
    <w:link w:val="12"/>
    <w:qFormat/>
    <w:uiPriority w:val="99"/>
    <w:pPr>
      <w:tabs>
        <w:tab w:val="center" w:pos="4153"/>
        <w:tab w:val="right" w:pos="8306"/>
      </w:tabs>
      <w:snapToGrid w:val="0"/>
    </w:pPr>
    <w:rPr>
      <w:sz w:val="18"/>
      <w:szCs w:val="18"/>
    </w:rPr>
  </w:style>
  <w:style w:type="paragraph" w:styleId="5">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First Indent 2"/>
    <w:basedOn w:val="3"/>
    <w:next w:val="7"/>
    <w:qFormat/>
    <w:uiPriority w:val="0"/>
    <w:pPr>
      <w:ind w:firstLine="420" w:firstLineChars="200"/>
    </w:pPr>
  </w:style>
  <w:style w:type="paragraph" w:customStyle="1" w:styleId="7">
    <w:name w:val="正文内容"/>
    <w:basedOn w:val="1"/>
    <w:qFormat/>
    <w:uiPriority w:val="0"/>
    <w:pPr>
      <w:ind w:firstLine="200" w:firstLineChars="200"/>
      <w:jc w:val="left"/>
    </w:pPr>
    <w:rPr>
      <w:rFonts w:ascii="Times New Roman" w:hAnsi="Times New Roman" w:eastAsia="仿宋_GB2312" w:cs="Times New Roman"/>
      <w:sz w:val="24"/>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99"/>
  </w:style>
  <w:style w:type="character" w:customStyle="1" w:styleId="12">
    <w:name w:val="Footer Char"/>
    <w:basedOn w:val="10"/>
    <w:link w:val="4"/>
    <w:semiHidden/>
    <w:qFormat/>
    <w:uiPriority w:val="99"/>
    <w:rPr>
      <w:kern w:val="0"/>
      <w:sz w:val="18"/>
      <w:szCs w:val="18"/>
    </w:rPr>
  </w:style>
  <w:style w:type="character" w:customStyle="1" w:styleId="13">
    <w:name w:val="Header Char"/>
    <w:basedOn w:val="10"/>
    <w:link w:val="5"/>
    <w:semiHidden/>
    <w:qFormat/>
    <w:uiPriority w:val="99"/>
    <w:rPr>
      <w:kern w:val="0"/>
      <w:sz w:val="18"/>
      <w:szCs w:val="18"/>
    </w:rPr>
  </w:style>
  <w:style w:type="paragraph" w:customStyle="1" w:styleId="14">
    <w:name w:val="列出段落1"/>
    <w:basedOn w:val="1"/>
    <w:qFormat/>
    <w:uiPriority w:val="99"/>
    <w:pPr>
      <w:widowControl w:val="0"/>
      <w:ind w:firstLine="420" w:firstLineChars="200"/>
      <w:jc w:val="both"/>
    </w:pPr>
    <w:rPr>
      <w:kern w:val="2"/>
      <w:sz w:val="21"/>
      <w:szCs w:val="21"/>
    </w:rPr>
  </w:style>
  <w:style w:type="paragraph" w:customStyle="1" w:styleId="15">
    <w:name w:val="_Style 4"/>
    <w:basedOn w:val="1"/>
    <w:qFormat/>
    <w:uiPriority w:val="99"/>
    <w:pPr>
      <w:widowControl w:val="0"/>
      <w:adjustRightInd w:val="0"/>
      <w:snapToGrid w:val="0"/>
      <w:spacing w:line="360" w:lineRule="auto"/>
      <w:ind w:firstLine="420" w:firstLineChars="200"/>
      <w:jc w:val="both"/>
    </w:pPr>
    <w:rPr>
      <w:kern w:val="2"/>
      <w:sz w:val="28"/>
      <w:szCs w:val="28"/>
    </w:rPr>
  </w:style>
  <w:style w:type="paragraph" w:customStyle="1" w:styleId="16">
    <w:name w:val="p15"/>
    <w:basedOn w:val="1"/>
    <w:qFormat/>
    <w:uiPriority w:val="99"/>
    <w:pPr>
      <w:jc w:val="center"/>
    </w:pPr>
    <w:rPr>
      <w:rFonts w:ascii="仿宋_GB2312" w:hAnsi="宋体" w:eastAsia="仿宋_GB2312" w:cs="仿宋_GB2312"/>
      <w:b/>
      <w:bCs/>
      <w:sz w:val="84"/>
      <w:szCs w:val="8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电科院</Company>
  <Pages>1</Pages>
  <Words>318</Words>
  <Characters>1818</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2018-03-01T05:52:00Z</dcterms:created>
  <dc:creator>杨俊坤(兼职)</dc:creator>
  <cp:lastModifiedBy>pyj</cp:lastModifiedBy>
  <cp:lastPrinted>2024-12-23T04:50:00Z</cp:lastPrinted>
  <dcterms:modified xsi:type="dcterms:W3CDTF">2026-01-16T08:26:11Z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0C75AA4C417C4170B8D2ABC86B7A1C9B</vt:lpwstr>
  </property>
</Properties>
</file>