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jc w:val="center"/>
        <w:rPr>
          <w:rFonts w:hint="eastAsia" w:ascii="宋体" w:hAnsi="宋体" w:eastAsia="宋体" w:cs="宋体"/>
          <w:b/>
          <w:color w:val="auto"/>
          <w:spacing w:val="0"/>
          <w:position w:val="0"/>
          <w:sz w:val="28"/>
          <w:szCs w:val="22"/>
          <w:shd w:val="clear" w:fill="auto"/>
          <w:lang w:val="en-US" w:eastAsia="zh-CN"/>
        </w:rPr>
      </w:pPr>
      <w:r>
        <w:rPr>
          <w:rFonts w:hint="eastAsia" w:ascii="宋体" w:hAnsi="宋体" w:eastAsia="宋体" w:cs="宋体"/>
          <w:b/>
          <w:color w:val="auto"/>
          <w:spacing w:val="0"/>
          <w:position w:val="0"/>
          <w:sz w:val="28"/>
          <w:szCs w:val="22"/>
          <w:shd w:val="clear" w:fill="auto"/>
          <w:lang w:val="en-US" w:eastAsia="zh-CN"/>
        </w:rPr>
        <w:t>2026年云南十里阳光发展有限公司餐饮部厨房隔油池、地沟清掏</w:t>
      </w:r>
    </w:p>
    <w:p>
      <w:pPr>
        <w:pStyle w:val="2"/>
        <w:jc w:val="center"/>
        <w:rPr>
          <w:rFonts w:hint="eastAsia" w:ascii="宋体" w:hAnsi="宋体" w:eastAsia="宋体" w:cs="宋体"/>
          <w:b/>
          <w:color w:val="auto"/>
          <w:spacing w:val="0"/>
          <w:position w:val="0"/>
          <w:sz w:val="28"/>
          <w:szCs w:val="22"/>
          <w:shd w:val="clear" w:fill="auto"/>
          <w:lang w:val="en-US" w:eastAsia="zh-CN"/>
        </w:rPr>
      </w:pPr>
      <w:r>
        <w:rPr>
          <w:rFonts w:hint="eastAsia" w:ascii="宋体" w:hAnsi="宋体" w:eastAsia="宋体" w:cs="宋体"/>
          <w:b/>
          <w:color w:val="auto"/>
          <w:spacing w:val="0"/>
          <w:position w:val="0"/>
          <w:sz w:val="28"/>
          <w:szCs w:val="22"/>
          <w:shd w:val="clear" w:fill="auto"/>
          <w:lang w:val="en-US" w:eastAsia="zh-CN"/>
        </w:rPr>
        <w:t>采购服务（零星采购）项目技术规范书</w:t>
      </w:r>
    </w:p>
    <w:p>
      <w:pPr>
        <w:pStyle w:val="2"/>
        <w:jc w:val="center"/>
        <w:rPr>
          <w:rFonts w:hint="eastAsia" w:ascii="宋体" w:hAnsi="宋体" w:eastAsia="宋体" w:cs="宋体"/>
          <w:b/>
          <w:color w:val="auto"/>
          <w:spacing w:val="0"/>
          <w:position w:val="0"/>
          <w:sz w:val="28"/>
          <w:szCs w:val="22"/>
          <w:shd w:val="clear" w:fill="auto"/>
          <w:lang w:val="en-US" w:eastAsia="zh-CN"/>
        </w:rPr>
      </w:pPr>
    </w:p>
    <w:p>
      <w:pPr>
        <w:spacing w:before="0" w:after="0" w:line="360" w:lineRule="auto"/>
        <w:ind w:left="0" w:right="0" w:firstLine="0"/>
        <w:jc w:val="left"/>
        <w:rPr>
          <w:rFonts w:hint="eastAsia" w:ascii="仿宋" w:hAnsi="仿宋" w:eastAsia="仿宋" w:cs="仿宋"/>
          <w:b/>
          <w:color w:val="auto"/>
          <w:spacing w:val="0"/>
          <w:position w:val="0"/>
          <w:sz w:val="21"/>
          <w:shd w:val="clear" w:fill="auto"/>
          <w:lang w:val="en-US" w:eastAsia="zh-CN"/>
        </w:rPr>
      </w:pPr>
      <w:r>
        <w:rPr>
          <w:rFonts w:hint="eastAsia" w:ascii="仿宋" w:hAnsi="仿宋" w:eastAsia="仿宋" w:cs="仿宋"/>
          <w:b/>
          <w:color w:val="auto"/>
          <w:spacing w:val="0"/>
          <w:position w:val="0"/>
          <w:sz w:val="21"/>
          <w:shd w:val="clear" w:fill="auto"/>
          <w:lang w:val="en-US" w:eastAsia="zh-CN"/>
        </w:rPr>
        <w:t>一、项目概要</w:t>
      </w:r>
    </w:p>
    <w:p>
      <w:pPr>
        <w:spacing w:before="0" w:after="0" w:line="360" w:lineRule="auto"/>
        <w:ind w:left="0" w:right="0" w:firstLine="420" w:firstLineChars="200"/>
        <w:jc w:val="left"/>
        <w:rPr>
          <w:rFonts w:hint="eastAsia" w:ascii="仿宋" w:hAnsi="仿宋" w:eastAsia="仿宋" w:cs="仿宋"/>
          <w:color w:val="auto"/>
          <w:spacing w:val="0"/>
          <w:position w:val="0"/>
          <w:sz w:val="21"/>
          <w:shd w:val="clear" w:fill="auto"/>
          <w:lang w:val="en-US" w:eastAsia="zh-CN"/>
        </w:rPr>
      </w:pPr>
      <w:r>
        <w:rPr>
          <w:rFonts w:hint="eastAsia" w:ascii="仿宋" w:hAnsi="仿宋" w:eastAsia="仿宋" w:cs="仿宋"/>
          <w:color w:val="auto"/>
          <w:spacing w:val="0"/>
          <w:position w:val="0"/>
          <w:sz w:val="21"/>
          <w:shd w:val="clear" w:fill="auto"/>
          <w:lang w:val="en-US" w:eastAsia="zh-CN"/>
        </w:rPr>
        <w:t>云南十里阳光发展有限公司（以下简称：“公司”）位于昆明市盘龙区昆曲高速公路6公里处，因业务需要，现对外采购公司范围内厨房地沟、隔油池清掏清理服务业务（会所厨房外及评标基地厨房外隔油池共两个）。</w:t>
      </w:r>
    </w:p>
    <w:p>
      <w:pPr>
        <w:spacing w:before="0" w:after="0" w:line="360" w:lineRule="auto"/>
        <w:ind w:left="0" w:right="0" w:firstLine="0"/>
        <w:jc w:val="left"/>
        <w:rPr>
          <w:rFonts w:hint="default" w:ascii="仿宋" w:hAnsi="仿宋" w:eastAsia="仿宋" w:cs="仿宋"/>
          <w:b/>
          <w:color w:val="auto"/>
          <w:spacing w:val="0"/>
          <w:position w:val="0"/>
          <w:sz w:val="21"/>
          <w:shd w:val="clear" w:fill="auto"/>
          <w:lang w:val="en-US" w:eastAsia="zh-CN"/>
        </w:rPr>
      </w:pPr>
      <w:r>
        <w:rPr>
          <w:rFonts w:hint="eastAsia" w:ascii="仿宋" w:hAnsi="仿宋" w:eastAsia="仿宋" w:cs="仿宋"/>
          <w:b/>
          <w:color w:val="auto"/>
          <w:spacing w:val="0"/>
          <w:position w:val="0"/>
          <w:sz w:val="21"/>
          <w:shd w:val="clear" w:fill="auto"/>
          <w:lang w:val="en-US" w:eastAsia="zh-CN"/>
        </w:rPr>
        <w:t>二、服务范围</w:t>
      </w:r>
    </w:p>
    <w:p>
      <w:pPr>
        <w:spacing w:before="0" w:after="0" w:line="360" w:lineRule="auto"/>
        <w:ind w:left="0" w:right="0" w:firstLine="420" w:firstLineChars="200"/>
        <w:jc w:val="left"/>
        <w:rPr>
          <w:rFonts w:hint="eastAsia" w:ascii="仿宋" w:hAnsi="仿宋" w:eastAsia="仿宋" w:cs="仿宋"/>
          <w:color w:val="auto"/>
          <w:spacing w:val="0"/>
          <w:position w:val="0"/>
          <w:sz w:val="21"/>
          <w:shd w:val="clear" w:fill="auto"/>
          <w:lang w:val="en-US" w:eastAsia="zh-CN"/>
        </w:rPr>
      </w:pPr>
      <w:r>
        <w:rPr>
          <w:rFonts w:hint="eastAsia" w:ascii="仿宋" w:hAnsi="仿宋" w:eastAsia="仿宋" w:cs="仿宋"/>
          <w:color w:val="auto"/>
          <w:spacing w:val="0"/>
          <w:position w:val="0"/>
          <w:sz w:val="21"/>
          <w:shd w:val="clear" w:fill="auto"/>
          <w:lang w:val="en-US" w:eastAsia="zh-CN"/>
        </w:rPr>
        <w:t>公司会所及基地厨房外隔油池、厨房地沟清掏，数量预计4次（车载容量需为10方/车以上，暂预估看营业状况需要，于2026年每季度末进行肆次，按需要来清掏以后每次进行结算。）</w:t>
      </w:r>
    </w:p>
    <w:p>
      <w:pPr>
        <w:spacing w:before="0" w:after="0" w:line="360" w:lineRule="auto"/>
        <w:ind w:left="0" w:right="0" w:firstLine="0"/>
        <w:jc w:val="left"/>
        <w:rPr>
          <w:rFonts w:hint="default" w:ascii="仿宋" w:hAnsi="仿宋" w:eastAsia="仿宋" w:cs="仿宋"/>
          <w:b/>
          <w:color w:val="auto"/>
          <w:spacing w:val="0"/>
          <w:position w:val="0"/>
          <w:sz w:val="21"/>
          <w:shd w:val="clear" w:fill="auto"/>
          <w:lang w:val="en-US" w:eastAsia="zh-CN"/>
        </w:rPr>
      </w:pPr>
      <w:r>
        <w:rPr>
          <w:rFonts w:hint="eastAsia" w:ascii="仿宋" w:hAnsi="仿宋" w:eastAsia="仿宋" w:cs="仿宋"/>
          <w:b/>
          <w:color w:val="auto"/>
          <w:spacing w:val="0"/>
          <w:position w:val="0"/>
          <w:sz w:val="21"/>
          <w:shd w:val="clear" w:fill="auto"/>
          <w:lang w:val="en-US" w:eastAsia="zh-CN"/>
        </w:rPr>
        <w:t>三、基本要求</w:t>
      </w:r>
    </w:p>
    <w:p>
      <w:pPr>
        <w:spacing w:before="0" w:after="0" w:line="360" w:lineRule="auto"/>
        <w:ind w:left="0" w:right="0" w:firstLine="420" w:firstLineChars="200"/>
        <w:jc w:val="left"/>
        <w:rPr>
          <w:rFonts w:hint="default" w:ascii="仿宋" w:hAnsi="仿宋" w:eastAsia="仿宋" w:cs="仿宋"/>
          <w:color w:val="auto"/>
          <w:spacing w:val="0"/>
          <w:position w:val="0"/>
          <w:sz w:val="21"/>
          <w:shd w:val="clear" w:fill="auto"/>
          <w:lang w:val="en-US" w:eastAsia="zh-CN"/>
        </w:rPr>
      </w:pPr>
      <w:r>
        <w:rPr>
          <w:rFonts w:hint="eastAsia" w:ascii="仿宋" w:hAnsi="仿宋" w:eastAsia="仿宋" w:cs="仿宋"/>
          <w:color w:val="auto"/>
          <w:spacing w:val="0"/>
          <w:position w:val="0"/>
          <w:sz w:val="21"/>
          <w:shd w:val="clear" w:fill="auto"/>
          <w:lang w:val="en-US" w:eastAsia="zh-CN"/>
        </w:rPr>
        <w:t>1.为确保项目公平有效推进，报价方在报价前需到达我公司对所采购项目进行踏勘，否则报价无效，项目联系人：云南十里阳光发展有限公司餐饮部，联系电话：13888940409，工作时间：9点至17点（节假日除外）。</w:t>
      </w:r>
    </w:p>
    <w:p>
      <w:pPr>
        <w:spacing w:before="0" w:after="0" w:line="360" w:lineRule="auto"/>
        <w:ind w:left="0" w:right="0" w:firstLine="420" w:firstLineChars="200"/>
        <w:jc w:val="left"/>
        <w:rPr>
          <w:rFonts w:hint="default" w:ascii="仿宋" w:hAnsi="仿宋" w:eastAsia="仿宋" w:cs="仿宋"/>
          <w:color w:val="auto"/>
          <w:spacing w:val="0"/>
          <w:position w:val="0"/>
          <w:sz w:val="21"/>
          <w:shd w:val="clear" w:fill="auto"/>
          <w:lang w:val="en-US" w:eastAsia="zh-CN"/>
        </w:rPr>
      </w:pPr>
      <w:r>
        <w:rPr>
          <w:rFonts w:hint="eastAsia" w:ascii="仿宋" w:hAnsi="仿宋" w:eastAsia="仿宋" w:cs="仿宋"/>
          <w:color w:val="auto"/>
          <w:spacing w:val="0"/>
          <w:position w:val="0"/>
          <w:sz w:val="21"/>
          <w:shd w:val="clear" w:fill="auto"/>
          <w:lang w:val="en-US" w:eastAsia="zh-CN"/>
        </w:rPr>
        <w:t>2.</w:t>
      </w:r>
      <w:bookmarkStart w:id="0" w:name="_GoBack"/>
      <w:r>
        <w:rPr>
          <w:rFonts w:hint="eastAsia" w:ascii="仿宋" w:hAnsi="仿宋" w:eastAsia="仿宋" w:cs="仿宋"/>
          <w:color w:val="auto"/>
          <w:spacing w:val="0"/>
          <w:position w:val="0"/>
          <w:sz w:val="21"/>
          <w:shd w:val="clear" w:fill="auto"/>
          <w:lang w:val="en-US" w:eastAsia="zh-CN"/>
        </w:rPr>
        <w:t>报价方在报价前，可先实地进行堪查并充分了解我公司此次采购服务项目的所有（基本、技术、安全）要求、数量及需求等，参与报价即默认为完全响应相关要求。</w:t>
      </w:r>
    </w:p>
    <w:bookmarkEnd w:id="0"/>
    <w:p>
      <w:pPr>
        <w:spacing w:before="0" w:after="0" w:line="360" w:lineRule="auto"/>
        <w:ind w:left="0" w:right="0" w:firstLine="420" w:firstLineChars="200"/>
        <w:jc w:val="left"/>
        <w:rPr>
          <w:rFonts w:hint="eastAsia" w:ascii="仿宋" w:hAnsi="仿宋" w:eastAsia="仿宋" w:cs="仿宋"/>
          <w:color w:val="auto"/>
          <w:spacing w:val="0"/>
          <w:position w:val="0"/>
          <w:sz w:val="21"/>
          <w:shd w:val="clear" w:fill="auto"/>
          <w:lang w:val="en-US" w:eastAsia="zh-CN"/>
        </w:rPr>
      </w:pPr>
      <w:r>
        <w:rPr>
          <w:rFonts w:hint="eastAsia" w:ascii="仿宋" w:hAnsi="仿宋" w:eastAsia="仿宋" w:cs="仿宋"/>
          <w:color w:val="auto"/>
          <w:spacing w:val="0"/>
          <w:position w:val="0"/>
          <w:sz w:val="21"/>
          <w:shd w:val="clear" w:fill="auto"/>
          <w:lang w:val="en-US" w:eastAsia="zh-CN"/>
        </w:rPr>
        <w:t>3.报价方需具备隔油池、地沟残渣清运或处理相关资质，能按政府行业规定自行处置外运油污及沉积废物，确保所派人员具备相关的专业知识和技能，熟悉隔油池、地沟清掏操作流程以及相应的安全操作规范。</w:t>
      </w:r>
    </w:p>
    <w:p>
      <w:pPr>
        <w:spacing w:before="0" w:after="0" w:line="360" w:lineRule="auto"/>
        <w:ind w:left="0" w:right="0" w:firstLine="420" w:firstLineChars="200"/>
        <w:jc w:val="left"/>
        <w:rPr>
          <w:rFonts w:hint="eastAsia" w:ascii="仿宋" w:hAnsi="仿宋" w:eastAsia="仿宋" w:cs="仿宋"/>
          <w:color w:val="auto"/>
          <w:spacing w:val="0"/>
          <w:position w:val="0"/>
          <w:sz w:val="21"/>
          <w:shd w:val="clear" w:fill="auto"/>
          <w:lang w:val="en-US" w:eastAsia="zh-CN"/>
        </w:rPr>
      </w:pPr>
      <w:r>
        <w:rPr>
          <w:rFonts w:hint="eastAsia" w:ascii="仿宋" w:hAnsi="仿宋" w:eastAsia="仿宋" w:cs="仿宋"/>
          <w:color w:val="auto"/>
          <w:spacing w:val="0"/>
          <w:position w:val="0"/>
          <w:sz w:val="21"/>
          <w:shd w:val="clear" w:fill="auto"/>
          <w:lang w:val="en-US" w:eastAsia="zh-CN"/>
        </w:rPr>
        <w:t>4.报价方在报价时应提供营业执照、报价联系人及联系电话、增值税专用发票税率证明。</w:t>
      </w:r>
    </w:p>
    <w:p>
      <w:pPr>
        <w:spacing w:before="0" w:after="0" w:line="360" w:lineRule="auto"/>
        <w:ind w:left="0" w:right="0" w:firstLine="0"/>
        <w:jc w:val="left"/>
        <w:rPr>
          <w:rFonts w:hint="default" w:ascii="仿宋" w:hAnsi="仿宋" w:eastAsia="仿宋" w:cs="仿宋"/>
          <w:b/>
          <w:color w:val="auto"/>
          <w:spacing w:val="0"/>
          <w:position w:val="0"/>
          <w:sz w:val="21"/>
          <w:shd w:val="clear" w:fill="auto"/>
          <w:lang w:val="en-US" w:eastAsia="zh-CN"/>
        </w:rPr>
      </w:pPr>
      <w:r>
        <w:rPr>
          <w:rFonts w:hint="eastAsia" w:ascii="仿宋" w:hAnsi="仿宋" w:eastAsia="仿宋" w:cs="仿宋"/>
          <w:b/>
          <w:color w:val="auto"/>
          <w:spacing w:val="0"/>
          <w:position w:val="0"/>
          <w:sz w:val="21"/>
          <w:shd w:val="clear" w:fill="auto"/>
          <w:lang w:val="en-US" w:eastAsia="zh-CN"/>
        </w:rPr>
        <w:t>四、技术要求</w:t>
      </w:r>
    </w:p>
    <w:p>
      <w:pPr>
        <w:spacing w:before="0" w:after="0" w:line="360" w:lineRule="auto"/>
        <w:ind w:left="0" w:right="0" w:firstLine="420" w:firstLineChars="200"/>
        <w:jc w:val="left"/>
        <w:rPr>
          <w:rFonts w:hint="eastAsia" w:ascii="仿宋" w:hAnsi="仿宋" w:eastAsia="仿宋" w:cs="仿宋"/>
          <w:color w:val="auto"/>
          <w:spacing w:val="0"/>
          <w:position w:val="0"/>
          <w:sz w:val="21"/>
          <w:shd w:val="clear" w:fill="auto"/>
          <w:lang w:val="en-US" w:eastAsia="zh-CN"/>
        </w:rPr>
      </w:pPr>
      <w:r>
        <w:rPr>
          <w:rFonts w:hint="eastAsia" w:ascii="仿宋" w:hAnsi="仿宋" w:eastAsia="仿宋" w:cs="仿宋"/>
          <w:color w:val="auto"/>
          <w:spacing w:val="0"/>
          <w:position w:val="0"/>
          <w:sz w:val="21"/>
          <w:shd w:val="clear" w:fill="auto"/>
          <w:lang w:val="en-US" w:eastAsia="zh-CN"/>
        </w:rPr>
        <w:t>1.此服务项目采购成交后，清运方需在我公司人员带领下完成隔油池、地沟自行清掏及外运工作。</w:t>
      </w:r>
    </w:p>
    <w:p>
      <w:pPr>
        <w:spacing w:before="0" w:after="0" w:line="360" w:lineRule="auto"/>
        <w:ind w:left="0" w:right="0" w:firstLine="420" w:firstLineChars="200"/>
        <w:jc w:val="left"/>
        <w:rPr>
          <w:rFonts w:hint="eastAsia" w:ascii="仿宋" w:hAnsi="仿宋" w:eastAsia="仿宋" w:cs="仿宋"/>
          <w:color w:val="auto"/>
          <w:spacing w:val="0"/>
          <w:position w:val="0"/>
          <w:sz w:val="21"/>
          <w:shd w:val="clear" w:fill="auto"/>
          <w:lang w:val="en-US" w:eastAsia="zh-CN"/>
        </w:rPr>
      </w:pPr>
      <w:r>
        <w:rPr>
          <w:rFonts w:hint="eastAsia" w:ascii="仿宋" w:hAnsi="仿宋" w:eastAsia="仿宋" w:cs="仿宋"/>
          <w:color w:val="auto"/>
          <w:spacing w:val="0"/>
          <w:position w:val="0"/>
          <w:sz w:val="21"/>
          <w:shd w:val="clear" w:fill="auto"/>
          <w:lang w:val="en-US" w:eastAsia="zh-CN"/>
        </w:rPr>
        <w:t>2.本次清掏费用按单价/次数计算，包含清掏及外运服务，载运使用车辆容量需为10方以上，且每车吸收量应装至车辆最大容量。</w:t>
      </w:r>
    </w:p>
    <w:p>
      <w:pPr>
        <w:spacing w:before="0" w:after="0" w:line="360" w:lineRule="auto"/>
        <w:ind w:left="0" w:right="0" w:firstLine="420" w:firstLineChars="200"/>
        <w:jc w:val="left"/>
        <w:rPr>
          <w:rFonts w:hint="eastAsia" w:ascii="仿宋" w:hAnsi="仿宋" w:eastAsia="仿宋" w:cs="仿宋"/>
          <w:color w:val="auto"/>
          <w:spacing w:val="0"/>
          <w:position w:val="0"/>
          <w:sz w:val="21"/>
          <w:shd w:val="clear" w:fill="auto"/>
          <w:lang w:val="en-US" w:eastAsia="zh-CN"/>
        </w:rPr>
      </w:pPr>
      <w:r>
        <w:rPr>
          <w:rFonts w:hint="eastAsia" w:ascii="仿宋" w:hAnsi="仿宋" w:eastAsia="仿宋" w:cs="仿宋"/>
          <w:color w:val="auto"/>
          <w:spacing w:val="0"/>
          <w:position w:val="0"/>
          <w:sz w:val="21"/>
          <w:shd w:val="clear" w:fill="auto"/>
          <w:lang w:val="en-US" w:eastAsia="zh-CN"/>
        </w:rPr>
        <w:t>3.清运方应确保清运过程中不得造成环境污染，所清掏的油污及沉积废物应运走妥善处置，不得随意排放。</w:t>
      </w:r>
    </w:p>
    <w:p>
      <w:pPr>
        <w:spacing w:before="0" w:after="0" w:line="360" w:lineRule="auto"/>
        <w:ind w:left="0" w:right="0" w:firstLine="0"/>
        <w:jc w:val="left"/>
        <w:rPr>
          <w:rFonts w:hint="default" w:ascii="仿宋" w:hAnsi="仿宋" w:eastAsia="仿宋" w:cs="仿宋"/>
          <w:b/>
          <w:color w:val="auto"/>
          <w:spacing w:val="0"/>
          <w:position w:val="0"/>
          <w:sz w:val="21"/>
          <w:shd w:val="clear" w:fill="auto"/>
          <w:lang w:val="en-US" w:eastAsia="zh-CN"/>
        </w:rPr>
      </w:pPr>
      <w:r>
        <w:rPr>
          <w:rFonts w:hint="eastAsia" w:ascii="仿宋" w:hAnsi="仿宋" w:eastAsia="仿宋" w:cs="仿宋"/>
          <w:b/>
          <w:color w:val="auto"/>
          <w:spacing w:val="0"/>
          <w:position w:val="0"/>
          <w:sz w:val="21"/>
          <w:shd w:val="clear" w:fill="auto"/>
          <w:lang w:val="en-US" w:eastAsia="zh-CN"/>
        </w:rPr>
        <w:t>五、安全要求</w:t>
      </w:r>
    </w:p>
    <w:p>
      <w:pPr>
        <w:spacing w:before="0" w:after="0" w:line="360" w:lineRule="auto"/>
        <w:ind w:left="0" w:right="0" w:firstLine="420" w:firstLineChars="200"/>
        <w:jc w:val="left"/>
        <w:rPr>
          <w:rFonts w:hint="eastAsia" w:ascii="仿宋" w:hAnsi="仿宋" w:eastAsia="仿宋" w:cs="仿宋"/>
          <w:color w:val="auto"/>
          <w:spacing w:val="0"/>
          <w:position w:val="0"/>
          <w:sz w:val="21"/>
          <w:shd w:val="clear" w:fill="auto"/>
          <w:lang w:val="en-US" w:eastAsia="zh-CN"/>
        </w:rPr>
      </w:pPr>
      <w:r>
        <w:rPr>
          <w:rFonts w:hint="eastAsia" w:ascii="仿宋" w:hAnsi="仿宋" w:eastAsia="仿宋" w:cs="仿宋"/>
          <w:color w:val="auto"/>
          <w:spacing w:val="0"/>
          <w:position w:val="0"/>
          <w:sz w:val="21"/>
          <w:shd w:val="clear" w:fill="auto"/>
          <w:lang w:val="en-US" w:eastAsia="zh-CN"/>
        </w:rPr>
        <w:t>1.清运方应制定严格的隔油池清、地沟运作业许可程序、作业安全规程和安全措施，明确作业负责人、操作人员和监护人员。</w:t>
      </w:r>
    </w:p>
    <w:p>
      <w:pPr>
        <w:spacing w:before="0" w:after="0" w:line="360" w:lineRule="auto"/>
        <w:ind w:left="0" w:right="0" w:firstLine="420" w:firstLineChars="200"/>
        <w:jc w:val="left"/>
        <w:rPr>
          <w:rFonts w:hint="eastAsia" w:ascii="仿宋" w:hAnsi="仿宋" w:eastAsia="仿宋" w:cs="仿宋"/>
          <w:color w:val="auto"/>
          <w:spacing w:val="0"/>
          <w:position w:val="0"/>
          <w:sz w:val="21"/>
          <w:shd w:val="clear" w:fill="auto"/>
          <w:lang w:val="en-US" w:eastAsia="zh-CN"/>
        </w:rPr>
      </w:pPr>
      <w:r>
        <w:rPr>
          <w:rFonts w:hint="eastAsia" w:ascii="仿宋" w:hAnsi="仿宋" w:eastAsia="仿宋" w:cs="仿宋"/>
          <w:color w:val="auto"/>
          <w:spacing w:val="0"/>
          <w:position w:val="0"/>
          <w:sz w:val="21"/>
          <w:shd w:val="clear" w:fill="auto"/>
          <w:lang w:val="en-US" w:eastAsia="zh-CN"/>
        </w:rPr>
        <w:t>2.清运方应对作业场所进行全面排查，对可能产生二氧化碳、硫化氢等有毒有害气体的场所必须悬挂防中毒警示标志，并配备便携式报警装置、氧气呼吸器或长管呼吸器等防护设施。</w:t>
      </w:r>
    </w:p>
    <w:p>
      <w:pPr>
        <w:spacing w:before="0" w:after="0" w:line="360" w:lineRule="auto"/>
        <w:ind w:left="0" w:right="0" w:firstLine="420" w:firstLineChars="200"/>
        <w:jc w:val="left"/>
        <w:rPr>
          <w:rFonts w:hint="eastAsia" w:ascii="仿宋" w:hAnsi="仿宋" w:eastAsia="仿宋" w:cs="仿宋"/>
          <w:color w:val="auto"/>
          <w:spacing w:val="0"/>
          <w:position w:val="0"/>
          <w:sz w:val="21"/>
          <w:shd w:val="clear" w:fill="auto"/>
          <w:lang w:val="en-US" w:eastAsia="zh-CN"/>
        </w:rPr>
      </w:pPr>
      <w:r>
        <w:rPr>
          <w:rFonts w:hint="eastAsia" w:ascii="仿宋" w:hAnsi="仿宋" w:eastAsia="仿宋" w:cs="仿宋"/>
          <w:color w:val="auto"/>
          <w:spacing w:val="0"/>
          <w:position w:val="0"/>
          <w:sz w:val="21"/>
          <w:shd w:val="clear" w:fill="auto"/>
          <w:lang w:val="en-US" w:eastAsia="zh-CN"/>
        </w:rPr>
        <w:t>3.清运方作业人员施工前应穿戴好安全防护用品，包括防护口罩、安全绳、安全照明工具等，并确保正确使用。</w:t>
      </w:r>
    </w:p>
    <w:p>
      <w:pPr>
        <w:spacing w:before="0" w:after="0" w:line="360" w:lineRule="auto"/>
        <w:ind w:left="0" w:right="0" w:firstLine="420" w:firstLineChars="200"/>
        <w:jc w:val="left"/>
        <w:rPr>
          <w:rFonts w:hint="eastAsia" w:ascii="仿宋" w:hAnsi="仿宋" w:eastAsia="仿宋" w:cs="仿宋"/>
          <w:color w:val="auto"/>
          <w:spacing w:val="0"/>
          <w:position w:val="0"/>
          <w:sz w:val="21"/>
          <w:shd w:val="clear" w:fill="auto"/>
          <w:lang w:val="en-US" w:eastAsia="zh-CN"/>
        </w:rPr>
      </w:pPr>
      <w:r>
        <w:rPr>
          <w:rFonts w:hint="eastAsia" w:ascii="仿宋" w:hAnsi="仿宋" w:eastAsia="仿宋" w:cs="仿宋"/>
          <w:color w:val="auto"/>
          <w:spacing w:val="0"/>
          <w:position w:val="0"/>
          <w:sz w:val="21"/>
          <w:shd w:val="clear" w:fill="auto"/>
          <w:lang w:val="en-US" w:eastAsia="zh-CN"/>
        </w:rPr>
        <w:t>4.清运方应遵守施工现场的安全管理规定，不得在施工现场随意吸烟、点火或打电话。</w:t>
      </w:r>
    </w:p>
    <w:p>
      <w:pPr>
        <w:spacing w:before="0" w:after="0" w:line="360" w:lineRule="auto"/>
        <w:ind w:left="0" w:right="0" w:firstLine="420" w:firstLineChars="200"/>
        <w:jc w:val="left"/>
        <w:rPr>
          <w:rFonts w:hint="eastAsia" w:ascii="仿宋" w:hAnsi="仿宋" w:eastAsia="仿宋" w:cs="仿宋"/>
          <w:color w:val="auto"/>
          <w:spacing w:val="0"/>
          <w:position w:val="0"/>
          <w:sz w:val="21"/>
          <w:shd w:val="clear" w:fill="auto"/>
          <w:lang w:val="en-US" w:eastAsia="zh-CN"/>
        </w:rPr>
      </w:pPr>
      <w:r>
        <w:rPr>
          <w:rFonts w:hint="eastAsia" w:ascii="仿宋" w:hAnsi="仿宋" w:eastAsia="仿宋" w:cs="仿宋"/>
          <w:color w:val="auto"/>
          <w:spacing w:val="0"/>
          <w:position w:val="0"/>
          <w:sz w:val="21"/>
          <w:shd w:val="clear" w:fill="auto"/>
          <w:lang w:val="en-US" w:eastAsia="zh-CN"/>
        </w:rPr>
        <w:t>5.如遇突发情况，清运方作业人员应立即上报并采取应急措施，不得盲目施救，应立即拨打报警电话求救。</w:t>
      </w:r>
    </w:p>
    <w:p>
      <w:pPr>
        <w:spacing w:before="0" w:after="0" w:line="360" w:lineRule="auto"/>
        <w:ind w:left="0" w:right="0" w:firstLine="420" w:firstLineChars="200"/>
        <w:jc w:val="left"/>
        <w:rPr>
          <w:rFonts w:hint="eastAsia" w:ascii="仿宋" w:hAnsi="仿宋" w:eastAsia="仿宋" w:cs="仿宋"/>
          <w:color w:val="auto"/>
          <w:spacing w:val="0"/>
          <w:position w:val="0"/>
          <w:sz w:val="21"/>
          <w:shd w:val="clear" w:fill="auto"/>
          <w:lang w:val="en-US" w:eastAsia="zh-CN"/>
        </w:rPr>
      </w:pPr>
      <w:r>
        <w:rPr>
          <w:rFonts w:hint="eastAsia" w:ascii="仿宋" w:hAnsi="仿宋" w:eastAsia="仿宋" w:cs="仿宋"/>
          <w:color w:val="auto"/>
          <w:spacing w:val="0"/>
          <w:position w:val="0"/>
          <w:sz w:val="21"/>
          <w:shd w:val="clear" w:fill="auto"/>
          <w:lang w:val="en-US" w:eastAsia="zh-CN"/>
        </w:rPr>
        <w:t>6.清运方应确保隔油池、地沟清掏过程中的环境卫生，施工结束后，应盖好隔油池井盖和沟盖板，用清水冲洗作业现场和所有工具，并在现场喷洒消毒剂去除异味。</w:t>
      </w:r>
    </w:p>
    <w:p>
      <w:pPr>
        <w:spacing w:before="0" w:after="0" w:line="360" w:lineRule="auto"/>
        <w:ind w:left="0" w:right="0" w:firstLine="420" w:firstLineChars="200"/>
        <w:jc w:val="left"/>
        <w:rPr>
          <w:rFonts w:hint="eastAsia" w:ascii="仿宋" w:hAnsi="仿宋" w:eastAsia="仿宋" w:cs="仿宋"/>
          <w:color w:val="auto"/>
          <w:spacing w:val="0"/>
          <w:position w:val="0"/>
          <w:sz w:val="21"/>
          <w:shd w:val="clear" w:fill="auto"/>
          <w:lang w:val="en-US" w:eastAsia="zh-CN"/>
        </w:rPr>
      </w:pPr>
      <w:r>
        <w:rPr>
          <w:rFonts w:hint="eastAsia" w:ascii="仿宋" w:hAnsi="仿宋" w:eastAsia="仿宋" w:cs="仿宋"/>
          <w:color w:val="auto"/>
          <w:spacing w:val="0"/>
          <w:position w:val="0"/>
          <w:sz w:val="21"/>
          <w:shd w:val="clear" w:fill="auto"/>
          <w:lang w:val="en-US" w:eastAsia="zh-CN"/>
        </w:rPr>
        <w:t>7.如清运方违反上述要求，我公司有权要求清运方立即整改，并有权根据损失情况要求清运方承担由此产生的相应的赔偿费用及责任。</w:t>
      </w:r>
    </w:p>
    <w:p>
      <w:pPr>
        <w:spacing w:before="0" w:after="0" w:line="360" w:lineRule="auto"/>
        <w:ind w:left="0" w:right="0" w:firstLine="420" w:firstLineChars="200"/>
        <w:jc w:val="left"/>
        <w:rPr>
          <w:rFonts w:hint="eastAsia" w:ascii="仿宋" w:hAnsi="仿宋" w:eastAsia="仿宋" w:cs="仿宋"/>
          <w:color w:val="auto"/>
          <w:spacing w:val="0"/>
          <w:position w:val="0"/>
          <w:sz w:val="21"/>
          <w:shd w:val="clear" w:fill="auto"/>
          <w:lang w:val="en-US" w:eastAsia="zh-CN"/>
        </w:rPr>
      </w:pPr>
      <w:r>
        <w:rPr>
          <w:rFonts w:hint="eastAsia" w:ascii="仿宋" w:hAnsi="仿宋" w:eastAsia="仿宋" w:cs="仿宋"/>
          <w:color w:val="auto"/>
          <w:spacing w:val="0"/>
          <w:position w:val="0"/>
          <w:sz w:val="21"/>
          <w:shd w:val="clear" w:fill="auto"/>
          <w:lang w:val="en-US" w:eastAsia="zh-CN"/>
        </w:rPr>
        <w:t>8.如清运方因违反安全要求导致作业人员伤亡或财产损失，清运方应承担全部法律责任和赔偿责任。</w:t>
      </w:r>
    </w:p>
    <w:p>
      <w:pPr>
        <w:spacing w:before="0" w:after="0" w:line="360" w:lineRule="auto"/>
        <w:ind w:left="0" w:right="0" w:firstLine="0"/>
        <w:jc w:val="left"/>
        <w:rPr>
          <w:rFonts w:hint="eastAsia" w:ascii="仿宋" w:hAnsi="仿宋" w:eastAsia="仿宋" w:cs="仿宋"/>
          <w:b/>
          <w:color w:val="auto"/>
          <w:spacing w:val="0"/>
          <w:position w:val="0"/>
          <w:sz w:val="21"/>
          <w:shd w:val="clear" w:fill="auto"/>
          <w:lang w:val="en-US" w:eastAsia="zh-CN"/>
        </w:rPr>
      </w:pPr>
      <w:r>
        <w:rPr>
          <w:rFonts w:hint="eastAsia" w:ascii="仿宋" w:hAnsi="仿宋" w:eastAsia="仿宋" w:cs="仿宋"/>
          <w:b/>
          <w:color w:val="auto"/>
          <w:spacing w:val="0"/>
          <w:position w:val="0"/>
          <w:sz w:val="21"/>
          <w:shd w:val="clear" w:fill="auto"/>
          <w:lang w:val="en-US" w:eastAsia="zh-CN"/>
        </w:rPr>
        <w:t>六、报价方面</w:t>
      </w:r>
    </w:p>
    <w:p>
      <w:pPr>
        <w:pStyle w:val="2"/>
        <w:keepNext w:val="0"/>
        <w:keepLines w:val="0"/>
        <w:pageBreakBefore w:val="0"/>
        <w:widowControl w:val="0"/>
        <w:kinsoku/>
        <w:wordWrap/>
        <w:overflowPunct/>
        <w:topLinePunct w:val="0"/>
        <w:autoSpaceDE/>
        <w:autoSpaceDN/>
        <w:bidi w:val="0"/>
        <w:adjustRightInd/>
        <w:snapToGrid/>
        <w:spacing w:line="578" w:lineRule="exact"/>
        <w:ind w:firstLine="420" w:firstLineChars="200"/>
        <w:textAlignment w:val="auto"/>
        <w:rPr>
          <w:rFonts w:hint="eastAsia" w:ascii="仿宋" w:hAnsi="仿宋" w:eastAsia="仿宋" w:cs="仿宋"/>
          <w:color w:val="auto"/>
          <w:spacing w:val="0"/>
          <w:position w:val="0"/>
          <w:sz w:val="21"/>
          <w:szCs w:val="22"/>
          <w:shd w:val="clear" w:fill="auto"/>
          <w:lang w:val="en-US" w:eastAsia="zh-CN"/>
        </w:rPr>
      </w:pPr>
      <w:r>
        <w:rPr>
          <w:rFonts w:hint="eastAsia" w:ascii="仿宋" w:hAnsi="仿宋" w:eastAsia="仿宋" w:cs="仿宋"/>
          <w:color w:val="auto"/>
          <w:spacing w:val="0"/>
          <w:position w:val="0"/>
          <w:sz w:val="21"/>
          <w:szCs w:val="22"/>
          <w:shd w:val="clear" w:fill="auto"/>
          <w:lang w:val="en-US" w:eastAsia="zh-CN"/>
        </w:rPr>
        <w:t>1.报价方式：单价报价（含税）。</w:t>
      </w:r>
    </w:p>
    <w:tbl>
      <w:tblPr>
        <w:tblStyle w:val="3"/>
        <w:tblW w:w="8165" w:type="dxa"/>
        <w:jc w:val="center"/>
        <w:tblLayout w:type="autofit"/>
        <w:tblCellMar>
          <w:top w:w="0" w:type="dxa"/>
          <w:left w:w="10" w:type="dxa"/>
          <w:bottom w:w="0" w:type="dxa"/>
          <w:right w:w="10" w:type="dxa"/>
        </w:tblCellMar>
      </w:tblPr>
      <w:tblGrid>
        <w:gridCol w:w="709"/>
        <w:gridCol w:w="1494"/>
        <w:gridCol w:w="870"/>
        <w:gridCol w:w="833"/>
        <w:gridCol w:w="1154"/>
        <w:gridCol w:w="1186"/>
        <w:gridCol w:w="1919"/>
      </w:tblGrid>
      <w:tr>
        <w:tblPrEx>
          <w:tblCellMar>
            <w:top w:w="0" w:type="dxa"/>
            <w:left w:w="10" w:type="dxa"/>
            <w:bottom w:w="0" w:type="dxa"/>
            <w:right w:w="10" w:type="dxa"/>
          </w:tblCellMar>
        </w:tblPrEx>
        <w:trPr>
          <w:trHeight w:val="1096"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000000"/>
                <w:spacing w:val="0"/>
                <w:position w:val="0"/>
                <w:sz w:val="21"/>
                <w:shd w:val="clear" w:fill="auto"/>
              </w:rPr>
            </w:pPr>
            <w:r>
              <w:rPr>
                <w:rFonts w:hint="eastAsia" w:ascii="仿宋" w:hAnsi="仿宋" w:eastAsia="仿宋" w:cs="仿宋"/>
                <w:color w:val="000000"/>
                <w:spacing w:val="0"/>
                <w:position w:val="0"/>
                <w:sz w:val="21"/>
                <w:shd w:val="clear" w:fill="auto"/>
              </w:rPr>
              <w:t>序号</w:t>
            </w:r>
          </w:p>
        </w:tc>
        <w:tc>
          <w:tcPr>
            <w:tcW w:w="1494"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000000"/>
                <w:spacing w:val="0"/>
                <w:position w:val="0"/>
                <w:sz w:val="21"/>
                <w:shd w:val="clear" w:fill="auto"/>
              </w:rPr>
            </w:pPr>
            <w:r>
              <w:rPr>
                <w:rFonts w:hint="eastAsia" w:ascii="仿宋" w:hAnsi="仿宋" w:eastAsia="仿宋" w:cs="仿宋"/>
                <w:color w:val="000000"/>
                <w:spacing w:val="0"/>
                <w:position w:val="0"/>
                <w:sz w:val="21"/>
                <w:shd w:val="clear" w:fill="auto"/>
              </w:rPr>
              <w:t>名称</w:t>
            </w:r>
          </w:p>
        </w:tc>
        <w:tc>
          <w:tcPr>
            <w:tcW w:w="87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000000"/>
                <w:spacing w:val="0"/>
                <w:position w:val="0"/>
                <w:sz w:val="21"/>
                <w:shd w:val="clear" w:fill="auto"/>
              </w:rPr>
            </w:pPr>
            <w:r>
              <w:rPr>
                <w:rFonts w:hint="eastAsia" w:ascii="仿宋" w:hAnsi="仿宋" w:eastAsia="仿宋" w:cs="仿宋"/>
                <w:color w:val="000000"/>
                <w:spacing w:val="0"/>
                <w:position w:val="0"/>
                <w:sz w:val="21"/>
                <w:shd w:val="clear" w:fill="auto"/>
              </w:rPr>
              <w:t>数量</w:t>
            </w:r>
          </w:p>
        </w:tc>
        <w:tc>
          <w:tcPr>
            <w:tcW w:w="833"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000000"/>
                <w:spacing w:val="0"/>
                <w:position w:val="0"/>
                <w:sz w:val="21"/>
                <w:shd w:val="clear" w:fill="auto"/>
              </w:rPr>
            </w:pPr>
            <w:r>
              <w:rPr>
                <w:rFonts w:hint="eastAsia" w:ascii="仿宋" w:hAnsi="仿宋" w:eastAsia="仿宋" w:cs="仿宋"/>
                <w:color w:val="000000"/>
                <w:spacing w:val="0"/>
                <w:position w:val="0"/>
                <w:sz w:val="21"/>
                <w:shd w:val="clear" w:fill="auto"/>
              </w:rPr>
              <w:t>单位</w:t>
            </w:r>
          </w:p>
        </w:tc>
        <w:tc>
          <w:tcPr>
            <w:tcW w:w="1154"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color w:val="000000"/>
                <w:spacing w:val="0"/>
                <w:position w:val="0"/>
                <w:sz w:val="21"/>
                <w:shd w:val="clear" w:fill="auto"/>
                <w:lang w:val="en-US" w:eastAsia="zh-CN"/>
              </w:rPr>
            </w:pPr>
            <w:r>
              <w:rPr>
                <w:rFonts w:hint="eastAsia" w:ascii="仿宋" w:hAnsi="仿宋" w:eastAsia="仿宋" w:cs="仿宋"/>
                <w:color w:val="000000"/>
                <w:spacing w:val="0"/>
                <w:position w:val="0"/>
                <w:sz w:val="21"/>
                <w:shd w:val="clear" w:fill="auto"/>
                <w:lang w:val="en-US" w:eastAsia="zh-CN"/>
              </w:rPr>
              <w:t>单价限价（元）</w:t>
            </w:r>
          </w:p>
        </w:tc>
        <w:tc>
          <w:tcPr>
            <w:tcW w:w="1186"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color w:val="000000"/>
                <w:spacing w:val="0"/>
                <w:position w:val="0"/>
                <w:sz w:val="21"/>
                <w:shd w:val="clear" w:fill="auto"/>
                <w:lang w:val="en-US" w:eastAsia="zh-CN"/>
              </w:rPr>
            </w:pPr>
            <w:r>
              <w:rPr>
                <w:rFonts w:hint="eastAsia" w:ascii="仿宋" w:hAnsi="仿宋" w:eastAsia="仿宋" w:cs="仿宋"/>
                <w:color w:val="000000"/>
                <w:spacing w:val="0"/>
                <w:position w:val="0"/>
                <w:sz w:val="21"/>
                <w:shd w:val="clear" w:fill="auto"/>
                <w:lang w:val="en-US" w:eastAsia="zh-CN"/>
              </w:rPr>
              <w:t>报价单价（元）</w:t>
            </w:r>
          </w:p>
        </w:tc>
        <w:tc>
          <w:tcPr>
            <w:tcW w:w="191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color w:val="000000"/>
                <w:spacing w:val="0"/>
                <w:position w:val="0"/>
                <w:sz w:val="21"/>
                <w:shd w:val="clear" w:fill="auto"/>
                <w:lang w:val="en-US" w:eastAsia="zh-CN"/>
              </w:rPr>
            </w:pPr>
            <w:r>
              <w:rPr>
                <w:rFonts w:hint="eastAsia" w:ascii="仿宋" w:hAnsi="仿宋" w:eastAsia="仿宋" w:cs="仿宋"/>
                <w:color w:val="000000"/>
                <w:spacing w:val="0"/>
                <w:position w:val="0"/>
                <w:sz w:val="21"/>
                <w:shd w:val="clear" w:fill="auto"/>
                <w:lang w:val="en-US" w:eastAsia="zh-CN"/>
              </w:rPr>
              <w:t>总价报价（元）</w:t>
            </w:r>
          </w:p>
        </w:tc>
      </w:tr>
      <w:tr>
        <w:tblPrEx>
          <w:tblCellMar>
            <w:top w:w="0" w:type="dxa"/>
            <w:left w:w="10" w:type="dxa"/>
            <w:bottom w:w="0" w:type="dxa"/>
            <w:right w:w="10" w:type="dxa"/>
          </w:tblCellMar>
        </w:tblPrEx>
        <w:trPr>
          <w:trHeight w:val="475"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color w:val="000000"/>
                <w:spacing w:val="0"/>
                <w:position w:val="0"/>
                <w:sz w:val="21"/>
                <w:shd w:val="clear" w:fill="auto"/>
                <w:lang w:val="en-US" w:eastAsia="zh-CN"/>
              </w:rPr>
            </w:pPr>
            <w:r>
              <w:rPr>
                <w:rFonts w:hint="eastAsia" w:ascii="仿宋" w:hAnsi="仿宋" w:eastAsia="仿宋" w:cs="仿宋"/>
                <w:color w:val="000000"/>
                <w:spacing w:val="0"/>
                <w:position w:val="0"/>
                <w:sz w:val="21"/>
                <w:shd w:val="clear" w:fill="auto"/>
                <w:lang w:val="en-US" w:eastAsia="zh-CN"/>
              </w:rPr>
              <w:t>1</w:t>
            </w:r>
          </w:p>
        </w:tc>
        <w:tc>
          <w:tcPr>
            <w:tcW w:w="1494"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000000"/>
                <w:spacing w:val="0"/>
                <w:position w:val="0"/>
                <w:sz w:val="21"/>
                <w:shd w:val="clear" w:fill="auto"/>
                <w:lang w:val="en-US" w:eastAsia="zh-CN"/>
              </w:rPr>
            </w:pPr>
            <w:r>
              <w:rPr>
                <w:rFonts w:hint="eastAsia" w:ascii="仿宋" w:hAnsi="仿宋" w:eastAsia="仿宋" w:cs="仿宋"/>
                <w:color w:val="000000"/>
                <w:spacing w:val="0"/>
                <w:position w:val="0"/>
                <w:sz w:val="21"/>
                <w:shd w:val="clear" w:fill="auto"/>
                <w:lang w:val="en-US" w:eastAsia="zh-CN"/>
              </w:rPr>
              <w:t>隔油池清掏</w:t>
            </w:r>
          </w:p>
        </w:tc>
        <w:tc>
          <w:tcPr>
            <w:tcW w:w="87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color w:val="000000"/>
                <w:spacing w:val="0"/>
                <w:position w:val="0"/>
                <w:sz w:val="21"/>
                <w:shd w:val="clear" w:fill="auto"/>
                <w:lang w:val="en-US" w:eastAsia="zh-CN"/>
              </w:rPr>
            </w:pPr>
            <w:r>
              <w:rPr>
                <w:rFonts w:hint="eastAsia" w:ascii="仿宋" w:hAnsi="仿宋" w:eastAsia="仿宋" w:cs="仿宋"/>
                <w:color w:val="000000"/>
                <w:spacing w:val="0"/>
                <w:position w:val="0"/>
                <w:sz w:val="21"/>
                <w:shd w:val="clear" w:fill="auto"/>
                <w:lang w:val="en-US" w:eastAsia="zh-CN"/>
              </w:rPr>
              <w:t>4</w:t>
            </w:r>
          </w:p>
        </w:tc>
        <w:tc>
          <w:tcPr>
            <w:tcW w:w="833"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color w:val="000000"/>
                <w:spacing w:val="0"/>
                <w:position w:val="0"/>
                <w:sz w:val="21"/>
                <w:shd w:val="clear" w:fill="auto"/>
                <w:lang w:val="en-US" w:eastAsia="zh-CN"/>
              </w:rPr>
            </w:pPr>
            <w:r>
              <w:rPr>
                <w:rFonts w:hint="eastAsia" w:ascii="仿宋" w:hAnsi="仿宋" w:eastAsia="仿宋" w:cs="仿宋"/>
                <w:color w:val="000000"/>
                <w:spacing w:val="0"/>
                <w:position w:val="0"/>
                <w:sz w:val="21"/>
                <w:shd w:val="clear" w:fill="auto"/>
                <w:lang w:val="en-US" w:eastAsia="zh-CN"/>
              </w:rPr>
              <w:t>次</w:t>
            </w:r>
          </w:p>
        </w:tc>
        <w:tc>
          <w:tcPr>
            <w:tcW w:w="1154"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color w:val="000000"/>
                <w:spacing w:val="0"/>
                <w:position w:val="0"/>
                <w:sz w:val="21"/>
                <w:shd w:val="clear" w:fill="auto"/>
                <w:lang w:val="en-US" w:eastAsia="zh-CN"/>
              </w:rPr>
            </w:pPr>
          </w:p>
        </w:tc>
        <w:tc>
          <w:tcPr>
            <w:tcW w:w="1186"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000000"/>
                <w:spacing w:val="0"/>
                <w:position w:val="0"/>
                <w:sz w:val="21"/>
                <w:shd w:val="clear" w:fill="auto"/>
                <w:lang w:val="en-US" w:eastAsia="zh-CN"/>
              </w:rPr>
            </w:pPr>
          </w:p>
        </w:tc>
        <w:tc>
          <w:tcPr>
            <w:tcW w:w="191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pageBreakBefore w:val="0"/>
              <w:widowControl w:val="0"/>
              <w:kinsoku/>
              <w:wordWrap/>
              <w:overflowPunct/>
              <w:topLinePunct w:val="0"/>
              <w:autoSpaceDE/>
              <w:autoSpaceDN/>
              <w:bidi w:val="0"/>
              <w:adjustRightInd/>
              <w:snapToGrid/>
              <w:spacing w:before="0" w:after="0" w:line="578" w:lineRule="exact"/>
              <w:ind w:right="0"/>
              <w:jc w:val="both"/>
              <w:textAlignment w:val="auto"/>
              <w:rPr>
                <w:rFonts w:hint="default" w:ascii="仿宋" w:hAnsi="仿宋" w:eastAsia="仿宋" w:cs="仿宋"/>
                <w:color w:val="000000"/>
                <w:spacing w:val="0"/>
                <w:position w:val="0"/>
                <w:sz w:val="21"/>
                <w:szCs w:val="21"/>
                <w:shd w:val="clear" w:fill="auto"/>
                <w:lang w:val="en-US" w:eastAsia="zh-CN"/>
              </w:rPr>
            </w:pPr>
          </w:p>
        </w:tc>
      </w:tr>
      <w:tr>
        <w:tblPrEx>
          <w:tblCellMar>
            <w:top w:w="0" w:type="dxa"/>
            <w:left w:w="10" w:type="dxa"/>
            <w:bottom w:w="0" w:type="dxa"/>
            <w:right w:w="10" w:type="dxa"/>
          </w:tblCellMar>
        </w:tblPrEx>
        <w:trPr>
          <w:trHeight w:val="458"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leftChars="0" w:right="0" w:rightChars="0" w:firstLine="0" w:firstLineChars="0"/>
              <w:jc w:val="center"/>
              <w:rPr>
                <w:rFonts w:hint="default" w:ascii="仿宋" w:hAnsi="仿宋" w:eastAsia="仿宋" w:cs="仿宋"/>
                <w:color w:val="000000"/>
                <w:spacing w:val="0"/>
                <w:position w:val="0"/>
                <w:sz w:val="21"/>
                <w:szCs w:val="22"/>
                <w:shd w:val="clear" w:fill="auto"/>
                <w:lang w:val="en-US" w:eastAsia="zh-CN"/>
              </w:rPr>
            </w:pPr>
            <w:r>
              <w:rPr>
                <w:rFonts w:hint="eastAsia" w:ascii="仿宋" w:hAnsi="仿宋" w:eastAsia="仿宋" w:cs="仿宋"/>
                <w:color w:val="000000"/>
                <w:spacing w:val="0"/>
                <w:position w:val="0"/>
                <w:sz w:val="21"/>
                <w:szCs w:val="22"/>
                <w:shd w:val="clear" w:fill="auto"/>
                <w:lang w:val="en-US" w:eastAsia="zh-CN"/>
              </w:rPr>
              <w:t>2</w:t>
            </w:r>
          </w:p>
        </w:tc>
        <w:tc>
          <w:tcPr>
            <w:tcW w:w="1494"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leftChars="0" w:right="0" w:rightChars="0" w:firstLine="0" w:firstLineChars="0"/>
              <w:jc w:val="center"/>
              <w:rPr>
                <w:rFonts w:hint="eastAsia" w:ascii="仿宋" w:hAnsi="仿宋" w:eastAsia="仿宋" w:cs="仿宋"/>
                <w:color w:val="000000"/>
                <w:spacing w:val="0"/>
                <w:position w:val="0"/>
                <w:sz w:val="21"/>
                <w:szCs w:val="22"/>
                <w:shd w:val="clear" w:fill="auto"/>
                <w:lang w:val="en-US" w:eastAsia="zh-CN"/>
              </w:rPr>
            </w:pPr>
            <w:r>
              <w:rPr>
                <w:rFonts w:hint="eastAsia" w:ascii="仿宋" w:hAnsi="仿宋" w:eastAsia="仿宋" w:cs="仿宋"/>
                <w:color w:val="000000"/>
                <w:spacing w:val="0"/>
                <w:position w:val="0"/>
                <w:sz w:val="21"/>
                <w:shd w:val="clear" w:fill="auto"/>
                <w:lang w:val="en-US" w:eastAsia="zh-CN"/>
              </w:rPr>
              <w:t>地沟清掏</w:t>
            </w:r>
          </w:p>
        </w:tc>
        <w:tc>
          <w:tcPr>
            <w:tcW w:w="87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leftChars="0" w:right="0" w:rightChars="0" w:firstLine="0" w:firstLineChars="0"/>
              <w:jc w:val="center"/>
              <w:rPr>
                <w:rFonts w:hint="eastAsia" w:ascii="仿宋" w:hAnsi="仿宋" w:eastAsia="仿宋" w:cs="仿宋"/>
                <w:color w:val="000000"/>
                <w:spacing w:val="0"/>
                <w:position w:val="0"/>
                <w:sz w:val="21"/>
                <w:szCs w:val="22"/>
                <w:shd w:val="clear" w:fill="auto"/>
                <w:lang w:val="en-US" w:eastAsia="zh-CN"/>
              </w:rPr>
            </w:pPr>
            <w:r>
              <w:rPr>
                <w:rFonts w:hint="eastAsia" w:ascii="仿宋" w:hAnsi="仿宋" w:eastAsia="仿宋" w:cs="仿宋"/>
                <w:color w:val="000000"/>
                <w:spacing w:val="0"/>
                <w:position w:val="0"/>
                <w:sz w:val="21"/>
                <w:shd w:val="clear" w:fill="auto"/>
                <w:lang w:val="en-US" w:eastAsia="zh-CN"/>
              </w:rPr>
              <w:t>4</w:t>
            </w:r>
          </w:p>
        </w:tc>
        <w:tc>
          <w:tcPr>
            <w:tcW w:w="833"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leftChars="0" w:right="0" w:rightChars="0" w:firstLine="0" w:firstLineChars="0"/>
              <w:jc w:val="center"/>
              <w:rPr>
                <w:rFonts w:hint="eastAsia" w:ascii="仿宋" w:hAnsi="仿宋" w:eastAsia="仿宋" w:cs="仿宋"/>
                <w:color w:val="000000"/>
                <w:spacing w:val="0"/>
                <w:position w:val="0"/>
                <w:sz w:val="21"/>
                <w:szCs w:val="22"/>
                <w:shd w:val="clear" w:fill="auto"/>
                <w:lang w:val="en-US" w:eastAsia="zh-CN"/>
              </w:rPr>
            </w:pPr>
            <w:r>
              <w:rPr>
                <w:rFonts w:hint="eastAsia" w:ascii="仿宋" w:hAnsi="仿宋" w:eastAsia="仿宋" w:cs="仿宋"/>
                <w:color w:val="000000"/>
                <w:spacing w:val="0"/>
                <w:position w:val="0"/>
                <w:sz w:val="21"/>
                <w:shd w:val="clear" w:fill="auto"/>
                <w:lang w:val="en-US" w:eastAsia="zh-CN"/>
              </w:rPr>
              <w:t>次</w:t>
            </w:r>
          </w:p>
        </w:tc>
        <w:tc>
          <w:tcPr>
            <w:tcW w:w="1154"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leftChars="0" w:right="0" w:rightChars="0" w:firstLine="0" w:firstLineChars="0"/>
              <w:jc w:val="center"/>
              <w:rPr>
                <w:rFonts w:hint="eastAsia" w:ascii="仿宋" w:hAnsi="仿宋" w:eastAsia="仿宋" w:cs="仿宋"/>
                <w:color w:val="000000"/>
                <w:spacing w:val="0"/>
                <w:position w:val="0"/>
                <w:sz w:val="21"/>
                <w:szCs w:val="22"/>
                <w:shd w:val="clear" w:fill="auto"/>
                <w:lang w:val="en-US" w:eastAsia="zh-CN"/>
              </w:rPr>
            </w:pPr>
          </w:p>
        </w:tc>
        <w:tc>
          <w:tcPr>
            <w:tcW w:w="1186"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000000"/>
                <w:spacing w:val="0"/>
                <w:position w:val="0"/>
                <w:sz w:val="21"/>
                <w:shd w:val="clear" w:fill="auto"/>
                <w:lang w:val="en-US" w:eastAsia="zh-CN"/>
              </w:rPr>
            </w:pPr>
          </w:p>
        </w:tc>
        <w:tc>
          <w:tcPr>
            <w:tcW w:w="191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pageBreakBefore w:val="0"/>
              <w:widowControl w:val="0"/>
              <w:kinsoku/>
              <w:wordWrap/>
              <w:overflowPunct/>
              <w:topLinePunct w:val="0"/>
              <w:autoSpaceDE/>
              <w:autoSpaceDN/>
              <w:bidi w:val="0"/>
              <w:adjustRightInd/>
              <w:snapToGrid/>
              <w:spacing w:before="0" w:after="0" w:line="578" w:lineRule="exact"/>
              <w:ind w:right="0"/>
              <w:jc w:val="both"/>
              <w:textAlignment w:val="auto"/>
              <w:rPr>
                <w:rFonts w:hint="default" w:ascii="仿宋" w:hAnsi="仿宋" w:eastAsia="仿宋" w:cs="仿宋"/>
                <w:color w:val="000000"/>
                <w:spacing w:val="0"/>
                <w:position w:val="0"/>
                <w:sz w:val="21"/>
                <w:szCs w:val="21"/>
                <w:shd w:val="clear" w:fill="auto"/>
                <w:lang w:val="en-US" w:eastAsia="zh-CN"/>
              </w:rPr>
            </w:pPr>
          </w:p>
        </w:tc>
      </w:tr>
    </w:tbl>
    <w:p>
      <w:pPr>
        <w:spacing w:before="0" w:after="0" w:line="360" w:lineRule="auto"/>
        <w:ind w:right="0" w:firstLine="420" w:firstLineChars="200"/>
        <w:jc w:val="left"/>
        <w:rPr>
          <w:rFonts w:hint="eastAsia" w:ascii="仿宋" w:hAnsi="仿宋" w:eastAsia="仿宋" w:cs="仿宋"/>
          <w:color w:val="auto"/>
          <w:spacing w:val="0"/>
          <w:position w:val="0"/>
          <w:sz w:val="21"/>
          <w:shd w:val="clear" w:fill="auto"/>
          <w:lang w:val="en-US" w:eastAsia="zh-CN"/>
        </w:rPr>
      </w:pPr>
      <w:r>
        <w:rPr>
          <w:rFonts w:hint="eastAsia" w:ascii="仿宋" w:hAnsi="仿宋" w:eastAsia="仿宋" w:cs="仿宋"/>
          <w:color w:val="auto"/>
          <w:spacing w:val="0"/>
          <w:position w:val="0"/>
          <w:sz w:val="21"/>
          <w:shd w:val="clear" w:fill="auto"/>
          <w:lang w:val="en-US" w:eastAsia="zh-CN"/>
        </w:rPr>
        <w:t>2.报价按单价报价，按实际清掏的项目和次数进行结算（如无必要餐饮部则不通知施工安排也就不结算）；施工完毕后经我公司验收合格后15个工作日内付清掏费。</w:t>
      </w:r>
    </w:p>
    <w:p>
      <w:pPr>
        <w:spacing w:before="0" w:after="0" w:line="360" w:lineRule="auto"/>
        <w:ind w:left="0" w:right="0" w:firstLine="420" w:firstLineChars="200"/>
        <w:jc w:val="left"/>
        <w:rPr>
          <w:rFonts w:hint="eastAsia" w:ascii="仿宋" w:hAnsi="仿宋" w:eastAsia="仿宋" w:cs="仿宋"/>
          <w:color w:val="auto"/>
          <w:spacing w:val="0"/>
          <w:position w:val="0"/>
          <w:sz w:val="21"/>
          <w:shd w:val="clear" w:fill="auto"/>
          <w:lang w:val="en-US" w:eastAsia="zh-CN"/>
        </w:rPr>
      </w:pPr>
      <w:r>
        <w:rPr>
          <w:rFonts w:hint="eastAsia" w:ascii="仿宋" w:hAnsi="仿宋" w:eastAsia="仿宋" w:cs="仿宋"/>
          <w:color w:val="auto"/>
          <w:spacing w:val="0"/>
          <w:position w:val="0"/>
          <w:sz w:val="21"/>
          <w:shd w:val="clear" w:fill="auto"/>
          <w:lang w:val="en-US" w:eastAsia="zh-CN"/>
        </w:rPr>
        <w:t>3.含1%或以上增值税专用发票。</w:t>
      </w:r>
    </w:p>
    <w:p>
      <w:pPr>
        <w:spacing w:before="0" w:after="0" w:line="360" w:lineRule="auto"/>
        <w:ind w:left="0" w:right="0" w:firstLine="420" w:firstLineChars="200"/>
        <w:jc w:val="left"/>
        <w:rPr>
          <w:rFonts w:hint="default" w:ascii="仿宋" w:hAnsi="仿宋" w:eastAsia="仿宋" w:cs="仿宋"/>
          <w:color w:val="auto"/>
          <w:spacing w:val="0"/>
          <w:position w:val="0"/>
          <w:sz w:val="21"/>
          <w:shd w:val="clear" w:fill="auto"/>
          <w:lang w:val="en-US" w:eastAsia="zh-CN"/>
        </w:rPr>
      </w:pPr>
      <w:r>
        <w:rPr>
          <w:rFonts w:hint="eastAsia" w:ascii="仿宋" w:hAnsi="仿宋" w:eastAsia="仿宋" w:cs="仿宋"/>
          <w:color w:val="auto"/>
          <w:spacing w:val="0"/>
          <w:position w:val="0"/>
          <w:sz w:val="21"/>
          <w:shd w:val="clear" w:fill="auto"/>
          <w:lang w:val="en-US" w:eastAsia="zh-CN"/>
        </w:rPr>
        <w:t>4.收到成交通知书后5个工作日内到达云南十里阳光发展有限公司餐饮部确认清掏具体要求，由餐饮部根据情况做相关清理要求，提前约好每月具体时间交付清掏服务项目。</w:t>
      </w:r>
    </w:p>
    <w:sectPr>
      <w:pgSz w:w="11906" w:h="16838"/>
      <w:pgMar w:top="1587" w:right="1474" w:bottom="1474" w:left="1587" w:header="720" w:footer="720"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isplayHorizontalDrawingGridEvery w:val="1"/>
  <w:displayVerticalDrawingGridEvery w:val="1"/>
  <w:noPunctuationKerning w:val="1"/>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1646D7"/>
    <w:rsid w:val="013C3149"/>
    <w:rsid w:val="013C7D3D"/>
    <w:rsid w:val="022376B9"/>
    <w:rsid w:val="023747AF"/>
    <w:rsid w:val="035416F0"/>
    <w:rsid w:val="035A360D"/>
    <w:rsid w:val="042071A1"/>
    <w:rsid w:val="045E1060"/>
    <w:rsid w:val="045E43C8"/>
    <w:rsid w:val="049A5E25"/>
    <w:rsid w:val="05471293"/>
    <w:rsid w:val="067B659F"/>
    <w:rsid w:val="06F10931"/>
    <w:rsid w:val="075959FA"/>
    <w:rsid w:val="079A613C"/>
    <w:rsid w:val="07BF2E65"/>
    <w:rsid w:val="0805253B"/>
    <w:rsid w:val="083B110B"/>
    <w:rsid w:val="08561777"/>
    <w:rsid w:val="09513EE3"/>
    <w:rsid w:val="097442CF"/>
    <w:rsid w:val="0A075C14"/>
    <w:rsid w:val="0AE34842"/>
    <w:rsid w:val="0BFB1931"/>
    <w:rsid w:val="0D2A42A8"/>
    <w:rsid w:val="0E3C273E"/>
    <w:rsid w:val="0E4C5D78"/>
    <w:rsid w:val="0E75758C"/>
    <w:rsid w:val="0EB949B3"/>
    <w:rsid w:val="0ECB39D4"/>
    <w:rsid w:val="0FE27323"/>
    <w:rsid w:val="100B19A1"/>
    <w:rsid w:val="10A64130"/>
    <w:rsid w:val="118E04F8"/>
    <w:rsid w:val="128A53F1"/>
    <w:rsid w:val="13C269FA"/>
    <w:rsid w:val="14C13B19"/>
    <w:rsid w:val="154B0F97"/>
    <w:rsid w:val="156518B5"/>
    <w:rsid w:val="15F01FF0"/>
    <w:rsid w:val="17297264"/>
    <w:rsid w:val="186D4742"/>
    <w:rsid w:val="18C852A2"/>
    <w:rsid w:val="1A807414"/>
    <w:rsid w:val="1C7C366F"/>
    <w:rsid w:val="1CD80C4E"/>
    <w:rsid w:val="1DF63360"/>
    <w:rsid w:val="1DFC638F"/>
    <w:rsid w:val="1E5E69FE"/>
    <w:rsid w:val="214F7947"/>
    <w:rsid w:val="217E2D8E"/>
    <w:rsid w:val="21C33670"/>
    <w:rsid w:val="21C93BFE"/>
    <w:rsid w:val="24E23C1D"/>
    <w:rsid w:val="257E779B"/>
    <w:rsid w:val="25A1413E"/>
    <w:rsid w:val="25AD1835"/>
    <w:rsid w:val="2717598A"/>
    <w:rsid w:val="28775DE8"/>
    <w:rsid w:val="292317D2"/>
    <w:rsid w:val="2A14740B"/>
    <w:rsid w:val="2A925ADB"/>
    <w:rsid w:val="2A9410FF"/>
    <w:rsid w:val="2C850598"/>
    <w:rsid w:val="2CD608A9"/>
    <w:rsid w:val="2D137721"/>
    <w:rsid w:val="2DAC60B8"/>
    <w:rsid w:val="2E693051"/>
    <w:rsid w:val="2F837A4C"/>
    <w:rsid w:val="30594760"/>
    <w:rsid w:val="30642AF1"/>
    <w:rsid w:val="30F0559F"/>
    <w:rsid w:val="31607511"/>
    <w:rsid w:val="32865274"/>
    <w:rsid w:val="337201F6"/>
    <w:rsid w:val="33E24871"/>
    <w:rsid w:val="33F7044F"/>
    <w:rsid w:val="361A26D3"/>
    <w:rsid w:val="36E50CE9"/>
    <w:rsid w:val="37306998"/>
    <w:rsid w:val="375209EE"/>
    <w:rsid w:val="376C29E3"/>
    <w:rsid w:val="3786517A"/>
    <w:rsid w:val="37D31A24"/>
    <w:rsid w:val="37F17247"/>
    <w:rsid w:val="384813FC"/>
    <w:rsid w:val="396A5588"/>
    <w:rsid w:val="39933C03"/>
    <w:rsid w:val="3A4A3632"/>
    <w:rsid w:val="3A904D62"/>
    <w:rsid w:val="3A911299"/>
    <w:rsid w:val="3AA008BD"/>
    <w:rsid w:val="3B3616F8"/>
    <w:rsid w:val="3B7B3AA4"/>
    <w:rsid w:val="3CF56B84"/>
    <w:rsid w:val="3DEB5278"/>
    <w:rsid w:val="3E2403FD"/>
    <w:rsid w:val="3ECE355D"/>
    <w:rsid w:val="3EE60898"/>
    <w:rsid w:val="3F0C5EFE"/>
    <w:rsid w:val="401136B4"/>
    <w:rsid w:val="409A440B"/>
    <w:rsid w:val="40DF6F7E"/>
    <w:rsid w:val="41AB1BA0"/>
    <w:rsid w:val="42BA1E87"/>
    <w:rsid w:val="43035A70"/>
    <w:rsid w:val="439366AD"/>
    <w:rsid w:val="44C5163B"/>
    <w:rsid w:val="450622AA"/>
    <w:rsid w:val="46084AF2"/>
    <w:rsid w:val="463203E3"/>
    <w:rsid w:val="466B2CEB"/>
    <w:rsid w:val="46800AD6"/>
    <w:rsid w:val="47255E4A"/>
    <w:rsid w:val="47333E80"/>
    <w:rsid w:val="479D5985"/>
    <w:rsid w:val="47DC3248"/>
    <w:rsid w:val="48745459"/>
    <w:rsid w:val="48812AF6"/>
    <w:rsid w:val="48CD15E1"/>
    <w:rsid w:val="49B57811"/>
    <w:rsid w:val="4A0755F9"/>
    <w:rsid w:val="4DC90F22"/>
    <w:rsid w:val="4E3F2846"/>
    <w:rsid w:val="4EB877D8"/>
    <w:rsid w:val="4F485E9E"/>
    <w:rsid w:val="50C950F3"/>
    <w:rsid w:val="527F6476"/>
    <w:rsid w:val="52AE05DF"/>
    <w:rsid w:val="52C4745A"/>
    <w:rsid w:val="53834AA8"/>
    <w:rsid w:val="53E35DBF"/>
    <w:rsid w:val="546808EA"/>
    <w:rsid w:val="5477486C"/>
    <w:rsid w:val="54EB3100"/>
    <w:rsid w:val="54F30A9A"/>
    <w:rsid w:val="55633149"/>
    <w:rsid w:val="56B35B4C"/>
    <w:rsid w:val="57515002"/>
    <w:rsid w:val="57CA1BBE"/>
    <w:rsid w:val="5926413F"/>
    <w:rsid w:val="5A0A4770"/>
    <w:rsid w:val="5A0E17BC"/>
    <w:rsid w:val="5A76346C"/>
    <w:rsid w:val="5B0B6ABB"/>
    <w:rsid w:val="5B450D77"/>
    <w:rsid w:val="5C5D4143"/>
    <w:rsid w:val="5CA96F3A"/>
    <w:rsid w:val="5E566452"/>
    <w:rsid w:val="5F261328"/>
    <w:rsid w:val="5F376A58"/>
    <w:rsid w:val="5FB2688E"/>
    <w:rsid w:val="5FBC123A"/>
    <w:rsid w:val="5FE56175"/>
    <w:rsid w:val="60785BD4"/>
    <w:rsid w:val="60C71E60"/>
    <w:rsid w:val="61667926"/>
    <w:rsid w:val="624834CE"/>
    <w:rsid w:val="630F24D1"/>
    <w:rsid w:val="636B5B38"/>
    <w:rsid w:val="646D53D2"/>
    <w:rsid w:val="64BF7AB0"/>
    <w:rsid w:val="655B2D8B"/>
    <w:rsid w:val="65CD412D"/>
    <w:rsid w:val="65CF16D5"/>
    <w:rsid w:val="671F6DBF"/>
    <w:rsid w:val="67206A22"/>
    <w:rsid w:val="68DC54AF"/>
    <w:rsid w:val="6AAD50E8"/>
    <w:rsid w:val="6B085B8A"/>
    <w:rsid w:val="6B144D07"/>
    <w:rsid w:val="6B544734"/>
    <w:rsid w:val="6B697573"/>
    <w:rsid w:val="6DB43FEE"/>
    <w:rsid w:val="6E416AA8"/>
    <w:rsid w:val="6EDB3EFE"/>
    <w:rsid w:val="70D40319"/>
    <w:rsid w:val="761015B5"/>
    <w:rsid w:val="77047750"/>
    <w:rsid w:val="78132BF9"/>
    <w:rsid w:val="785258B0"/>
    <w:rsid w:val="79992C0C"/>
    <w:rsid w:val="7BC62933"/>
    <w:rsid w:val="7C9A0796"/>
    <w:rsid w:val="7DD3074A"/>
    <w:rsid w:val="7E0405CD"/>
    <w:rsid w:val="7F2E1D31"/>
    <w:rsid w:val="7FAB1C02"/>
    <w:rsid w:val="7FBB5DB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sz w:val="21"/>
      <w:szCs w:val="22"/>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jc w:val="left"/>
    </w:pPr>
    <w:rPr>
      <w:rFonts w:ascii="楷体_GB2312" w:hAnsi="Times New Roman" w:eastAsia="楷体_GB2312"/>
      <w:sz w:val="28"/>
      <w:szCs w:val="24"/>
    </w:rPr>
  </w:style>
  <w:style w:type="paragraph" w:customStyle="1" w:styleId="5">
    <w:name w:val="NormalIndent"/>
    <w:basedOn w:val="1"/>
    <w:qFormat/>
    <w:uiPriority w:val="0"/>
    <w:pPr>
      <w:ind w:firstLine="420" w:firstLineChars="200"/>
    </w:pPr>
  </w:style>
  <w:style w:type="character" w:customStyle="1" w:styleId="6">
    <w:name w:val="font91"/>
    <w:basedOn w:val="4"/>
    <w:qFormat/>
    <w:uiPriority w:val="0"/>
    <w:rPr>
      <w:rFonts w:hint="default" w:ascii="Times New Roman" w:hAnsi="Times New Roman" w:cs="Times New Roman"/>
      <w:color w:val="000000"/>
      <w:sz w:val="20"/>
      <w:szCs w:val="20"/>
      <w:u w:val="none"/>
    </w:rPr>
  </w:style>
  <w:style w:type="character" w:customStyle="1" w:styleId="7">
    <w:name w:val="font81"/>
    <w:basedOn w:val="4"/>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Pages>
  <TotalTime>31</TotalTime>
  <ScaleCrop>false</ScaleCrop>
  <LinksUpToDate>false</LinksUpToDate>
  <Application>WPS Office_11.8.2.12309_F1E327BC-269C-435d-A152-05C5408002CA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2023-05-12T01:56:00Z</dcterms:created>
  <dc:creator>Lenovo</dc:creator>
  <cp:lastModifiedBy>MLH</cp:lastModifiedBy>
  <dcterms:modified xsi:type="dcterms:W3CDTF">2026-01-19T08:11:28Z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0AF98599E5BF4FF59F72A6A5C3C1FC31</vt:lpwstr>
  </property>
</Properties>
</file>