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color w:val="000000"/>
          <w:sz w:val="48"/>
          <w:szCs w:val="48"/>
        </w:rPr>
      </w:pPr>
      <w:bookmarkStart w:id="0" w:name="SectionMark0"/>
    </w:p>
    <w:p>
      <w:pPr>
        <w:jc w:val="center"/>
        <w:rPr>
          <w:color w:val="000000"/>
          <w:sz w:val="48"/>
          <w:szCs w:val="48"/>
        </w:rPr>
      </w:pPr>
    </w:p>
    <w:p>
      <w:pPr>
        <w:jc w:val="center"/>
        <w:rPr>
          <w:color w:val="000000"/>
          <w:sz w:val="48"/>
          <w:szCs w:val="48"/>
        </w:rPr>
      </w:pPr>
    </w:p>
    <w:p>
      <w:pPr>
        <w:spacing w:after="30"/>
        <w:jc w:val="center"/>
        <w:rPr>
          <w:rFonts w:ascii="黑体" w:hAnsi="黑体" w:eastAsia="黑体" w:cs="黑体"/>
          <w:b/>
          <w:sz w:val="52"/>
          <w:szCs w:val="52"/>
          <w:lang w:eastAsia="zh-CN"/>
        </w:rPr>
      </w:pPr>
      <w:r>
        <w:rPr>
          <w:rFonts w:ascii="黑体" w:hAnsi="黑体" w:eastAsia="黑体" w:cs="黑体"/>
          <w:b/>
          <w:sz w:val="52"/>
          <w:szCs w:val="52"/>
          <w:lang w:eastAsia="zh-CN"/>
        </w:rPr>
        <w:t>230kV B.Pompik-Mahaxai输电线路工程</w:t>
      </w:r>
    </w:p>
    <w:p>
      <w:pPr>
        <w:spacing w:after="30"/>
        <w:jc w:val="center"/>
        <w:rPr>
          <w:rFonts w:ascii="黑体" w:hAnsi="黑体" w:eastAsia="黑体" w:cs="黑体"/>
          <w:b/>
          <w:sz w:val="52"/>
          <w:szCs w:val="52"/>
          <w:lang w:eastAsia="zh-CN"/>
        </w:rPr>
      </w:pPr>
      <w:r>
        <w:rPr>
          <w:rFonts w:hint="eastAsia" w:ascii="黑体" w:hAnsi="黑体" w:eastAsia="黑体" w:cs="黑体"/>
          <w:b/>
          <w:color w:val="FFFFFF"/>
          <w:sz w:val="52"/>
          <w:szCs w:val="52"/>
          <w:lang w:eastAsia="zh-CN" w:bidi="ar"/>
        </w:rPr>
        <w:t>禄</w:t>
      </w:r>
    </w:p>
    <w:p>
      <w:pPr>
        <w:spacing w:after="30"/>
        <w:jc w:val="center"/>
        <w:rPr>
          <w:rFonts w:ascii="黑体" w:hAnsi="黑体" w:eastAsia="黑体" w:cs="黑体"/>
          <w:b/>
          <w:sz w:val="52"/>
          <w:szCs w:val="52"/>
          <w:lang w:eastAsia="zh-CN"/>
        </w:rPr>
      </w:pPr>
    </w:p>
    <w:p>
      <w:pPr>
        <w:spacing w:after="30"/>
        <w:jc w:val="center"/>
        <w:rPr>
          <w:rFonts w:ascii="黑体" w:hAnsi="黑体" w:eastAsia="黑体" w:cs="黑体"/>
          <w:b/>
          <w:sz w:val="52"/>
          <w:szCs w:val="52"/>
          <w:lang w:eastAsia="zh-CN"/>
        </w:rPr>
      </w:pPr>
    </w:p>
    <w:p>
      <w:pPr>
        <w:spacing w:after="30"/>
        <w:jc w:val="center"/>
        <w:rPr>
          <w:rFonts w:ascii="黑体" w:hAnsi="黑体" w:eastAsia="黑体" w:cs="黑体"/>
          <w:b/>
          <w:sz w:val="52"/>
          <w:szCs w:val="52"/>
          <w:lang w:eastAsia="zh-CN"/>
        </w:rPr>
      </w:pPr>
      <w:r>
        <w:rPr>
          <w:rFonts w:ascii="黑体" w:hAnsi="黑体" w:eastAsia="黑体" w:cs="黑体"/>
          <w:b/>
          <w:sz w:val="52"/>
          <w:szCs w:val="52"/>
          <w:lang w:eastAsia="zh-CN"/>
        </w:rPr>
        <w:t>OPGW</w:t>
      </w:r>
      <w:r>
        <w:rPr>
          <w:rFonts w:hint="eastAsia" w:ascii="黑体" w:hAnsi="黑体" w:eastAsia="黑体" w:cs="黑体"/>
          <w:b/>
          <w:sz w:val="52"/>
          <w:szCs w:val="52"/>
          <w:lang w:eastAsia="zh-CN"/>
        </w:rPr>
        <w:t>光缆</w:t>
      </w:r>
    </w:p>
    <w:p>
      <w:pPr>
        <w:spacing w:after="30"/>
        <w:ind w:firstLine="0"/>
        <w:rPr>
          <w:rFonts w:eastAsia="黑体"/>
          <w:b/>
          <w:sz w:val="52"/>
          <w:lang w:eastAsia="zh-CN"/>
        </w:rPr>
      </w:pPr>
    </w:p>
    <w:p>
      <w:pPr>
        <w:spacing w:after="30"/>
        <w:ind w:firstLine="0"/>
        <w:rPr>
          <w:rFonts w:eastAsia="黑体"/>
          <w:b/>
          <w:sz w:val="52"/>
          <w:lang w:eastAsia="zh-CN"/>
        </w:rPr>
      </w:pPr>
    </w:p>
    <w:p>
      <w:pPr>
        <w:spacing w:after="30"/>
        <w:ind w:firstLine="0"/>
        <w:rPr>
          <w:rFonts w:eastAsia="黑体"/>
          <w:b/>
          <w:sz w:val="52"/>
          <w:lang w:eastAsia="zh-CN"/>
        </w:rPr>
      </w:pPr>
    </w:p>
    <w:p>
      <w:pPr>
        <w:spacing w:after="30"/>
        <w:jc w:val="center"/>
        <w:rPr>
          <w:rFonts w:eastAsia="黑体"/>
          <w:b/>
          <w:sz w:val="52"/>
          <w:lang w:eastAsia="zh-CN"/>
        </w:rPr>
      </w:pPr>
    </w:p>
    <w:p>
      <w:pPr>
        <w:spacing w:after="30"/>
        <w:jc w:val="center"/>
        <w:rPr>
          <w:rFonts w:eastAsia="黑体"/>
          <w:b/>
          <w:sz w:val="52"/>
          <w:lang w:eastAsia="zh-CN"/>
        </w:rPr>
      </w:pPr>
      <w:r>
        <w:rPr>
          <w:rFonts w:hint="eastAsia" w:eastAsia="黑体"/>
          <w:b/>
          <w:sz w:val="52"/>
          <w:lang w:eastAsia="zh-CN"/>
        </w:rPr>
        <w:t>标准技术规范书</w:t>
      </w:r>
    </w:p>
    <w:p>
      <w:pPr>
        <w:spacing w:after="30"/>
        <w:jc w:val="center"/>
        <w:rPr>
          <w:rFonts w:eastAsia="黑体"/>
          <w:b/>
          <w:sz w:val="52"/>
          <w:lang w:eastAsia="zh-CN"/>
        </w:rPr>
      </w:pPr>
    </w:p>
    <w:p>
      <w:pPr>
        <w:spacing w:after="30"/>
        <w:jc w:val="center"/>
        <w:rPr>
          <w:rFonts w:eastAsia="黑体"/>
          <w:b/>
          <w:sz w:val="52"/>
          <w:lang w:eastAsia="zh-CN"/>
        </w:rPr>
      </w:pPr>
    </w:p>
    <w:p>
      <w:pPr>
        <w:spacing w:after="30"/>
        <w:jc w:val="center"/>
        <w:rPr>
          <w:rFonts w:eastAsia="黑体"/>
          <w:b/>
          <w:sz w:val="52"/>
          <w:lang w:eastAsia="zh-CN"/>
        </w:rPr>
      </w:pPr>
    </w:p>
    <w:p>
      <w:pPr>
        <w:spacing w:after="30"/>
        <w:jc w:val="center"/>
        <w:rPr>
          <w:rFonts w:eastAsia="黑体"/>
          <w:b/>
          <w:sz w:val="52"/>
          <w:lang w:eastAsia="zh-CN"/>
        </w:rPr>
      </w:pPr>
    </w:p>
    <w:p>
      <w:pPr>
        <w:spacing w:after="30"/>
        <w:jc w:val="center"/>
        <w:rPr>
          <w:rFonts w:eastAsia="黑体"/>
          <w:b/>
          <w:sz w:val="52"/>
          <w:lang w:eastAsia="zh-CN"/>
        </w:rPr>
      </w:pPr>
    </w:p>
    <w:p>
      <w:pPr>
        <w:spacing w:after="30"/>
        <w:jc w:val="center"/>
        <w:rPr>
          <w:rFonts w:eastAsia="黑体"/>
          <w:b/>
          <w:sz w:val="52"/>
          <w:lang w:eastAsia="zh-CN"/>
        </w:rPr>
      </w:pPr>
    </w:p>
    <w:p>
      <w:pPr>
        <w:spacing w:after="30" w:line="360" w:lineRule="auto"/>
        <w:jc w:val="center"/>
        <w:rPr>
          <w:rFonts w:ascii="宋体" w:hAnsi="宋体" w:cs="宋体"/>
          <w:bCs/>
          <w:sz w:val="28"/>
          <w:szCs w:val="28"/>
          <w:lang w:eastAsia="zh-CN"/>
        </w:rPr>
      </w:pPr>
      <w:r>
        <w:rPr>
          <w:rFonts w:hint="eastAsia" w:ascii="宋体" w:hAnsi="宋体" w:cs="宋体"/>
          <w:bCs/>
          <w:sz w:val="28"/>
          <w:szCs w:val="28"/>
          <w:lang w:eastAsia="zh-CN"/>
        </w:rPr>
        <w:t>中国能源建设集团云南省电力设计院有限公司</w:t>
      </w:r>
    </w:p>
    <w:p>
      <w:pPr>
        <w:spacing w:after="30" w:line="360" w:lineRule="auto"/>
        <w:jc w:val="center"/>
        <w:rPr>
          <w:lang w:eastAsia="zh-CN"/>
        </w:rPr>
      </w:pPr>
      <w:r>
        <w:rPr>
          <w:rFonts w:ascii="宋体" w:hAnsi="宋体" w:cs="宋体"/>
          <w:bCs/>
          <w:sz w:val="28"/>
          <w:szCs w:val="28"/>
          <w:lang w:eastAsia="zh-CN"/>
        </w:rPr>
        <w:t>202</w:t>
      </w:r>
      <w:r>
        <w:rPr>
          <w:rFonts w:hint="eastAsia" w:ascii="宋体" w:hAnsi="宋体" w:cs="宋体"/>
          <w:bCs/>
          <w:sz w:val="28"/>
          <w:szCs w:val="28"/>
          <w:lang w:eastAsia="zh-CN"/>
        </w:rPr>
        <w:t>5年11月</w:t>
      </w:r>
    </w:p>
    <w:p>
      <w:pPr>
        <w:ind w:firstLine="0"/>
        <w:jc w:val="both"/>
        <w:rPr>
          <w:lang w:eastAsia="zh-CN"/>
        </w:rPr>
      </w:pPr>
    </w:p>
    <w:p>
      <w:pPr>
        <w:jc w:val="center"/>
        <w:rPr>
          <w:rFonts w:eastAsia="黑体"/>
          <w:b/>
          <w:sz w:val="36"/>
          <w:lang w:eastAsia="zh-CN"/>
        </w:rPr>
      </w:pPr>
    </w:p>
    <w:p>
      <w:pPr>
        <w:ind w:firstLine="0"/>
        <w:jc w:val="center"/>
        <w:rPr>
          <w:rFonts w:ascii="宋体" w:hAnsi="宋体" w:cs="宋体"/>
          <w:szCs w:val="24"/>
          <w:lang w:eastAsia="zh-CN"/>
        </w:rPr>
      </w:pPr>
      <w:r>
        <w:rPr>
          <w:rFonts w:ascii="宋体" w:hAnsi="宋体" w:cs="宋体"/>
          <w:szCs w:val="24"/>
          <w:lang w:eastAsia="zh-CN"/>
        </w:rPr>
        <w:t>OPGW光缆及</w:t>
      </w:r>
      <w:r>
        <w:rPr>
          <w:rFonts w:hint="eastAsia" w:ascii="宋体" w:hAnsi="宋体" w:cs="宋体"/>
          <w:szCs w:val="24"/>
          <w:lang w:eastAsia="zh-CN"/>
        </w:rPr>
        <w:t>管道光缆货物需求及供货范围一览表</w:t>
      </w:r>
    </w:p>
    <w:tbl>
      <w:tblPr>
        <w:tblStyle w:val="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3879"/>
        <w:gridCol w:w="1895"/>
        <w:gridCol w:w="742"/>
        <w:gridCol w:w="997"/>
        <w:gridCol w:w="12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90" w:type="pct"/>
            <w:shd w:val="clear" w:color="auto" w:fill="auto"/>
            <w:vAlign w:val="center"/>
          </w:tcPr>
          <w:p>
            <w:pPr>
              <w:ind w:firstLine="0"/>
              <w:jc w:val="center"/>
              <w:rPr>
                <w:rFonts w:ascii="宋体" w:hAnsi="宋体" w:cs="宋体"/>
                <w:color w:val="000000"/>
                <w:szCs w:val="24"/>
                <w:lang w:eastAsia="zh-CN" w:bidi="ar-SA"/>
              </w:rPr>
            </w:pPr>
            <w:r>
              <w:rPr>
                <w:rFonts w:hint="eastAsia" w:ascii="宋体" w:hAnsi="宋体" w:cs="宋体"/>
                <w:color w:val="000000"/>
                <w:szCs w:val="24"/>
                <w:lang w:eastAsia="zh-CN" w:bidi="ar-SA"/>
              </w:rPr>
              <w:t>序号</w:t>
            </w:r>
          </w:p>
        </w:tc>
        <w:tc>
          <w:tcPr>
            <w:tcW w:w="2039" w:type="pct"/>
            <w:shd w:val="clear" w:color="auto" w:fill="auto"/>
            <w:vAlign w:val="center"/>
          </w:tcPr>
          <w:p>
            <w:pPr>
              <w:ind w:firstLine="0"/>
              <w:jc w:val="center"/>
              <w:rPr>
                <w:rFonts w:ascii="宋体" w:hAnsi="宋体" w:cs="宋体"/>
                <w:color w:val="000000"/>
                <w:szCs w:val="24"/>
                <w:lang w:eastAsia="zh-CN" w:bidi="ar-SA"/>
              </w:rPr>
            </w:pPr>
            <w:r>
              <w:rPr>
                <w:rFonts w:hint="eastAsia" w:ascii="宋体" w:hAnsi="宋体" w:cs="宋体"/>
                <w:color w:val="000000"/>
                <w:szCs w:val="24"/>
                <w:lang w:eastAsia="zh-CN" w:bidi="ar-SA"/>
              </w:rPr>
              <w:t>物资名称</w:t>
            </w:r>
          </w:p>
        </w:tc>
        <w:tc>
          <w:tcPr>
            <w:tcW w:w="996" w:type="pct"/>
            <w:shd w:val="clear" w:color="auto" w:fill="auto"/>
            <w:vAlign w:val="center"/>
          </w:tcPr>
          <w:p>
            <w:pPr>
              <w:ind w:firstLine="0"/>
              <w:jc w:val="center"/>
              <w:rPr>
                <w:rFonts w:ascii="宋体" w:hAnsi="宋体" w:cs="宋体"/>
                <w:color w:val="000000"/>
                <w:szCs w:val="24"/>
                <w:lang w:eastAsia="zh-CN" w:bidi="ar-SA"/>
              </w:rPr>
            </w:pPr>
            <w:r>
              <w:rPr>
                <w:rFonts w:hint="eastAsia" w:ascii="宋体" w:hAnsi="宋体" w:cs="宋体"/>
                <w:color w:val="000000"/>
                <w:szCs w:val="24"/>
                <w:lang w:eastAsia="zh-CN" w:bidi="ar-SA"/>
              </w:rPr>
              <w:t>规格</w:t>
            </w:r>
          </w:p>
        </w:tc>
        <w:tc>
          <w:tcPr>
            <w:tcW w:w="390" w:type="pct"/>
            <w:shd w:val="clear" w:color="auto" w:fill="auto"/>
            <w:noWrap/>
            <w:vAlign w:val="center"/>
          </w:tcPr>
          <w:p>
            <w:pPr>
              <w:ind w:firstLine="0"/>
              <w:jc w:val="center"/>
              <w:rPr>
                <w:rFonts w:ascii="宋体" w:hAnsi="宋体" w:cs="宋体"/>
                <w:color w:val="000000"/>
                <w:szCs w:val="24"/>
                <w:lang w:eastAsia="zh-CN" w:bidi="ar-SA"/>
              </w:rPr>
            </w:pPr>
            <w:r>
              <w:rPr>
                <w:rFonts w:hint="eastAsia" w:ascii="宋体" w:hAnsi="宋体" w:cs="宋体"/>
                <w:color w:val="000000"/>
                <w:szCs w:val="24"/>
                <w:lang w:eastAsia="zh-CN" w:bidi="ar-SA"/>
              </w:rPr>
              <w:t>单位</w:t>
            </w:r>
          </w:p>
        </w:tc>
        <w:tc>
          <w:tcPr>
            <w:tcW w:w="524" w:type="pct"/>
            <w:shd w:val="clear" w:color="auto" w:fill="auto"/>
            <w:noWrap/>
            <w:vAlign w:val="center"/>
          </w:tcPr>
          <w:p>
            <w:pPr>
              <w:ind w:firstLine="0"/>
              <w:jc w:val="center"/>
              <w:rPr>
                <w:rFonts w:ascii="宋体" w:hAnsi="宋体" w:cs="宋体"/>
                <w:color w:val="000000"/>
                <w:szCs w:val="24"/>
                <w:lang w:eastAsia="zh-CN" w:bidi="ar-SA"/>
              </w:rPr>
            </w:pPr>
            <w:r>
              <w:rPr>
                <w:rFonts w:hint="eastAsia" w:ascii="宋体" w:hAnsi="宋体" w:cs="宋体"/>
                <w:color w:val="000000"/>
                <w:szCs w:val="24"/>
                <w:lang w:eastAsia="zh-CN" w:bidi="ar-SA"/>
              </w:rPr>
              <w:t>总量</w:t>
            </w:r>
          </w:p>
        </w:tc>
        <w:tc>
          <w:tcPr>
            <w:tcW w:w="659" w:type="pct"/>
            <w:shd w:val="clear" w:color="auto" w:fill="auto"/>
            <w:noWrap/>
            <w:vAlign w:val="center"/>
          </w:tcPr>
          <w:p>
            <w:pPr>
              <w:ind w:firstLine="0"/>
              <w:jc w:val="center"/>
              <w:rPr>
                <w:rFonts w:ascii="宋体" w:hAnsi="宋体" w:cs="宋体"/>
                <w:color w:val="000000"/>
                <w:szCs w:val="24"/>
                <w:lang w:eastAsia="zh-CN" w:bidi="ar-SA"/>
              </w:rPr>
            </w:pPr>
            <w:r>
              <w:rPr>
                <w:rFonts w:hint="eastAsia" w:ascii="宋体" w:hAnsi="宋体" w:cs="宋体"/>
                <w:color w:val="000000"/>
                <w:szCs w:val="24"/>
                <w:lang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390" w:type="pct"/>
            <w:shd w:val="clear" w:color="auto" w:fill="auto"/>
            <w:vAlign w:val="center"/>
          </w:tcPr>
          <w:p>
            <w:pPr>
              <w:ind w:firstLine="0"/>
              <w:jc w:val="center"/>
              <w:rPr>
                <w:rFonts w:ascii="宋体" w:hAnsi="宋体" w:cs="宋体"/>
                <w:color w:val="000000"/>
                <w:szCs w:val="24"/>
                <w:lang w:eastAsia="zh-CN" w:bidi="ar-SA"/>
              </w:rPr>
            </w:pPr>
          </w:p>
        </w:tc>
        <w:tc>
          <w:tcPr>
            <w:tcW w:w="2039" w:type="pct"/>
            <w:shd w:val="clear" w:color="auto" w:fill="auto"/>
            <w:noWrap/>
            <w:vAlign w:val="center"/>
          </w:tcPr>
          <w:p>
            <w:pPr>
              <w:ind w:firstLine="0"/>
              <w:jc w:val="center"/>
              <w:rPr>
                <w:rFonts w:ascii="宋体" w:hAnsi="宋体" w:cs="宋体"/>
                <w:color w:val="000000"/>
                <w:szCs w:val="24"/>
                <w:lang w:eastAsia="zh-CN" w:bidi="ar-SA"/>
              </w:rPr>
            </w:pPr>
          </w:p>
        </w:tc>
        <w:tc>
          <w:tcPr>
            <w:tcW w:w="996" w:type="pct"/>
            <w:shd w:val="clear" w:color="auto" w:fill="auto"/>
            <w:noWrap/>
            <w:vAlign w:val="center"/>
          </w:tcPr>
          <w:p>
            <w:pPr>
              <w:ind w:firstLine="0"/>
              <w:jc w:val="center"/>
              <w:rPr>
                <w:rFonts w:ascii="宋体" w:hAnsi="宋体" w:cs="宋体"/>
                <w:color w:val="000000"/>
                <w:szCs w:val="24"/>
                <w:lang w:eastAsia="zh-CN" w:bidi="ar-SA"/>
              </w:rPr>
            </w:pPr>
          </w:p>
        </w:tc>
        <w:tc>
          <w:tcPr>
            <w:tcW w:w="390" w:type="pct"/>
            <w:shd w:val="clear" w:color="auto" w:fill="auto"/>
            <w:noWrap/>
            <w:vAlign w:val="center"/>
          </w:tcPr>
          <w:p>
            <w:pPr>
              <w:ind w:firstLine="0"/>
              <w:jc w:val="center"/>
              <w:rPr>
                <w:rFonts w:ascii="宋体" w:hAnsi="宋体" w:cs="宋体"/>
                <w:color w:val="000000"/>
                <w:szCs w:val="24"/>
                <w:lang w:eastAsia="zh-CN" w:bidi="ar-SA"/>
              </w:rPr>
            </w:pPr>
          </w:p>
        </w:tc>
        <w:tc>
          <w:tcPr>
            <w:tcW w:w="524" w:type="pct"/>
            <w:shd w:val="clear" w:color="auto" w:fill="auto"/>
            <w:noWrap/>
            <w:vAlign w:val="center"/>
          </w:tcPr>
          <w:p>
            <w:pPr>
              <w:ind w:firstLine="0"/>
              <w:jc w:val="center"/>
              <w:rPr>
                <w:rFonts w:ascii="宋体" w:hAnsi="宋体" w:cs="宋体"/>
                <w:color w:val="000000"/>
                <w:szCs w:val="24"/>
                <w:lang w:eastAsia="zh-CN" w:bidi="ar-SA"/>
              </w:rPr>
            </w:pPr>
          </w:p>
        </w:tc>
        <w:tc>
          <w:tcPr>
            <w:tcW w:w="659" w:type="pct"/>
            <w:shd w:val="clear" w:color="auto" w:fill="auto"/>
            <w:noWrap/>
            <w:vAlign w:val="center"/>
          </w:tcPr>
          <w:p>
            <w:pPr>
              <w:ind w:firstLine="0"/>
              <w:jc w:val="center"/>
              <w:rPr>
                <w:rFonts w:ascii="宋体" w:hAnsi="宋体" w:cs="宋体"/>
                <w:color w:val="000000"/>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390" w:type="pct"/>
            <w:shd w:val="clear" w:color="auto" w:fill="auto"/>
            <w:vAlign w:val="center"/>
          </w:tcPr>
          <w:p>
            <w:pPr>
              <w:ind w:firstLine="0"/>
              <w:jc w:val="center"/>
              <w:rPr>
                <w:rFonts w:hint="default" w:ascii="宋体" w:hAnsi="宋体" w:cs="宋体"/>
                <w:color w:val="000000"/>
                <w:szCs w:val="24"/>
                <w:lang w:val="en-US" w:eastAsia="zh-CN" w:bidi="ar-SA"/>
              </w:rPr>
            </w:pPr>
          </w:p>
        </w:tc>
        <w:tc>
          <w:tcPr>
            <w:tcW w:w="2039" w:type="pct"/>
            <w:shd w:val="clear" w:color="auto" w:fill="auto"/>
            <w:noWrap/>
            <w:vAlign w:val="center"/>
          </w:tcPr>
          <w:p>
            <w:pPr>
              <w:ind w:firstLine="0"/>
              <w:jc w:val="center"/>
              <w:rPr>
                <w:rFonts w:hint="eastAsia" w:ascii="宋体" w:hAnsi="宋体" w:cs="宋体"/>
                <w:color w:val="000000"/>
                <w:szCs w:val="24"/>
                <w:lang w:eastAsia="zh-CN" w:bidi="ar-SA"/>
              </w:rPr>
            </w:pPr>
          </w:p>
        </w:tc>
        <w:tc>
          <w:tcPr>
            <w:tcW w:w="996" w:type="pct"/>
            <w:shd w:val="clear" w:color="auto" w:fill="auto"/>
            <w:noWrap/>
            <w:vAlign w:val="center"/>
          </w:tcPr>
          <w:p>
            <w:pPr>
              <w:ind w:firstLine="0"/>
              <w:jc w:val="center"/>
              <w:rPr>
                <w:rFonts w:hint="default" w:ascii="宋体" w:hAnsi="宋体" w:cs="宋体"/>
                <w:color w:val="000000"/>
                <w:szCs w:val="24"/>
                <w:lang w:val="en-US" w:eastAsia="zh-CN" w:bidi="ar-SA"/>
              </w:rPr>
            </w:pPr>
          </w:p>
        </w:tc>
        <w:tc>
          <w:tcPr>
            <w:tcW w:w="390" w:type="pct"/>
            <w:shd w:val="clear" w:color="auto" w:fill="auto"/>
            <w:noWrap/>
            <w:vAlign w:val="center"/>
          </w:tcPr>
          <w:p>
            <w:pPr>
              <w:ind w:firstLine="0"/>
              <w:jc w:val="center"/>
              <w:rPr>
                <w:rFonts w:hint="default" w:ascii="宋体" w:hAnsi="宋体" w:cs="宋体"/>
                <w:color w:val="000000"/>
                <w:szCs w:val="24"/>
                <w:lang w:val="en-US" w:eastAsia="zh-CN" w:bidi="ar-SA"/>
              </w:rPr>
            </w:pPr>
          </w:p>
        </w:tc>
        <w:tc>
          <w:tcPr>
            <w:tcW w:w="524" w:type="pct"/>
            <w:shd w:val="clear" w:color="auto" w:fill="auto"/>
            <w:noWrap/>
            <w:vAlign w:val="center"/>
          </w:tcPr>
          <w:p>
            <w:pPr>
              <w:ind w:firstLine="0"/>
              <w:jc w:val="center"/>
              <w:rPr>
                <w:rFonts w:hint="default" w:ascii="宋体" w:hAnsi="宋体" w:cs="宋体"/>
                <w:color w:val="000000"/>
                <w:szCs w:val="24"/>
                <w:lang w:val="en-US" w:eastAsia="zh-CN" w:bidi="ar-SA"/>
              </w:rPr>
            </w:pPr>
          </w:p>
        </w:tc>
        <w:tc>
          <w:tcPr>
            <w:tcW w:w="659" w:type="pct"/>
            <w:shd w:val="clear" w:color="auto" w:fill="auto"/>
            <w:noWrap/>
            <w:vAlign w:val="center"/>
          </w:tcPr>
          <w:p>
            <w:pPr>
              <w:ind w:firstLine="0"/>
              <w:jc w:val="center"/>
              <w:rPr>
                <w:rFonts w:hint="default" w:ascii="宋体" w:hAnsi="宋体" w:cs="宋体"/>
                <w:color w:val="000000"/>
                <w:szCs w:val="24"/>
                <w:lang w:val="en-US" w:eastAsia="zh-CN" w:bidi="ar-SA"/>
              </w:rPr>
            </w:pPr>
          </w:p>
        </w:tc>
      </w:tr>
    </w:tbl>
    <w:p>
      <w:pPr>
        <w:ind w:firstLine="0"/>
        <w:jc w:val="center"/>
        <w:rPr>
          <w:rFonts w:ascii="宋体" w:hAnsi="宋体" w:cs="宋体"/>
          <w:szCs w:val="24"/>
          <w:lang w:eastAsia="zh-CN"/>
        </w:rPr>
      </w:pPr>
    </w:p>
    <w:p>
      <w:pPr>
        <w:pStyle w:val="11"/>
        <w:adjustRightInd w:val="0"/>
        <w:snapToGrid w:val="0"/>
        <w:spacing w:line="360" w:lineRule="auto"/>
        <w:ind w:firstLine="0" w:firstLineChars="0"/>
        <w:rPr>
          <w:rFonts w:ascii="宋体" w:hAnsi="宋体" w:eastAsia="宋体" w:cs="宋体"/>
          <w:b/>
          <w:sz w:val="24"/>
          <w:szCs w:val="24"/>
          <w:lang w:eastAsia="zh-CN"/>
        </w:rPr>
      </w:pPr>
      <w:r>
        <w:rPr>
          <w:rFonts w:hint="eastAsia" w:ascii="宋体" w:hAnsi="宋体" w:eastAsia="宋体" w:cs="宋体"/>
          <w:b/>
          <w:sz w:val="24"/>
          <w:szCs w:val="24"/>
          <w:lang w:eastAsia="zh-CN"/>
        </w:rPr>
        <w:t>注：上表为提审施工图数量，可能有2%左右偏差，具体以审定施工图量为准，供货需要按回路数供货。</w:t>
      </w:r>
    </w:p>
    <w:p>
      <w:pPr>
        <w:adjustRightInd w:val="0"/>
        <w:snapToGrid w:val="0"/>
        <w:spacing w:line="360" w:lineRule="auto"/>
        <w:jc w:val="center"/>
        <w:textAlignment w:val="baseline"/>
        <w:rPr>
          <w:rFonts w:ascii="宋体" w:hAnsi="宋体" w:cs="宋体"/>
          <w:szCs w:val="24"/>
          <w:lang w:eastAsia="zh-CN"/>
        </w:rPr>
      </w:pPr>
      <w:r>
        <w:rPr>
          <w:rFonts w:eastAsia="黑体"/>
          <w:b/>
          <w:sz w:val="36"/>
          <w:lang w:eastAsia="zh-CN"/>
        </w:rPr>
        <w:br w:type="page"/>
      </w:r>
      <w:bookmarkEnd w:id="0"/>
      <w:r>
        <w:rPr>
          <w:rFonts w:ascii="宋体" w:hAnsi="宋体" w:cs="宋体"/>
          <w:b/>
          <w:bCs/>
          <w:sz w:val="32"/>
          <w:szCs w:val="32"/>
          <w:lang w:eastAsia="zh-CN"/>
        </w:rPr>
        <w:t xml:space="preserve">目    </w:t>
      </w:r>
      <w:r>
        <w:rPr>
          <w:rFonts w:hint="eastAsia" w:ascii="宋体" w:hAnsi="宋体" w:cs="宋体"/>
          <w:b/>
          <w:bCs/>
          <w:sz w:val="32"/>
          <w:szCs w:val="32"/>
          <w:lang w:eastAsia="zh-CN"/>
        </w:rPr>
        <w:t>录</w:t>
      </w:r>
    </w:p>
    <w:p>
      <w:pPr>
        <w:pStyle w:val="6"/>
        <w:spacing w:line="360" w:lineRule="auto"/>
        <w:rPr>
          <w:rFonts w:ascii="宋体" w:hAnsi="宋体" w:cs="宋体"/>
          <w:kern w:val="2"/>
          <w:szCs w:val="24"/>
          <w:lang w:eastAsia="zh-CN" w:bidi="ar-SA"/>
        </w:rPr>
      </w:pPr>
      <w:r>
        <w:rPr>
          <w:rFonts w:ascii="宋体" w:hAnsi="宋体" w:cs="宋体"/>
          <w:szCs w:val="24"/>
        </w:rPr>
        <w:fldChar w:fldCharType="begin"/>
      </w:r>
      <w:r>
        <w:rPr>
          <w:rFonts w:ascii="宋体" w:hAnsi="宋体" w:cs="宋体"/>
          <w:szCs w:val="24"/>
        </w:rPr>
        <w:instrText xml:space="preserve"> TOC \o "1-3" \h \z \u </w:instrText>
      </w:r>
      <w:r>
        <w:rPr>
          <w:rFonts w:ascii="宋体" w:hAnsi="宋体" w:cs="宋体"/>
          <w:szCs w:val="24"/>
        </w:rPr>
        <w:fldChar w:fldCharType="separate"/>
      </w:r>
      <w:r>
        <w:rPr>
          <w:rStyle w:val="10"/>
          <w:rFonts w:ascii="宋体" w:hAnsi="宋体" w:cs="宋体"/>
          <w:szCs w:val="24"/>
        </w:rPr>
        <w:fldChar w:fldCharType="begin"/>
      </w:r>
      <w:r>
        <w:rPr>
          <w:rStyle w:val="10"/>
          <w:rFonts w:ascii="宋体" w:hAnsi="宋体" w:cs="宋体"/>
          <w:szCs w:val="24"/>
        </w:rPr>
        <w:instrText xml:space="preserve"> </w:instrText>
      </w:r>
      <w:r>
        <w:rPr>
          <w:rFonts w:ascii="宋体" w:hAnsi="宋体" w:cs="宋体"/>
          <w:szCs w:val="24"/>
        </w:rPr>
        <w:instrText xml:space="preserve">HYPERLINK \l "_Toc96010204"</w:instrText>
      </w:r>
      <w:r>
        <w:rPr>
          <w:rStyle w:val="10"/>
          <w:rFonts w:ascii="宋体" w:hAnsi="宋体" w:cs="宋体"/>
          <w:szCs w:val="24"/>
        </w:rPr>
        <w:instrText xml:space="preserve"> </w:instrText>
      </w:r>
      <w:r>
        <w:rPr>
          <w:rStyle w:val="10"/>
          <w:rFonts w:ascii="宋体" w:hAnsi="宋体" w:cs="宋体"/>
          <w:szCs w:val="24"/>
        </w:rPr>
        <w:fldChar w:fldCharType="separate"/>
      </w:r>
      <w:r>
        <w:rPr>
          <w:rStyle w:val="10"/>
          <w:rFonts w:ascii="宋体" w:hAnsi="宋体" w:cs="宋体"/>
          <w:szCs w:val="24"/>
        </w:rPr>
        <w:t>1. 总则</w:t>
      </w:r>
      <w:r>
        <w:rPr>
          <w:rFonts w:ascii="宋体" w:hAnsi="宋体" w:cs="宋体"/>
          <w:szCs w:val="24"/>
        </w:rPr>
        <w:tab/>
      </w:r>
      <w:r>
        <w:rPr>
          <w:rFonts w:ascii="宋体" w:hAnsi="宋体" w:cs="宋体"/>
          <w:szCs w:val="24"/>
        </w:rPr>
        <w:fldChar w:fldCharType="begin"/>
      </w:r>
      <w:r>
        <w:rPr>
          <w:rFonts w:ascii="宋体" w:hAnsi="宋体" w:cs="宋体"/>
          <w:szCs w:val="24"/>
        </w:rPr>
        <w:instrText xml:space="preserve"> PAGEREF _Toc96010204 \h </w:instrText>
      </w:r>
      <w:r>
        <w:rPr>
          <w:rFonts w:ascii="宋体" w:hAnsi="宋体" w:cs="宋体"/>
          <w:szCs w:val="24"/>
        </w:rPr>
        <w:fldChar w:fldCharType="separate"/>
      </w:r>
      <w:r>
        <w:rPr>
          <w:rFonts w:ascii="宋体" w:hAnsi="宋体" w:cs="宋体"/>
          <w:szCs w:val="24"/>
        </w:rPr>
        <w:t>3</w:t>
      </w:r>
      <w:r>
        <w:rPr>
          <w:rFonts w:ascii="宋体" w:hAnsi="宋体" w:cs="宋体"/>
          <w:szCs w:val="24"/>
        </w:rPr>
        <w:fldChar w:fldCharType="end"/>
      </w:r>
      <w:r>
        <w:rPr>
          <w:rStyle w:val="10"/>
          <w:rFonts w:ascii="宋体" w:hAnsi="宋体" w:cs="宋体"/>
          <w:szCs w:val="24"/>
        </w:rPr>
        <w:fldChar w:fldCharType="end"/>
      </w:r>
    </w:p>
    <w:p>
      <w:pPr>
        <w:pStyle w:val="6"/>
        <w:spacing w:line="360" w:lineRule="auto"/>
        <w:rPr>
          <w:rFonts w:ascii="宋体" w:hAnsi="宋体" w:cs="宋体"/>
          <w:kern w:val="2"/>
          <w:szCs w:val="24"/>
          <w:lang w:eastAsia="zh-CN" w:bidi="ar-SA"/>
        </w:rPr>
      </w:pPr>
      <w:r>
        <w:rPr>
          <w:rStyle w:val="10"/>
          <w:rFonts w:ascii="宋体" w:hAnsi="宋体" w:cs="宋体"/>
          <w:szCs w:val="24"/>
        </w:rPr>
        <w:fldChar w:fldCharType="begin"/>
      </w:r>
      <w:r>
        <w:rPr>
          <w:rStyle w:val="10"/>
          <w:rFonts w:ascii="宋体" w:hAnsi="宋体" w:cs="宋体"/>
          <w:szCs w:val="24"/>
        </w:rPr>
        <w:instrText xml:space="preserve"> </w:instrText>
      </w:r>
      <w:r>
        <w:rPr>
          <w:rFonts w:ascii="宋体" w:hAnsi="宋体" w:cs="宋体"/>
          <w:szCs w:val="24"/>
        </w:rPr>
        <w:instrText xml:space="preserve">HYPERLINK \l "_Toc96010205"</w:instrText>
      </w:r>
      <w:r>
        <w:rPr>
          <w:rStyle w:val="10"/>
          <w:rFonts w:ascii="宋体" w:hAnsi="宋体" w:cs="宋体"/>
          <w:szCs w:val="24"/>
        </w:rPr>
        <w:instrText xml:space="preserve"> </w:instrText>
      </w:r>
      <w:r>
        <w:rPr>
          <w:rStyle w:val="10"/>
          <w:rFonts w:ascii="宋体" w:hAnsi="宋体" w:cs="宋体"/>
          <w:szCs w:val="24"/>
        </w:rPr>
        <w:fldChar w:fldCharType="separate"/>
      </w:r>
      <w:r>
        <w:rPr>
          <w:rStyle w:val="10"/>
          <w:rFonts w:ascii="宋体" w:hAnsi="宋体" w:cs="宋体"/>
          <w:szCs w:val="24"/>
        </w:rPr>
        <w:t>2. 应遵循的主要标准</w:t>
      </w:r>
      <w:r>
        <w:rPr>
          <w:rFonts w:ascii="宋体" w:hAnsi="宋体" w:cs="宋体"/>
          <w:szCs w:val="24"/>
        </w:rPr>
        <w:tab/>
      </w:r>
      <w:r>
        <w:rPr>
          <w:rFonts w:ascii="宋体" w:hAnsi="宋体" w:cs="宋体"/>
          <w:szCs w:val="24"/>
        </w:rPr>
        <w:fldChar w:fldCharType="begin"/>
      </w:r>
      <w:r>
        <w:rPr>
          <w:rFonts w:ascii="宋体" w:hAnsi="宋体" w:cs="宋体"/>
          <w:szCs w:val="24"/>
        </w:rPr>
        <w:instrText xml:space="preserve"> PAGEREF _Toc96010205 \h </w:instrText>
      </w:r>
      <w:r>
        <w:rPr>
          <w:rFonts w:ascii="宋体" w:hAnsi="宋体" w:cs="宋体"/>
          <w:szCs w:val="24"/>
        </w:rPr>
        <w:fldChar w:fldCharType="separate"/>
      </w:r>
      <w:r>
        <w:rPr>
          <w:rFonts w:ascii="宋体" w:hAnsi="宋体" w:cs="宋体"/>
          <w:szCs w:val="24"/>
        </w:rPr>
        <w:t>3</w:t>
      </w:r>
      <w:r>
        <w:rPr>
          <w:rFonts w:ascii="宋体" w:hAnsi="宋体" w:cs="宋体"/>
          <w:szCs w:val="24"/>
        </w:rPr>
        <w:fldChar w:fldCharType="end"/>
      </w:r>
      <w:r>
        <w:rPr>
          <w:rStyle w:val="10"/>
          <w:rFonts w:ascii="宋体" w:hAnsi="宋体" w:cs="宋体"/>
          <w:szCs w:val="24"/>
        </w:rPr>
        <w:fldChar w:fldCharType="end"/>
      </w:r>
    </w:p>
    <w:p>
      <w:pPr>
        <w:pStyle w:val="6"/>
        <w:spacing w:line="360" w:lineRule="auto"/>
        <w:rPr>
          <w:rFonts w:ascii="宋体" w:hAnsi="宋体" w:cs="宋体"/>
          <w:kern w:val="2"/>
          <w:szCs w:val="24"/>
          <w:lang w:eastAsia="zh-CN" w:bidi="ar-SA"/>
        </w:rPr>
      </w:pPr>
      <w:r>
        <w:rPr>
          <w:rStyle w:val="10"/>
          <w:rFonts w:ascii="宋体" w:hAnsi="宋体" w:cs="宋体"/>
          <w:szCs w:val="24"/>
        </w:rPr>
        <w:fldChar w:fldCharType="begin"/>
      </w:r>
      <w:r>
        <w:rPr>
          <w:rStyle w:val="10"/>
          <w:rFonts w:ascii="宋体" w:hAnsi="宋体" w:cs="宋体"/>
          <w:szCs w:val="24"/>
        </w:rPr>
        <w:instrText xml:space="preserve"> </w:instrText>
      </w:r>
      <w:r>
        <w:rPr>
          <w:rFonts w:ascii="宋体" w:hAnsi="宋体" w:cs="宋体"/>
          <w:szCs w:val="24"/>
        </w:rPr>
        <w:instrText xml:space="preserve">HYPERLINK \l "_Toc96010206"</w:instrText>
      </w:r>
      <w:r>
        <w:rPr>
          <w:rStyle w:val="10"/>
          <w:rFonts w:ascii="宋体" w:hAnsi="宋体" w:cs="宋体"/>
          <w:szCs w:val="24"/>
        </w:rPr>
        <w:instrText xml:space="preserve"> </w:instrText>
      </w:r>
      <w:r>
        <w:rPr>
          <w:rStyle w:val="10"/>
          <w:rFonts w:ascii="宋体" w:hAnsi="宋体" w:cs="宋体"/>
          <w:szCs w:val="24"/>
        </w:rPr>
        <w:fldChar w:fldCharType="separate"/>
      </w:r>
      <w:r>
        <w:rPr>
          <w:rStyle w:val="10"/>
          <w:rFonts w:ascii="宋体" w:hAnsi="宋体" w:cs="宋体"/>
          <w:szCs w:val="24"/>
        </w:rPr>
        <w:t>3. 使用条件</w:t>
      </w:r>
      <w:r>
        <w:rPr>
          <w:rFonts w:ascii="宋体" w:hAnsi="宋体" w:cs="宋体"/>
          <w:szCs w:val="24"/>
        </w:rPr>
        <w:tab/>
      </w:r>
      <w:r>
        <w:rPr>
          <w:rFonts w:ascii="宋体" w:hAnsi="宋体" w:cs="宋体"/>
          <w:szCs w:val="24"/>
        </w:rPr>
        <w:fldChar w:fldCharType="begin"/>
      </w:r>
      <w:r>
        <w:rPr>
          <w:rFonts w:ascii="宋体" w:hAnsi="宋体" w:cs="宋体"/>
          <w:szCs w:val="24"/>
        </w:rPr>
        <w:instrText xml:space="preserve"> PAGEREF _Toc96010206 \h </w:instrText>
      </w:r>
      <w:r>
        <w:rPr>
          <w:rFonts w:ascii="宋体" w:hAnsi="宋体" w:cs="宋体"/>
          <w:szCs w:val="24"/>
        </w:rPr>
        <w:fldChar w:fldCharType="separate"/>
      </w:r>
      <w:r>
        <w:rPr>
          <w:rFonts w:ascii="宋体" w:hAnsi="宋体" w:cs="宋体"/>
          <w:szCs w:val="24"/>
        </w:rPr>
        <w:t>5</w:t>
      </w:r>
      <w:r>
        <w:rPr>
          <w:rFonts w:ascii="宋体" w:hAnsi="宋体" w:cs="宋体"/>
          <w:szCs w:val="24"/>
        </w:rPr>
        <w:fldChar w:fldCharType="end"/>
      </w:r>
      <w:r>
        <w:rPr>
          <w:rStyle w:val="10"/>
          <w:rFonts w:ascii="宋体" w:hAnsi="宋体" w:cs="宋体"/>
          <w:szCs w:val="24"/>
        </w:rPr>
        <w:fldChar w:fldCharType="end"/>
      </w:r>
    </w:p>
    <w:p>
      <w:pPr>
        <w:pStyle w:val="6"/>
        <w:spacing w:line="360" w:lineRule="auto"/>
        <w:rPr>
          <w:rFonts w:ascii="宋体" w:hAnsi="宋体" w:cs="宋体"/>
          <w:kern w:val="2"/>
          <w:szCs w:val="24"/>
          <w:lang w:eastAsia="zh-CN" w:bidi="ar-SA"/>
        </w:rPr>
      </w:pPr>
      <w:r>
        <w:rPr>
          <w:rStyle w:val="10"/>
          <w:rFonts w:ascii="宋体" w:hAnsi="宋体" w:cs="宋体"/>
          <w:szCs w:val="24"/>
        </w:rPr>
        <w:fldChar w:fldCharType="begin"/>
      </w:r>
      <w:r>
        <w:rPr>
          <w:rStyle w:val="10"/>
          <w:rFonts w:ascii="宋体" w:hAnsi="宋体" w:cs="宋体"/>
          <w:szCs w:val="24"/>
        </w:rPr>
        <w:instrText xml:space="preserve"> </w:instrText>
      </w:r>
      <w:r>
        <w:rPr>
          <w:rFonts w:ascii="宋体" w:hAnsi="宋体" w:cs="宋体"/>
          <w:szCs w:val="24"/>
        </w:rPr>
        <w:instrText xml:space="preserve">HYPERLINK \l "_Toc96010207"</w:instrText>
      </w:r>
      <w:r>
        <w:rPr>
          <w:rStyle w:val="10"/>
          <w:rFonts w:ascii="宋体" w:hAnsi="宋体" w:cs="宋体"/>
          <w:szCs w:val="24"/>
        </w:rPr>
        <w:instrText xml:space="preserve"> </w:instrText>
      </w:r>
      <w:r>
        <w:rPr>
          <w:rStyle w:val="10"/>
          <w:rFonts w:ascii="宋体" w:hAnsi="宋体" w:cs="宋体"/>
          <w:szCs w:val="24"/>
        </w:rPr>
        <w:fldChar w:fldCharType="separate"/>
      </w:r>
      <w:r>
        <w:rPr>
          <w:rStyle w:val="10"/>
          <w:rFonts w:ascii="宋体" w:hAnsi="宋体" w:cs="宋体"/>
          <w:szCs w:val="24"/>
        </w:rPr>
        <w:t>4. 技术要求</w:t>
      </w:r>
      <w:r>
        <w:rPr>
          <w:rFonts w:ascii="宋体" w:hAnsi="宋体" w:cs="宋体"/>
          <w:szCs w:val="24"/>
        </w:rPr>
        <w:tab/>
      </w:r>
      <w:r>
        <w:rPr>
          <w:rFonts w:ascii="宋体" w:hAnsi="宋体" w:cs="宋体"/>
          <w:szCs w:val="24"/>
        </w:rPr>
        <w:fldChar w:fldCharType="begin"/>
      </w:r>
      <w:r>
        <w:rPr>
          <w:rFonts w:ascii="宋体" w:hAnsi="宋体" w:cs="宋体"/>
          <w:szCs w:val="24"/>
        </w:rPr>
        <w:instrText xml:space="preserve"> PAGEREF _Toc96010207 \h </w:instrText>
      </w:r>
      <w:r>
        <w:rPr>
          <w:rFonts w:ascii="宋体" w:hAnsi="宋体" w:cs="宋体"/>
          <w:szCs w:val="24"/>
        </w:rPr>
        <w:fldChar w:fldCharType="separate"/>
      </w:r>
      <w:r>
        <w:rPr>
          <w:rFonts w:ascii="宋体" w:hAnsi="宋体" w:cs="宋体"/>
          <w:szCs w:val="24"/>
        </w:rPr>
        <w:t>6</w:t>
      </w:r>
      <w:r>
        <w:rPr>
          <w:rFonts w:ascii="宋体" w:hAnsi="宋体" w:cs="宋体"/>
          <w:szCs w:val="24"/>
        </w:rPr>
        <w:fldChar w:fldCharType="end"/>
      </w:r>
      <w:r>
        <w:rPr>
          <w:rStyle w:val="10"/>
          <w:rFonts w:ascii="宋体" w:hAnsi="宋体" w:cs="宋体"/>
          <w:szCs w:val="24"/>
        </w:rPr>
        <w:fldChar w:fldCharType="end"/>
      </w:r>
    </w:p>
    <w:p>
      <w:pPr>
        <w:pStyle w:val="6"/>
        <w:spacing w:line="360" w:lineRule="auto"/>
        <w:rPr>
          <w:rFonts w:ascii="宋体" w:hAnsi="宋体" w:cs="宋体"/>
          <w:kern w:val="2"/>
          <w:szCs w:val="24"/>
          <w:lang w:eastAsia="zh-CN" w:bidi="ar-SA"/>
        </w:rPr>
      </w:pPr>
      <w:r>
        <w:rPr>
          <w:rStyle w:val="10"/>
          <w:rFonts w:ascii="宋体" w:hAnsi="宋体" w:cs="宋体"/>
          <w:szCs w:val="24"/>
        </w:rPr>
        <w:fldChar w:fldCharType="begin"/>
      </w:r>
      <w:r>
        <w:rPr>
          <w:rStyle w:val="10"/>
          <w:rFonts w:ascii="宋体" w:hAnsi="宋体" w:cs="宋体"/>
          <w:szCs w:val="24"/>
        </w:rPr>
        <w:instrText xml:space="preserve"> </w:instrText>
      </w:r>
      <w:r>
        <w:rPr>
          <w:rFonts w:ascii="宋体" w:hAnsi="宋体" w:cs="宋体"/>
          <w:szCs w:val="24"/>
        </w:rPr>
        <w:instrText xml:space="preserve">HYPERLINK \l "_Toc96010208"</w:instrText>
      </w:r>
      <w:r>
        <w:rPr>
          <w:rStyle w:val="10"/>
          <w:rFonts w:ascii="宋体" w:hAnsi="宋体" w:cs="宋体"/>
          <w:szCs w:val="24"/>
        </w:rPr>
        <w:instrText xml:space="preserve"> </w:instrText>
      </w:r>
      <w:r>
        <w:rPr>
          <w:rStyle w:val="10"/>
          <w:rFonts w:ascii="宋体" w:hAnsi="宋体" w:cs="宋体"/>
          <w:szCs w:val="24"/>
        </w:rPr>
        <w:fldChar w:fldCharType="separate"/>
      </w:r>
      <w:r>
        <w:rPr>
          <w:rStyle w:val="10"/>
          <w:rFonts w:ascii="宋体" w:hAnsi="宋体" w:cs="宋体"/>
          <w:szCs w:val="24"/>
        </w:rPr>
        <w:t>5. 试验与验收</w:t>
      </w:r>
      <w:r>
        <w:rPr>
          <w:rFonts w:ascii="宋体" w:hAnsi="宋体" w:cs="宋体"/>
          <w:szCs w:val="24"/>
        </w:rPr>
        <w:tab/>
      </w:r>
      <w:r>
        <w:rPr>
          <w:rFonts w:ascii="宋体" w:hAnsi="宋体" w:cs="宋体"/>
          <w:szCs w:val="24"/>
        </w:rPr>
        <w:fldChar w:fldCharType="begin"/>
      </w:r>
      <w:r>
        <w:rPr>
          <w:rFonts w:ascii="宋体" w:hAnsi="宋体" w:cs="宋体"/>
          <w:szCs w:val="24"/>
        </w:rPr>
        <w:instrText xml:space="preserve"> PAGEREF _Toc96010208 \h </w:instrText>
      </w:r>
      <w:r>
        <w:rPr>
          <w:rFonts w:ascii="宋体" w:hAnsi="宋体" w:cs="宋体"/>
          <w:szCs w:val="24"/>
        </w:rPr>
        <w:fldChar w:fldCharType="separate"/>
      </w:r>
      <w:r>
        <w:rPr>
          <w:rFonts w:ascii="宋体" w:hAnsi="宋体" w:cs="宋体"/>
          <w:szCs w:val="24"/>
        </w:rPr>
        <w:t>9</w:t>
      </w:r>
      <w:r>
        <w:rPr>
          <w:rFonts w:ascii="宋体" w:hAnsi="宋体" w:cs="宋体"/>
          <w:szCs w:val="24"/>
        </w:rPr>
        <w:fldChar w:fldCharType="end"/>
      </w:r>
      <w:r>
        <w:rPr>
          <w:rStyle w:val="10"/>
          <w:rFonts w:ascii="宋体" w:hAnsi="宋体" w:cs="宋体"/>
          <w:szCs w:val="24"/>
        </w:rPr>
        <w:fldChar w:fldCharType="end"/>
      </w:r>
    </w:p>
    <w:p>
      <w:pPr>
        <w:pStyle w:val="6"/>
        <w:spacing w:line="360" w:lineRule="auto"/>
        <w:rPr>
          <w:rFonts w:ascii="宋体" w:hAnsi="宋体" w:cs="宋体"/>
          <w:kern w:val="2"/>
          <w:szCs w:val="24"/>
          <w:lang w:eastAsia="zh-CN" w:bidi="ar-SA"/>
        </w:rPr>
      </w:pPr>
      <w:r>
        <w:rPr>
          <w:rStyle w:val="10"/>
          <w:rFonts w:ascii="宋体" w:hAnsi="宋体" w:cs="宋体"/>
          <w:szCs w:val="24"/>
        </w:rPr>
        <w:fldChar w:fldCharType="begin"/>
      </w:r>
      <w:r>
        <w:rPr>
          <w:rStyle w:val="10"/>
          <w:rFonts w:ascii="宋体" w:hAnsi="宋体" w:cs="宋体"/>
          <w:szCs w:val="24"/>
        </w:rPr>
        <w:instrText xml:space="preserve"> </w:instrText>
      </w:r>
      <w:r>
        <w:rPr>
          <w:rFonts w:ascii="宋体" w:hAnsi="宋体" w:cs="宋体"/>
          <w:szCs w:val="24"/>
        </w:rPr>
        <w:instrText xml:space="preserve">HYPERLINK \l "_Toc96010209"</w:instrText>
      </w:r>
      <w:r>
        <w:rPr>
          <w:rStyle w:val="10"/>
          <w:rFonts w:ascii="宋体" w:hAnsi="宋体" w:cs="宋体"/>
          <w:szCs w:val="24"/>
        </w:rPr>
        <w:instrText xml:space="preserve"> </w:instrText>
      </w:r>
      <w:r>
        <w:rPr>
          <w:rStyle w:val="10"/>
          <w:rFonts w:ascii="宋体" w:hAnsi="宋体" w:cs="宋体"/>
          <w:szCs w:val="24"/>
        </w:rPr>
        <w:fldChar w:fldCharType="separate"/>
      </w:r>
      <w:r>
        <w:rPr>
          <w:rStyle w:val="10"/>
          <w:rFonts w:ascii="宋体" w:hAnsi="宋体" w:cs="宋体"/>
          <w:szCs w:val="24"/>
          <w:lang w:eastAsia="zh-CN"/>
        </w:rPr>
        <w:t>6. 包装、运输、贮存和质量保证</w:t>
      </w:r>
      <w:r>
        <w:rPr>
          <w:rFonts w:ascii="宋体" w:hAnsi="宋体" w:cs="宋体"/>
          <w:szCs w:val="24"/>
        </w:rPr>
        <w:tab/>
      </w:r>
      <w:r>
        <w:rPr>
          <w:rFonts w:ascii="宋体" w:hAnsi="宋体" w:cs="宋体"/>
          <w:szCs w:val="24"/>
        </w:rPr>
        <w:fldChar w:fldCharType="begin"/>
      </w:r>
      <w:r>
        <w:rPr>
          <w:rFonts w:ascii="宋体" w:hAnsi="宋体" w:cs="宋体"/>
          <w:szCs w:val="24"/>
        </w:rPr>
        <w:instrText xml:space="preserve"> PAGEREF _Toc96010209 \h </w:instrText>
      </w:r>
      <w:r>
        <w:rPr>
          <w:rFonts w:ascii="宋体" w:hAnsi="宋体" w:cs="宋体"/>
          <w:szCs w:val="24"/>
        </w:rPr>
        <w:fldChar w:fldCharType="separate"/>
      </w:r>
      <w:r>
        <w:rPr>
          <w:rFonts w:ascii="宋体" w:hAnsi="宋体" w:cs="宋体"/>
          <w:szCs w:val="24"/>
        </w:rPr>
        <w:t>12</w:t>
      </w:r>
      <w:r>
        <w:rPr>
          <w:rFonts w:ascii="宋体" w:hAnsi="宋体" w:cs="宋体"/>
          <w:szCs w:val="24"/>
        </w:rPr>
        <w:fldChar w:fldCharType="end"/>
      </w:r>
      <w:r>
        <w:rPr>
          <w:rStyle w:val="10"/>
          <w:rFonts w:ascii="宋体" w:hAnsi="宋体" w:cs="宋体"/>
          <w:szCs w:val="24"/>
        </w:rPr>
        <w:fldChar w:fldCharType="end"/>
      </w:r>
    </w:p>
    <w:p>
      <w:pPr>
        <w:pStyle w:val="6"/>
        <w:spacing w:line="360" w:lineRule="auto"/>
        <w:rPr>
          <w:rFonts w:ascii="宋体" w:hAnsi="宋体" w:cs="宋体"/>
          <w:kern w:val="2"/>
          <w:szCs w:val="24"/>
          <w:lang w:eastAsia="zh-CN" w:bidi="ar-SA"/>
        </w:rPr>
      </w:pPr>
      <w:r>
        <w:rPr>
          <w:rStyle w:val="10"/>
          <w:rFonts w:ascii="宋体" w:hAnsi="宋体" w:cs="宋体"/>
          <w:szCs w:val="24"/>
        </w:rPr>
        <w:fldChar w:fldCharType="begin"/>
      </w:r>
      <w:r>
        <w:rPr>
          <w:rStyle w:val="10"/>
          <w:rFonts w:ascii="宋体" w:hAnsi="宋体" w:cs="宋体"/>
          <w:szCs w:val="24"/>
        </w:rPr>
        <w:instrText xml:space="preserve"> </w:instrText>
      </w:r>
      <w:r>
        <w:rPr>
          <w:rFonts w:ascii="宋体" w:hAnsi="宋体" w:cs="宋体"/>
          <w:szCs w:val="24"/>
        </w:rPr>
        <w:instrText xml:space="preserve">HYPERLINK \l "_Toc96010210"</w:instrText>
      </w:r>
      <w:r>
        <w:rPr>
          <w:rStyle w:val="10"/>
          <w:rFonts w:ascii="宋体" w:hAnsi="宋体" w:cs="宋体"/>
          <w:szCs w:val="24"/>
        </w:rPr>
        <w:instrText xml:space="preserve"> </w:instrText>
      </w:r>
      <w:r>
        <w:rPr>
          <w:rStyle w:val="10"/>
          <w:rFonts w:ascii="宋体" w:hAnsi="宋体" w:cs="宋体"/>
          <w:szCs w:val="24"/>
        </w:rPr>
        <w:fldChar w:fldCharType="separate"/>
      </w:r>
      <w:r>
        <w:rPr>
          <w:rStyle w:val="10"/>
          <w:rFonts w:ascii="宋体" w:hAnsi="宋体" w:cs="宋体"/>
          <w:szCs w:val="24"/>
        </w:rPr>
        <w:t>7. 双方工作安排</w:t>
      </w:r>
      <w:r>
        <w:rPr>
          <w:rFonts w:ascii="宋体" w:hAnsi="宋体" w:cs="宋体"/>
          <w:szCs w:val="24"/>
        </w:rPr>
        <w:tab/>
      </w:r>
      <w:r>
        <w:rPr>
          <w:rFonts w:ascii="宋体" w:hAnsi="宋体" w:cs="宋体"/>
          <w:szCs w:val="24"/>
        </w:rPr>
        <w:fldChar w:fldCharType="begin"/>
      </w:r>
      <w:r>
        <w:rPr>
          <w:rFonts w:ascii="宋体" w:hAnsi="宋体" w:cs="宋体"/>
          <w:szCs w:val="24"/>
        </w:rPr>
        <w:instrText xml:space="preserve"> PAGEREF _Toc96010210 \h </w:instrText>
      </w:r>
      <w:r>
        <w:rPr>
          <w:rFonts w:ascii="宋体" w:hAnsi="宋体" w:cs="宋体"/>
          <w:szCs w:val="24"/>
        </w:rPr>
        <w:fldChar w:fldCharType="separate"/>
      </w:r>
      <w:r>
        <w:rPr>
          <w:rFonts w:ascii="宋体" w:hAnsi="宋体" w:cs="宋体"/>
          <w:szCs w:val="24"/>
        </w:rPr>
        <w:t>14</w:t>
      </w:r>
      <w:r>
        <w:rPr>
          <w:rFonts w:ascii="宋体" w:hAnsi="宋体" w:cs="宋体"/>
          <w:szCs w:val="24"/>
        </w:rPr>
        <w:fldChar w:fldCharType="end"/>
      </w:r>
      <w:r>
        <w:rPr>
          <w:rStyle w:val="10"/>
          <w:rFonts w:ascii="宋体" w:hAnsi="宋体" w:cs="宋体"/>
          <w:szCs w:val="24"/>
        </w:rPr>
        <w:fldChar w:fldCharType="end"/>
      </w:r>
    </w:p>
    <w:p>
      <w:pPr>
        <w:pStyle w:val="6"/>
        <w:spacing w:line="360" w:lineRule="auto"/>
        <w:rPr>
          <w:rFonts w:ascii="宋体" w:hAnsi="宋体" w:cs="宋体"/>
          <w:kern w:val="2"/>
          <w:szCs w:val="24"/>
          <w:lang w:eastAsia="zh-CN" w:bidi="ar-SA"/>
        </w:rPr>
      </w:pPr>
      <w:r>
        <w:rPr>
          <w:rStyle w:val="10"/>
          <w:rFonts w:ascii="宋体" w:hAnsi="宋体" w:cs="宋体"/>
          <w:szCs w:val="24"/>
        </w:rPr>
        <w:fldChar w:fldCharType="begin"/>
      </w:r>
      <w:r>
        <w:rPr>
          <w:rStyle w:val="10"/>
          <w:rFonts w:ascii="宋体" w:hAnsi="宋体" w:cs="宋体"/>
          <w:szCs w:val="24"/>
        </w:rPr>
        <w:instrText xml:space="preserve"> </w:instrText>
      </w:r>
      <w:r>
        <w:rPr>
          <w:rFonts w:ascii="宋体" w:hAnsi="宋体" w:cs="宋体"/>
          <w:szCs w:val="24"/>
        </w:rPr>
        <w:instrText xml:space="preserve">HYPERLINK \l "_Toc96010211"</w:instrText>
      </w:r>
      <w:r>
        <w:rPr>
          <w:rStyle w:val="10"/>
          <w:rFonts w:ascii="宋体" w:hAnsi="宋体" w:cs="宋体"/>
          <w:szCs w:val="24"/>
        </w:rPr>
        <w:instrText xml:space="preserve"> </w:instrText>
      </w:r>
      <w:r>
        <w:rPr>
          <w:rStyle w:val="10"/>
          <w:rFonts w:ascii="宋体" w:hAnsi="宋体" w:cs="宋体"/>
          <w:szCs w:val="24"/>
        </w:rPr>
        <w:fldChar w:fldCharType="separate"/>
      </w:r>
      <w:r>
        <w:rPr>
          <w:rStyle w:val="10"/>
          <w:rFonts w:ascii="宋体" w:hAnsi="宋体" w:cs="宋体"/>
          <w:szCs w:val="24"/>
        </w:rPr>
        <w:t>8. 订货范围</w:t>
      </w:r>
      <w:r>
        <w:rPr>
          <w:rFonts w:ascii="宋体" w:hAnsi="宋体" w:cs="宋体"/>
          <w:szCs w:val="24"/>
        </w:rPr>
        <w:tab/>
      </w:r>
      <w:r>
        <w:rPr>
          <w:rFonts w:ascii="宋体" w:hAnsi="宋体" w:cs="宋体"/>
          <w:szCs w:val="24"/>
        </w:rPr>
        <w:fldChar w:fldCharType="begin"/>
      </w:r>
      <w:r>
        <w:rPr>
          <w:rFonts w:ascii="宋体" w:hAnsi="宋体" w:cs="宋体"/>
          <w:szCs w:val="24"/>
        </w:rPr>
        <w:instrText xml:space="preserve"> PAGEREF _Toc96010211 \h </w:instrText>
      </w:r>
      <w:r>
        <w:rPr>
          <w:rFonts w:ascii="宋体" w:hAnsi="宋体" w:cs="宋体"/>
          <w:szCs w:val="24"/>
        </w:rPr>
        <w:fldChar w:fldCharType="separate"/>
      </w:r>
      <w:r>
        <w:rPr>
          <w:rFonts w:ascii="宋体" w:hAnsi="宋体" w:cs="宋体"/>
          <w:szCs w:val="24"/>
        </w:rPr>
        <w:t>16</w:t>
      </w:r>
      <w:r>
        <w:rPr>
          <w:rFonts w:ascii="宋体" w:hAnsi="宋体" w:cs="宋体"/>
          <w:szCs w:val="24"/>
        </w:rPr>
        <w:fldChar w:fldCharType="end"/>
      </w:r>
      <w:r>
        <w:rPr>
          <w:rStyle w:val="10"/>
          <w:rFonts w:ascii="宋体" w:hAnsi="宋体" w:cs="宋体"/>
          <w:szCs w:val="24"/>
        </w:rPr>
        <w:fldChar w:fldCharType="end"/>
      </w:r>
    </w:p>
    <w:p>
      <w:pPr>
        <w:pStyle w:val="6"/>
        <w:spacing w:line="360" w:lineRule="auto"/>
        <w:rPr>
          <w:rFonts w:ascii="宋体" w:hAnsi="宋体" w:cs="宋体"/>
          <w:kern w:val="2"/>
          <w:szCs w:val="24"/>
          <w:lang w:eastAsia="zh-CN" w:bidi="ar-SA"/>
        </w:rPr>
      </w:pPr>
      <w:r>
        <w:rPr>
          <w:rStyle w:val="10"/>
          <w:rFonts w:ascii="宋体" w:hAnsi="宋体" w:cs="宋体"/>
          <w:szCs w:val="24"/>
        </w:rPr>
        <w:fldChar w:fldCharType="begin"/>
      </w:r>
      <w:r>
        <w:rPr>
          <w:rStyle w:val="10"/>
          <w:rFonts w:ascii="宋体" w:hAnsi="宋体" w:cs="宋体"/>
          <w:szCs w:val="24"/>
        </w:rPr>
        <w:instrText xml:space="preserve"> </w:instrText>
      </w:r>
      <w:r>
        <w:rPr>
          <w:rFonts w:ascii="宋体" w:hAnsi="宋体" w:cs="宋体"/>
          <w:szCs w:val="24"/>
        </w:rPr>
        <w:instrText xml:space="preserve">HYPERLINK \l "_Toc96010212"</w:instrText>
      </w:r>
      <w:r>
        <w:rPr>
          <w:rStyle w:val="10"/>
          <w:rFonts w:ascii="宋体" w:hAnsi="宋体" w:cs="宋体"/>
          <w:szCs w:val="24"/>
        </w:rPr>
        <w:instrText xml:space="preserve"> </w:instrText>
      </w:r>
      <w:r>
        <w:rPr>
          <w:rStyle w:val="10"/>
          <w:rFonts w:ascii="宋体" w:hAnsi="宋体" w:cs="宋体"/>
          <w:szCs w:val="24"/>
        </w:rPr>
        <w:fldChar w:fldCharType="separate"/>
      </w:r>
      <w:r>
        <w:rPr>
          <w:rStyle w:val="10"/>
          <w:rFonts w:hint="eastAsia" w:ascii="宋体" w:hAnsi="宋体" w:cs="宋体"/>
          <w:szCs w:val="24"/>
          <w:lang w:eastAsia="zh-CN"/>
        </w:rPr>
        <w:t>附表二</w:t>
      </w:r>
      <w:r>
        <w:rPr>
          <w:rStyle w:val="10"/>
          <w:rFonts w:ascii="宋体" w:hAnsi="宋体" w:cs="宋体"/>
          <w:szCs w:val="24"/>
          <w:lang w:eastAsia="zh-CN"/>
        </w:rPr>
        <w:t xml:space="preserve">  </w:t>
      </w:r>
      <w:r>
        <w:rPr>
          <w:rStyle w:val="10"/>
          <w:rFonts w:hint="eastAsia" w:ascii="宋体" w:hAnsi="宋体" w:cs="宋体"/>
          <w:szCs w:val="24"/>
          <w:lang w:eastAsia="zh-CN"/>
        </w:rPr>
        <w:t>技术性能偏差表</w:t>
      </w:r>
      <w:r>
        <w:rPr>
          <w:rFonts w:ascii="宋体" w:hAnsi="宋体" w:cs="宋体"/>
          <w:szCs w:val="24"/>
        </w:rPr>
        <w:tab/>
      </w:r>
      <w:r>
        <w:rPr>
          <w:rFonts w:ascii="宋体" w:hAnsi="宋体" w:cs="宋体"/>
          <w:szCs w:val="24"/>
        </w:rPr>
        <w:fldChar w:fldCharType="begin"/>
      </w:r>
      <w:r>
        <w:rPr>
          <w:rFonts w:ascii="宋体" w:hAnsi="宋体" w:cs="宋体"/>
          <w:szCs w:val="24"/>
        </w:rPr>
        <w:instrText xml:space="preserve"> PAGEREF _Toc96010212 \h </w:instrText>
      </w:r>
      <w:r>
        <w:rPr>
          <w:rFonts w:ascii="宋体" w:hAnsi="宋体" w:cs="宋体"/>
          <w:szCs w:val="24"/>
        </w:rPr>
        <w:fldChar w:fldCharType="separate"/>
      </w:r>
      <w:r>
        <w:rPr>
          <w:rFonts w:ascii="宋体" w:hAnsi="宋体" w:cs="宋体"/>
          <w:szCs w:val="24"/>
        </w:rPr>
        <w:t>18</w:t>
      </w:r>
      <w:r>
        <w:rPr>
          <w:rFonts w:ascii="宋体" w:hAnsi="宋体" w:cs="宋体"/>
          <w:szCs w:val="24"/>
        </w:rPr>
        <w:fldChar w:fldCharType="end"/>
      </w:r>
      <w:r>
        <w:rPr>
          <w:rStyle w:val="10"/>
          <w:rFonts w:ascii="宋体" w:hAnsi="宋体" w:cs="宋体"/>
          <w:szCs w:val="24"/>
        </w:rPr>
        <w:fldChar w:fldCharType="end"/>
      </w:r>
    </w:p>
    <w:p>
      <w:pPr>
        <w:pStyle w:val="6"/>
        <w:spacing w:line="360" w:lineRule="auto"/>
        <w:rPr>
          <w:rFonts w:ascii="宋体" w:hAnsi="宋体" w:cs="宋体"/>
          <w:kern w:val="2"/>
          <w:szCs w:val="24"/>
          <w:lang w:eastAsia="zh-CN" w:bidi="ar-SA"/>
        </w:rPr>
      </w:pPr>
      <w:r>
        <w:rPr>
          <w:rStyle w:val="10"/>
          <w:rFonts w:ascii="宋体" w:hAnsi="宋体" w:cs="宋体"/>
          <w:szCs w:val="24"/>
        </w:rPr>
        <w:fldChar w:fldCharType="begin"/>
      </w:r>
      <w:r>
        <w:rPr>
          <w:rStyle w:val="10"/>
          <w:rFonts w:ascii="宋体" w:hAnsi="宋体" w:cs="宋体"/>
          <w:szCs w:val="24"/>
        </w:rPr>
        <w:instrText xml:space="preserve"> </w:instrText>
      </w:r>
      <w:r>
        <w:rPr>
          <w:rFonts w:ascii="宋体" w:hAnsi="宋体" w:cs="宋体"/>
          <w:szCs w:val="24"/>
        </w:rPr>
        <w:instrText xml:space="preserve">HYPERLINK \l "_Toc96010213"</w:instrText>
      </w:r>
      <w:r>
        <w:rPr>
          <w:rStyle w:val="10"/>
          <w:rFonts w:ascii="宋体" w:hAnsi="宋体" w:cs="宋体"/>
          <w:szCs w:val="24"/>
        </w:rPr>
        <w:instrText xml:space="preserve"> </w:instrText>
      </w:r>
      <w:r>
        <w:rPr>
          <w:rStyle w:val="10"/>
          <w:rFonts w:ascii="宋体" w:hAnsi="宋体" w:cs="宋体"/>
          <w:szCs w:val="24"/>
        </w:rPr>
        <w:fldChar w:fldCharType="separate"/>
      </w:r>
      <w:r>
        <w:rPr>
          <w:rStyle w:val="10"/>
          <w:rFonts w:hint="eastAsia" w:ascii="宋体" w:hAnsi="宋体" w:cs="宋体"/>
          <w:szCs w:val="24"/>
          <w:lang w:eastAsia="zh-CN"/>
        </w:rPr>
        <w:t>附表三</w:t>
      </w:r>
      <w:r>
        <w:rPr>
          <w:rStyle w:val="10"/>
          <w:rFonts w:ascii="宋体" w:hAnsi="宋体" w:cs="宋体"/>
          <w:szCs w:val="24"/>
          <w:lang w:eastAsia="zh-CN"/>
        </w:rPr>
        <w:t xml:space="preserve">  </w:t>
      </w:r>
      <w:r>
        <w:rPr>
          <w:rStyle w:val="10"/>
          <w:rFonts w:hint="eastAsia" w:ascii="宋体" w:hAnsi="宋体" w:cs="宋体"/>
          <w:szCs w:val="24"/>
          <w:lang w:eastAsia="zh-CN"/>
        </w:rPr>
        <w:t>备品备件、维护工具和仪器清单</w:t>
      </w:r>
      <w:r>
        <w:rPr>
          <w:rFonts w:ascii="宋体" w:hAnsi="宋体" w:cs="宋体"/>
          <w:szCs w:val="24"/>
        </w:rPr>
        <w:tab/>
      </w:r>
      <w:r>
        <w:rPr>
          <w:rFonts w:ascii="宋体" w:hAnsi="宋体" w:cs="宋体"/>
          <w:szCs w:val="24"/>
        </w:rPr>
        <w:fldChar w:fldCharType="begin"/>
      </w:r>
      <w:r>
        <w:rPr>
          <w:rFonts w:ascii="宋体" w:hAnsi="宋体" w:cs="宋体"/>
          <w:szCs w:val="24"/>
        </w:rPr>
        <w:instrText xml:space="preserve"> PAGEREF _Toc96010213 \h </w:instrText>
      </w:r>
      <w:r>
        <w:rPr>
          <w:rFonts w:ascii="宋体" w:hAnsi="宋体" w:cs="宋体"/>
          <w:szCs w:val="24"/>
        </w:rPr>
        <w:fldChar w:fldCharType="separate"/>
      </w:r>
      <w:r>
        <w:rPr>
          <w:rFonts w:ascii="宋体" w:hAnsi="宋体" w:cs="宋体"/>
          <w:szCs w:val="24"/>
        </w:rPr>
        <w:t>19</w:t>
      </w:r>
      <w:r>
        <w:rPr>
          <w:rFonts w:ascii="宋体" w:hAnsi="宋体" w:cs="宋体"/>
          <w:szCs w:val="24"/>
        </w:rPr>
        <w:fldChar w:fldCharType="end"/>
      </w:r>
      <w:r>
        <w:rPr>
          <w:rStyle w:val="10"/>
          <w:rFonts w:ascii="宋体" w:hAnsi="宋体" w:cs="宋体"/>
          <w:szCs w:val="24"/>
        </w:rPr>
        <w:fldChar w:fldCharType="end"/>
      </w:r>
    </w:p>
    <w:p>
      <w:pPr>
        <w:pStyle w:val="6"/>
        <w:spacing w:line="360" w:lineRule="auto"/>
        <w:rPr>
          <w:rFonts w:ascii="宋体" w:hAnsi="宋体" w:cs="宋体"/>
          <w:kern w:val="2"/>
          <w:szCs w:val="24"/>
          <w:lang w:eastAsia="zh-CN" w:bidi="ar-SA"/>
        </w:rPr>
      </w:pPr>
      <w:r>
        <w:rPr>
          <w:rStyle w:val="10"/>
          <w:rFonts w:ascii="宋体" w:hAnsi="宋体" w:cs="宋体"/>
          <w:szCs w:val="24"/>
        </w:rPr>
        <w:fldChar w:fldCharType="begin"/>
      </w:r>
      <w:r>
        <w:rPr>
          <w:rStyle w:val="10"/>
          <w:rFonts w:ascii="宋体" w:hAnsi="宋体" w:cs="宋体"/>
          <w:szCs w:val="24"/>
        </w:rPr>
        <w:instrText xml:space="preserve"> </w:instrText>
      </w:r>
      <w:r>
        <w:rPr>
          <w:rFonts w:ascii="宋体" w:hAnsi="宋体" w:cs="宋体"/>
          <w:szCs w:val="24"/>
        </w:rPr>
        <w:instrText xml:space="preserve">HYPERLINK \l "_Toc96010214"</w:instrText>
      </w:r>
      <w:r>
        <w:rPr>
          <w:rStyle w:val="10"/>
          <w:rFonts w:ascii="宋体" w:hAnsi="宋体" w:cs="宋体"/>
          <w:szCs w:val="24"/>
        </w:rPr>
        <w:instrText xml:space="preserve"> </w:instrText>
      </w:r>
      <w:r>
        <w:rPr>
          <w:rStyle w:val="10"/>
          <w:rFonts w:ascii="宋体" w:hAnsi="宋体" w:cs="宋体"/>
          <w:szCs w:val="24"/>
        </w:rPr>
        <w:fldChar w:fldCharType="separate"/>
      </w:r>
      <w:r>
        <w:rPr>
          <w:rStyle w:val="10"/>
          <w:rFonts w:hint="eastAsia" w:ascii="宋体" w:hAnsi="宋体" w:cs="宋体"/>
          <w:szCs w:val="24"/>
          <w:lang w:eastAsia="zh-CN"/>
        </w:rPr>
        <w:t>附表四</w:t>
      </w:r>
      <w:r>
        <w:rPr>
          <w:rStyle w:val="10"/>
          <w:rFonts w:ascii="宋体" w:hAnsi="宋体" w:cs="宋体"/>
          <w:szCs w:val="24"/>
          <w:lang w:eastAsia="zh-CN"/>
        </w:rPr>
        <w:t xml:space="preserve">  </w:t>
      </w:r>
      <w:r>
        <w:rPr>
          <w:rStyle w:val="10"/>
          <w:rFonts w:hint="eastAsia" w:ascii="宋体" w:hAnsi="宋体" w:cs="宋体"/>
          <w:szCs w:val="24"/>
          <w:lang w:eastAsia="zh-CN"/>
        </w:rPr>
        <w:t>专用工具清单</w:t>
      </w:r>
      <w:r>
        <w:rPr>
          <w:rFonts w:ascii="宋体" w:hAnsi="宋体" w:cs="宋体"/>
          <w:szCs w:val="24"/>
        </w:rPr>
        <w:tab/>
      </w:r>
      <w:r>
        <w:rPr>
          <w:rFonts w:ascii="宋体" w:hAnsi="宋体" w:cs="宋体"/>
          <w:szCs w:val="24"/>
        </w:rPr>
        <w:fldChar w:fldCharType="begin"/>
      </w:r>
      <w:r>
        <w:rPr>
          <w:rFonts w:ascii="宋体" w:hAnsi="宋体" w:cs="宋体"/>
          <w:szCs w:val="24"/>
        </w:rPr>
        <w:instrText xml:space="preserve"> PAGEREF _Toc96010214 \h </w:instrText>
      </w:r>
      <w:r>
        <w:rPr>
          <w:rFonts w:ascii="宋体" w:hAnsi="宋体" w:cs="宋体"/>
          <w:szCs w:val="24"/>
        </w:rPr>
        <w:fldChar w:fldCharType="separate"/>
      </w:r>
      <w:r>
        <w:rPr>
          <w:rFonts w:ascii="宋体" w:hAnsi="宋体" w:cs="宋体"/>
          <w:szCs w:val="24"/>
        </w:rPr>
        <w:t>20</w:t>
      </w:r>
      <w:r>
        <w:rPr>
          <w:rFonts w:ascii="宋体" w:hAnsi="宋体" w:cs="宋体"/>
          <w:szCs w:val="24"/>
        </w:rPr>
        <w:fldChar w:fldCharType="end"/>
      </w:r>
      <w:r>
        <w:rPr>
          <w:rStyle w:val="10"/>
          <w:rFonts w:ascii="宋体" w:hAnsi="宋体" w:cs="宋体"/>
          <w:szCs w:val="24"/>
        </w:rPr>
        <w:fldChar w:fldCharType="end"/>
      </w:r>
    </w:p>
    <w:p>
      <w:pPr>
        <w:spacing w:line="360" w:lineRule="auto"/>
        <w:jc w:val="center"/>
      </w:pPr>
      <w:r>
        <w:rPr>
          <w:rFonts w:ascii="宋体" w:hAnsi="宋体" w:cs="宋体"/>
          <w:szCs w:val="24"/>
          <w:lang w:val="zh-CN"/>
        </w:rPr>
        <w:fldChar w:fldCharType="end"/>
      </w:r>
    </w:p>
    <w:p>
      <w:pPr>
        <w:adjustRightInd w:val="0"/>
        <w:snapToGrid w:val="0"/>
        <w:spacing w:line="480" w:lineRule="atLeast"/>
        <w:textAlignment w:val="baseline"/>
        <w:rPr>
          <w:rFonts w:ascii="宋体" w:hAnsi="宋体"/>
        </w:rPr>
        <w:sectPr>
          <w:footerReference r:id="rId7" w:type="first"/>
          <w:headerReference r:id="rId3" w:type="default"/>
          <w:footerReference r:id="rId5" w:type="default"/>
          <w:headerReference r:id="rId4" w:type="even"/>
          <w:footerReference r:id="rId6" w:type="even"/>
          <w:pgSz w:w="11906" w:h="16838"/>
          <w:pgMar w:top="1701" w:right="1304" w:bottom="1418" w:left="1304" w:header="851" w:footer="992" w:gutter="0"/>
          <w:pgNumType w:start="0"/>
          <w:cols w:space="720" w:num="1"/>
          <w:docGrid w:linePitch="312" w:charSpace="0"/>
        </w:sectPr>
      </w:pPr>
    </w:p>
    <w:p>
      <w:pPr>
        <w:numPr>
          <w:ilvl w:val="0"/>
          <w:numId w:val="1"/>
        </w:numPr>
        <w:adjustRightInd w:val="0"/>
        <w:snapToGrid w:val="0"/>
        <w:spacing w:line="480" w:lineRule="atLeast"/>
        <w:textAlignment w:val="baseline"/>
        <w:outlineLvl w:val="0"/>
        <w:rPr>
          <w:rFonts w:ascii="宋体" w:hAnsi="宋体"/>
          <w:b/>
        </w:rPr>
      </w:pPr>
      <w:bookmarkStart w:id="1" w:name="_Toc96010204"/>
      <w:bookmarkStart w:id="2" w:name="_Toc346270634"/>
      <w:r>
        <w:rPr>
          <w:rFonts w:ascii="宋体" w:hAnsi="宋体"/>
          <w:b/>
        </w:rPr>
        <w:t>总则</w:t>
      </w:r>
      <w:bookmarkEnd w:id="1"/>
      <w:bookmarkEnd w:id="2"/>
    </w:p>
    <w:p>
      <w:pPr>
        <w:numPr>
          <w:ilvl w:val="0"/>
          <w:numId w:val="2"/>
        </w:numPr>
        <w:adjustRightInd w:val="0"/>
        <w:snapToGrid w:val="0"/>
        <w:spacing w:line="480" w:lineRule="atLeast"/>
        <w:rPr>
          <w:rFonts w:ascii="宋体" w:hAnsi="宋体"/>
          <w:lang w:eastAsia="zh-CN"/>
        </w:rPr>
      </w:pPr>
      <w:r>
        <w:rPr>
          <w:rFonts w:ascii="宋体" w:hAnsi="宋体"/>
          <w:lang w:eastAsia="zh-CN"/>
        </w:rPr>
        <w:t>本</w:t>
      </w:r>
      <w:r>
        <w:rPr>
          <w:rFonts w:hint="eastAsia" w:ascii="宋体" w:hAnsi="宋体"/>
          <w:lang w:eastAsia="zh-CN"/>
        </w:rPr>
        <w:t>招标技术文件</w:t>
      </w:r>
      <w:r>
        <w:rPr>
          <w:rFonts w:ascii="宋体" w:hAnsi="宋体"/>
          <w:lang w:eastAsia="zh-CN"/>
        </w:rPr>
        <w:t>适用于</w:t>
      </w:r>
      <w:r>
        <w:rPr>
          <w:rFonts w:hint="eastAsia" w:ascii="宋体" w:hAnsi="宋体"/>
          <w:lang w:eastAsia="zh-CN"/>
        </w:rPr>
        <w:t>110</w:t>
      </w:r>
      <w:r>
        <w:rPr>
          <w:lang w:eastAsia="zh-CN"/>
        </w:rPr>
        <w:t>~</w:t>
      </w:r>
      <w:r>
        <w:rPr>
          <w:rFonts w:hint="eastAsia" w:ascii="宋体" w:hAnsi="宋体"/>
          <w:lang w:eastAsia="zh-CN"/>
        </w:rPr>
        <w:t>500kV光纤复合架空地线（</w:t>
      </w:r>
      <w:r>
        <w:rPr>
          <w:rFonts w:hint="eastAsia"/>
          <w:lang w:eastAsia="zh-CN"/>
        </w:rPr>
        <w:t>OPGW）及导引光缆、金具</w:t>
      </w:r>
      <w:r>
        <w:rPr>
          <w:lang w:eastAsia="zh-CN"/>
        </w:rPr>
        <w:t>的使用条件、技术要求、试验方法、检验规则、标志及包装</w:t>
      </w:r>
      <w:r>
        <w:rPr>
          <w:rFonts w:hint="eastAsia" w:ascii="宋体" w:hAnsi="宋体"/>
          <w:lang w:eastAsia="zh-CN"/>
        </w:rPr>
        <w:t>等方面的技术要求。</w:t>
      </w:r>
    </w:p>
    <w:p>
      <w:pPr>
        <w:numPr>
          <w:ilvl w:val="0"/>
          <w:numId w:val="2"/>
        </w:numPr>
        <w:adjustRightInd w:val="0"/>
        <w:snapToGrid w:val="0"/>
        <w:spacing w:line="480" w:lineRule="atLeast"/>
        <w:rPr>
          <w:rFonts w:ascii="宋体" w:hAnsi="宋体"/>
          <w:lang w:eastAsia="zh-CN"/>
        </w:rPr>
      </w:pPr>
      <w:r>
        <w:rPr>
          <w:rFonts w:ascii="宋体" w:hAnsi="宋体"/>
          <w:lang w:eastAsia="zh-CN"/>
        </w:rPr>
        <w:t>本</w:t>
      </w:r>
      <w:r>
        <w:rPr>
          <w:rFonts w:hint="eastAsia" w:ascii="宋体" w:hAnsi="宋体"/>
          <w:lang w:eastAsia="zh-CN"/>
        </w:rPr>
        <w:t>次设备</w:t>
      </w:r>
      <w:r>
        <w:rPr>
          <w:rFonts w:ascii="宋体" w:hAnsi="宋体"/>
          <w:lang w:eastAsia="zh-CN"/>
        </w:rPr>
        <w:t>招标</w:t>
      </w:r>
      <w:r>
        <w:rPr>
          <w:rFonts w:hint="eastAsia" w:ascii="宋体" w:hAnsi="宋体"/>
          <w:lang w:eastAsia="zh-CN"/>
        </w:rPr>
        <w:t>范围只包括光纤复合架空地线（OPGW）、导引光缆及其技术督导服务，主设备包括光纤复合架空地线（OPGW）及导引光缆(指变电站进站光缆)，清册见物资定货范围；分省公司根据招标结果采购以上主设备，并根据主设备技术要求及项目设计要求完成项目施工、集成招标采购，以及接续盒、</w:t>
      </w:r>
      <w:r>
        <w:rPr>
          <w:rFonts w:hint="eastAsia" w:ascii="宋体" w:hAnsi="宋体"/>
          <w:szCs w:val="24"/>
          <w:lang w:eastAsia="zh-CN"/>
        </w:rPr>
        <w:t>余缆架</w:t>
      </w:r>
      <w:r>
        <w:rPr>
          <w:rFonts w:hint="eastAsia" w:ascii="宋体" w:hAnsi="宋体"/>
          <w:lang w:eastAsia="zh-CN"/>
        </w:rPr>
        <w:t>、</w:t>
      </w:r>
      <w:r>
        <w:rPr>
          <w:rFonts w:hint="eastAsia" w:ascii="宋体" w:hAnsi="宋体"/>
          <w:szCs w:val="24"/>
          <w:lang w:eastAsia="zh-CN"/>
        </w:rPr>
        <w:t>引下线夹</w:t>
      </w:r>
      <w:r>
        <w:rPr>
          <w:rFonts w:hint="eastAsia" w:ascii="宋体" w:hAnsi="宋体"/>
          <w:lang w:eastAsia="zh-CN"/>
        </w:rPr>
        <w:t>、金具等其他辅材料招标采购。</w:t>
      </w:r>
    </w:p>
    <w:p>
      <w:pPr>
        <w:numPr>
          <w:ilvl w:val="0"/>
          <w:numId w:val="2"/>
        </w:numPr>
        <w:adjustRightInd w:val="0"/>
        <w:snapToGrid w:val="0"/>
        <w:spacing w:line="480" w:lineRule="atLeast"/>
        <w:rPr>
          <w:rFonts w:ascii="宋体" w:hAnsi="宋体"/>
          <w:lang w:eastAsia="zh-CN"/>
        </w:rPr>
      </w:pPr>
      <w:r>
        <w:rPr>
          <w:rFonts w:ascii="宋体" w:hAnsi="宋体"/>
          <w:lang w:eastAsia="zh-CN"/>
        </w:rPr>
        <w:t>投标方</w:t>
      </w:r>
      <w:r>
        <w:rPr>
          <w:rFonts w:hint="eastAsia" w:ascii="宋体" w:hAnsi="宋体"/>
          <w:lang w:eastAsia="zh-CN"/>
        </w:rPr>
        <w:t>提供的光纤复合架空地线（</w:t>
      </w:r>
      <w:r>
        <w:rPr>
          <w:rFonts w:hint="eastAsia"/>
          <w:lang w:eastAsia="zh-CN"/>
        </w:rPr>
        <w:t>OPGW）及导引光缆、金具</w:t>
      </w:r>
      <w:r>
        <w:rPr>
          <w:rFonts w:hint="eastAsia" w:ascii="宋体" w:hAnsi="宋体"/>
          <w:lang w:eastAsia="zh-CN"/>
        </w:rPr>
        <w:t>必须提供国家认证或国际权威认证的检测机构出具的检测报告。</w:t>
      </w:r>
    </w:p>
    <w:p>
      <w:pPr>
        <w:numPr>
          <w:ilvl w:val="0"/>
          <w:numId w:val="2"/>
        </w:numPr>
        <w:adjustRightInd w:val="0"/>
        <w:snapToGrid w:val="0"/>
        <w:spacing w:line="480" w:lineRule="atLeast"/>
        <w:rPr>
          <w:rFonts w:ascii="宋体" w:hAnsi="宋体"/>
          <w:lang w:eastAsia="zh-CN"/>
        </w:rPr>
      </w:pPr>
      <w:r>
        <w:rPr>
          <w:rFonts w:hint="eastAsia" w:ascii="宋体" w:hAnsi="宋体"/>
          <w:lang w:eastAsia="zh-CN"/>
        </w:rPr>
        <w:t>本招标技术文件提出的是最低限度的技术要求,</w:t>
      </w:r>
      <w:r>
        <w:rPr>
          <w:rFonts w:ascii="宋体" w:hAnsi="宋体"/>
          <w:lang w:eastAsia="zh-CN"/>
        </w:rPr>
        <w:t>并未对一切技术细节作出规定，也未充分引述有关标准和规范的条文，投标方应提供符合本招标技术文件</w:t>
      </w:r>
      <w:bookmarkStart w:id="3" w:name="OLE_LINK1"/>
      <w:bookmarkStart w:id="4" w:name="OLE_LINK2"/>
      <w:r>
        <w:rPr>
          <w:rFonts w:hint="eastAsia" w:ascii="宋体" w:hAnsi="宋体"/>
          <w:lang w:eastAsia="zh-CN"/>
        </w:rPr>
        <w:t>及本招标技术文件引用的国家标准和行业标准</w:t>
      </w:r>
      <w:bookmarkEnd w:id="3"/>
      <w:bookmarkEnd w:id="4"/>
      <w:r>
        <w:rPr>
          <w:rFonts w:ascii="宋体" w:hAnsi="宋体"/>
          <w:lang w:eastAsia="zh-CN"/>
        </w:rPr>
        <w:t>的优质产品</w:t>
      </w:r>
      <w:r>
        <w:rPr>
          <w:rFonts w:hint="eastAsia" w:ascii="宋体" w:hAnsi="宋体"/>
          <w:lang w:eastAsia="zh-CN"/>
        </w:rPr>
        <w:t>。</w:t>
      </w:r>
    </w:p>
    <w:p>
      <w:pPr>
        <w:numPr>
          <w:ilvl w:val="0"/>
          <w:numId w:val="2"/>
        </w:numPr>
        <w:adjustRightInd w:val="0"/>
        <w:snapToGrid w:val="0"/>
        <w:spacing w:line="480" w:lineRule="atLeast"/>
        <w:rPr>
          <w:rFonts w:ascii="宋体" w:hAnsi="宋体"/>
          <w:lang w:eastAsia="zh-CN"/>
        </w:rPr>
      </w:pPr>
      <w:r>
        <w:rPr>
          <w:rFonts w:ascii="宋体" w:hAnsi="宋体"/>
          <w:lang w:eastAsia="zh-CN"/>
        </w:rPr>
        <w:t>如果投标方没有以书面形式对本标书的条文提出异议，则意味着投标方提供的设备完全符合本标书的要求。如有异议，不管是多么微小，都应在报价书中以“对标书的意见和同标书的差异”为标题的专门章节中加以详细描述。</w:t>
      </w:r>
    </w:p>
    <w:p>
      <w:pPr>
        <w:numPr>
          <w:ilvl w:val="0"/>
          <w:numId w:val="2"/>
        </w:numPr>
        <w:adjustRightInd w:val="0"/>
        <w:snapToGrid w:val="0"/>
        <w:spacing w:line="480" w:lineRule="atLeast"/>
        <w:rPr>
          <w:rFonts w:ascii="宋体" w:hAnsi="宋体"/>
          <w:lang w:eastAsia="zh-CN"/>
        </w:rPr>
      </w:pPr>
      <w:r>
        <w:rPr>
          <w:rFonts w:ascii="宋体" w:hAnsi="宋体"/>
          <w:lang w:eastAsia="zh-CN"/>
        </w:rPr>
        <w:t>本</w:t>
      </w:r>
      <w:r>
        <w:rPr>
          <w:rFonts w:hint="eastAsia" w:ascii="宋体" w:hAnsi="宋体"/>
          <w:lang w:eastAsia="zh-CN"/>
        </w:rPr>
        <w:t>招标技术文件</w:t>
      </w:r>
      <w:r>
        <w:rPr>
          <w:rFonts w:ascii="宋体" w:hAnsi="宋体"/>
          <w:lang w:eastAsia="zh-CN"/>
        </w:rPr>
        <w:t>所使用的标准如与投标方所执行的标准不一致时，按较高标准执行。</w:t>
      </w:r>
    </w:p>
    <w:p>
      <w:pPr>
        <w:numPr>
          <w:ilvl w:val="0"/>
          <w:numId w:val="2"/>
        </w:numPr>
        <w:adjustRightInd w:val="0"/>
        <w:snapToGrid w:val="0"/>
        <w:spacing w:line="480" w:lineRule="atLeast"/>
        <w:rPr>
          <w:rFonts w:ascii="宋体" w:hAnsi="宋体"/>
          <w:lang w:eastAsia="zh-CN"/>
        </w:rPr>
      </w:pPr>
      <w:r>
        <w:rPr>
          <w:rFonts w:ascii="宋体" w:hAnsi="宋体"/>
          <w:lang w:eastAsia="zh-CN"/>
        </w:rPr>
        <w:t>本</w:t>
      </w:r>
      <w:r>
        <w:rPr>
          <w:rFonts w:hint="eastAsia" w:ascii="宋体" w:hAnsi="宋体"/>
          <w:lang w:eastAsia="zh-CN"/>
        </w:rPr>
        <w:t>招标技术文件</w:t>
      </w:r>
      <w:r>
        <w:rPr>
          <w:rFonts w:ascii="宋体" w:hAnsi="宋体"/>
          <w:lang w:eastAsia="zh-CN"/>
        </w:rPr>
        <w:t>经买、卖双方确认后作为订货合同的技术附件，与合同正文具有同等法律效力。</w:t>
      </w:r>
    </w:p>
    <w:p>
      <w:pPr>
        <w:numPr>
          <w:ilvl w:val="0"/>
          <w:numId w:val="2"/>
        </w:numPr>
        <w:adjustRightInd w:val="0"/>
        <w:snapToGrid w:val="0"/>
        <w:spacing w:line="480" w:lineRule="atLeast"/>
        <w:rPr>
          <w:rFonts w:ascii="宋体" w:hAnsi="宋体"/>
          <w:lang w:eastAsia="zh-CN"/>
        </w:rPr>
      </w:pPr>
      <w:r>
        <w:rPr>
          <w:rFonts w:ascii="宋体" w:hAnsi="宋体"/>
          <w:lang w:eastAsia="zh-CN"/>
        </w:rPr>
        <w:t>投标方在应标技术文件中应如实反映应标产品与本标书的技术差异。如果投标方没有提出技术差异，而在执行合同的过程中，招标方发现投标方提供的产品与其应标技术文件的条文存在差异，招标方有权利要求退货。</w:t>
      </w:r>
    </w:p>
    <w:p>
      <w:pPr>
        <w:numPr>
          <w:ilvl w:val="0"/>
          <w:numId w:val="2"/>
        </w:numPr>
        <w:adjustRightInd w:val="0"/>
        <w:snapToGrid w:val="0"/>
        <w:spacing w:line="480" w:lineRule="atLeast"/>
        <w:rPr>
          <w:rFonts w:ascii="宋体" w:hAnsi="宋体"/>
          <w:lang w:eastAsia="zh-CN"/>
        </w:rPr>
      </w:pPr>
      <w:r>
        <w:rPr>
          <w:rFonts w:ascii="宋体" w:hAnsi="宋体"/>
          <w:lang w:eastAsia="zh-CN"/>
        </w:rPr>
        <w:t>投标方应在应标技术部分按本标书的要求如实详细的填写应标设备的标准配置表，并在应标商务部分按此标准配置进行报价，</w:t>
      </w:r>
      <w:r>
        <w:rPr>
          <w:rFonts w:hint="eastAsia" w:ascii="宋体" w:hAnsi="宋体"/>
          <w:lang w:eastAsia="zh-CN"/>
        </w:rPr>
        <w:t>二者配置须保持一致</w:t>
      </w:r>
      <w:r>
        <w:rPr>
          <w:rFonts w:ascii="宋体" w:hAnsi="宋体"/>
          <w:lang w:eastAsia="zh-CN"/>
        </w:rPr>
        <w:t>。</w:t>
      </w:r>
    </w:p>
    <w:p>
      <w:pPr>
        <w:numPr>
          <w:ilvl w:val="0"/>
          <w:numId w:val="2"/>
        </w:numPr>
        <w:adjustRightInd w:val="0"/>
        <w:snapToGrid w:val="0"/>
        <w:spacing w:line="360" w:lineRule="auto"/>
        <w:rPr>
          <w:rFonts w:ascii="宋体" w:hAnsi="宋体"/>
          <w:lang w:eastAsia="zh-CN"/>
        </w:rPr>
      </w:pPr>
      <w:r>
        <w:rPr>
          <w:rFonts w:ascii="宋体" w:hAnsi="宋体"/>
          <w:lang w:eastAsia="zh-CN"/>
        </w:rPr>
        <w:t>投标方应充分理解本标书并按本标书的具体条款、格式要求填写应标的技术文件。</w:t>
      </w:r>
    </w:p>
    <w:p>
      <w:pPr>
        <w:numPr>
          <w:ilvl w:val="0"/>
          <w:numId w:val="2"/>
        </w:numPr>
        <w:adjustRightInd w:val="0"/>
        <w:snapToGrid w:val="0"/>
        <w:spacing w:line="360" w:lineRule="auto"/>
        <w:rPr>
          <w:rFonts w:ascii="宋体" w:hAnsi="宋体"/>
          <w:lang w:eastAsia="zh-CN"/>
        </w:rPr>
      </w:pPr>
      <w:r>
        <w:rPr>
          <w:rFonts w:hint="eastAsia" w:ascii="宋体" w:hAnsi="宋体"/>
          <w:szCs w:val="21"/>
          <w:lang w:eastAsia="zh-CN"/>
        </w:rPr>
        <w:t>供货方需要有近三年在中国南方电网有限责任公司的同电压等级电压供货合同业绩不少于五项。</w:t>
      </w:r>
    </w:p>
    <w:p>
      <w:pPr>
        <w:numPr>
          <w:ilvl w:val="0"/>
          <w:numId w:val="2"/>
        </w:numPr>
        <w:adjustRightInd w:val="0"/>
        <w:snapToGrid w:val="0"/>
        <w:spacing w:line="360" w:lineRule="auto"/>
        <w:rPr>
          <w:rFonts w:ascii="宋体" w:hAnsi="宋体"/>
          <w:lang w:eastAsia="zh-CN"/>
        </w:rPr>
      </w:pPr>
      <w:r>
        <w:rPr>
          <w:rFonts w:ascii="宋体" w:hAnsi="宋体"/>
          <w:lang w:eastAsia="zh-CN"/>
        </w:rPr>
        <w:t>本标书未尽事宜，由买卖双方协商确定。</w:t>
      </w:r>
    </w:p>
    <w:p>
      <w:pPr>
        <w:numPr>
          <w:ilvl w:val="0"/>
          <w:numId w:val="1"/>
        </w:numPr>
        <w:adjustRightInd w:val="0"/>
        <w:snapToGrid w:val="0"/>
        <w:spacing w:line="360" w:lineRule="auto"/>
        <w:textAlignment w:val="baseline"/>
        <w:outlineLvl w:val="0"/>
        <w:rPr>
          <w:rFonts w:ascii="宋体" w:hAnsi="宋体"/>
          <w:b/>
        </w:rPr>
      </w:pPr>
      <w:bookmarkStart w:id="5" w:name="_Toc96010205"/>
      <w:bookmarkStart w:id="6" w:name="_Toc346270635"/>
      <w:r>
        <w:rPr>
          <w:rFonts w:ascii="宋体" w:hAnsi="宋体"/>
          <w:b/>
        </w:rPr>
        <w:t>应遵循的主要标准</w:t>
      </w:r>
      <w:bookmarkEnd w:id="5"/>
      <w:bookmarkEnd w:id="6"/>
    </w:p>
    <w:p>
      <w:pPr>
        <w:tabs>
          <w:tab w:val="left" w:pos="1440"/>
          <w:tab w:val="left" w:pos="3960"/>
        </w:tabs>
        <w:adjustRightInd w:val="0"/>
        <w:snapToGrid w:val="0"/>
        <w:spacing w:line="360" w:lineRule="auto"/>
        <w:ind w:firstLine="480" w:firstLineChars="200"/>
        <w:rPr>
          <w:rFonts w:ascii="宋体" w:hAnsi="宋体"/>
          <w:lang w:eastAsia="zh-CN"/>
        </w:rPr>
      </w:pPr>
      <w:r>
        <w:rPr>
          <w:rFonts w:ascii="宋体" w:hAnsi="宋体"/>
          <w:lang w:eastAsia="zh-CN"/>
        </w:rPr>
        <w:t>下列标准所包含的条文，通过在本</w:t>
      </w:r>
      <w:r>
        <w:rPr>
          <w:rFonts w:hint="eastAsia" w:ascii="宋体" w:hAnsi="宋体"/>
          <w:lang w:eastAsia="zh-CN"/>
        </w:rPr>
        <w:t>招标技术文件</w:t>
      </w:r>
      <w:r>
        <w:rPr>
          <w:rFonts w:ascii="宋体" w:hAnsi="宋体"/>
          <w:lang w:eastAsia="zh-CN"/>
        </w:rPr>
        <w:t>中引用而构成本标书的基本条文。在本</w:t>
      </w:r>
      <w:r>
        <w:rPr>
          <w:rFonts w:hint="eastAsia" w:ascii="宋体" w:hAnsi="宋体"/>
          <w:lang w:eastAsia="zh-CN"/>
        </w:rPr>
        <w:t>招标技术文件</w:t>
      </w:r>
      <w:r>
        <w:rPr>
          <w:rFonts w:ascii="宋体" w:hAnsi="宋体"/>
          <w:lang w:eastAsia="zh-CN"/>
        </w:rPr>
        <w:t>出版时，所示版本均为有效。所有标准都会被修订，使用本</w:t>
      </w:r>
      <w:r>
        <w:rPr>
          <w:rFonts w:hint="eastAsia" w:ascii="宋体" w:hAnsi="宋体"/>
          <w:lang w:eastAsia="zh-CN"/>
        </w:rPr>
        <w:t>招标技术文件</w:t>
      </w:r>
      <w:r>
        <w:rPr>
          <w:rFonts w:ascii="宋体" w:hAnsi="宋体"/>
          <w:lang w:eastAsia="zh-CN"/>
        </w:rPr>
        <w:t>的各方应探讨使用下列标准最新版本的可能性。按标准号顺序排列标准，如果各标准要求有所不同，满足更高的标准要求。</w:t>
      </w:r>
    </w:p>
    <w:p>
      <w:pPr>
        <w:snapToGrid w:val="0"/>
        <w:spacing w:line="360" w:lineRule="auto"/>
        <w:ind w:firstLine="480" w:firstLineChars="200"/>
        <w:rPr>
          <w:rFonts w:ascii="宋体" w:hAnsi="宋体"/>
          <w:lang w:eastAsia="zh-CN"/>
        </w:rPr>
      </w:pPr>
      <w:r>
        <w:rPr>
          <w:rFonts w:hint="eastAsia" w:ascii="宋体" w:hAnsi="宋体"/>
          <w:lang w:eastAsia="zh-CN"/>
        </w:rPr>
        <w:t>GB/T 1179-2008</w:t>
      </w:r>
      <w:r>
        <w:rPr>
          <w:rFonts w:hint="eastAsia" w:ascii="宋体" w:hAnsi="宋体"/>
          <w:lang w:eastAsia="zh-CN"/>
        </w:rPr>
        <w:tab/>
      </w:r>
      <w:r>
        <w:rPr>
          <w:rFonts w:hint="eastAsia" w:ascii="宋体" w:hAnsi="宋体"/>
          <w:lang w:eastAsia="zh-CN"/>
        </w:rPr>
        <w:tab/>
      </w:r>
      <w:r>
        <w:rPr>
          <w:rFonts w:hint="eastAsia" w:ascii="宋体" w:hAnsi="宋体"/>
          <w:lang w:eastAsia="zh-CN"/>
        </w:rPr>
        <w:tab/>
      </w:r>
      <w:r>
        <w:rPr>
          <w:rFonts w:hint="eastAsia" w:ascii="宋体" w:hAnsi="宋体"/>
          <w:lang w:eastAsia="zh-CN"/>
        </w:rPr>
        <w:t>圆线同心绞架空导线</w:t>
      </w:r>
    </w:p>
    <w:p>
      <w:pPr>
        <w:snapToGrid w:val="0"/>
        <w:spacing w:line="360" w:lineRule="auto"/>
        <w:ind w:firstLine="480" w:firstLineChars="200"/>
        <w:rPr>
          <w:rFonts w:ascii="宋体" w:hAnsi="宋体"/>
          <w:lang w:eastAsia="zh-CN"/>
        </w:rPr>
      </w:pPr>
      <w:r>
        <w:rPr>
          <w:rFonts w:hint="eastAsia" w:ascii="宋体" w:hAnsi="宋体"/>
          <w:lang w:eastAsia="zh-CN"/>
        </w:rPr>
        <w:t>GB/T 3048.1-2007</w:t>
      </w:r>
      <w:r>
        <w:rPr>
          <w:rFonts w:hint="eastAsia" w:ascii="宋体" w:hAnsi="宋体"/>
          <w:lang w:eastAsia="zh-CN"/>
        </w:rPr>
        <w:tab/>
      </w:r>
      <w:r>
        <w:rPr>
          <w:rFonts w:hint="eastAsia" w:ascii="宋体" w:hAnsi="宋体"/>
          <w:lang w:eastAsia="zh-CN"/>
        </w:rPr>
        <w:t xml:space="preserve">  </w:t>
      </w:r>
      <w:r>
        <w:rPr>
          <w:rFonts w:hint="eastAsia" w:ascii="宋体" w:hAnsi="宋体"/>
          <w:lang w:eastAsia="zh-CN"/>
        </w:rPr>
        <w:tab/>
      </w:r>
      <w:r>
        <w:rPr>
          <w:rFonts w:hint="eastAsia" w:ascii="宋体" w:hAnsi="宋体"/>
          <w:lang w:eastAsia="zh-CN"/>
        </w:rPr>
        <w:tab/>
      </w:r>
      <w:r>
        <w:rPr>
          <w:rFonts w:hint="eastAsia" w:ascii="宋体" w:hAnsi="宋体"/>
          <w:lang w:eastAsia="zh-CN"/>
        </w:rPr>
        <w:t>电线电缆 电性能试验方法 总则</w:t>
      </w:r>
    </w:p>
    <w:p>
      <w:pPr>
        <w:snapToGrid w:val="0"/>
        <w:spacing w:line="360" w:lineRule="auto"/>
        <w:ind w:firstLine="480" w:firstLineChars="200"/>
        <w:rPr>
          <w:rFonts w:ascii="宋体" w:hAnsi="宋体"/>
          <w:lang w:eastAsia="zh-CN"/>
        </w:rPr>
      </w:pPr>
      <w:r>
        <w:rPr>
          <w:rFonts w:hint="eastAsia" w:ascii="宋体" w:hAnsi="宋体"/>
          <w:lang w:eastAsia="zh-CN"/>
        </w:rPr>
        <w:t>GB/T 3048.2-2007</w:t>
      </w:r>
      <w:r>
        <w:rPr>
          <w:rFonts w:hint="eastAsia" w:ascii="宋体" w:hAnsi="宋体"/>
          <w:lang w:eastAsia="zh-CN"/>
        </w:rPr>
        <w:tab/>
      </w:r>
      <w:r>
        <w:rPr>
          <w:rFonts w:hint="eastAsia" w:ascii="宋体" w:hAnsi="宋体"/>
          <w:lang w:eastAsia="zh-CN"/>
        </w:rPr>
        <w:t xml:space="preserve">  </w:t>
      </w:r>
      <w:r>
        <w:rPr>
          <w:rFonts w:hint="eastAsia" w:ascii="宋体" w:hAnsi="宋体"/>
          <w:lang w:eastAsia="zh-CN"/>
        </w:rPr>
        <w:tab/>
      </w:r>
      <w:r>
        <w:rPr>
          <w:rFonts w:hint="eastAsia" w:ascii="宋体" w:hAnsi="宋体"/>
          <w:lang w:eastAsia="zh-CN"/>
        </w:rPr>
        <w:tab/>
      </w:r>
      <w:r>
        <w:rPr>
          <w:rFonts w:hint="eastAsia" w:ascii="宋体" w:hAnsi="宋体"/>
          <w:lang w:eastAsia="zh-CN"/>
        </w:rPr>
        <w:t>电线电缆 电性能试验方法 金属导体材料电阻率试验</w:t>
      </w:r>
    </w:p>
    <w:p>
      <w:pPr>
        <w:snapToGrid w:val="0"/>
        <w:spacing w:line="360" w:lineRule="auto"/>
        <w:ind w:firstLine="480" w:firstLineChars="200"/>
        <w:rPr>
          <w:rFonts w:ascii="宋体" w:hAnsi="宋体"/>
          <w:lang w:eastAsia="zh-CN"/>
        </w:rPr>
      </w:pPr>
      <w:r>
        <w:rPr>
          <w:rFonts w:hint="eastAsia" w:ascii="宋体" w:hAnsi="宋体"/>
          <w:lang w:eastAsia="zh-CN"/>
        </w:rPr>
        <w:t>GB/T 4909.2-1985</w:t>
      </w:r>
      <w:r>
        <w:rPr>
          <w:rFonts w:hint="eastAsia" w:ascii="宋体" w:hAnsi="宋体"/>
          <w:lang w:eastAsia="zh-CN"/>
        </w:rPr>
        <w:tab/>
      </w:r>
      <w:r>
        <w:rPr>
          <w:rFonts w:hint="eastAsia" w:ascii="宋体" w:hAnsi="宋体"/>
          <w:lang w:eastAsia="zh-CN"/>
        </w:rPr>
        <w:t xml:space="preserve">  </w:t>
      </w:r>
      <w:r>
        <w:rPr>
          <w:rFonts w:hint="eastAsia" w:ascii="宋体" w:hAnsi="宋体"/>
          <w:lang w:eastAsia="zh-CN"/>
        </w:rPr>
        <w:tab/>
      </w:r>
      <w:r>
        <w:rPr>
          <w:rFonts w:hint="eastAsia" w:ascii="宋体" w:hAnsi="宋体"/>
          <w:lang w:eastAsia="zh-CN"/>
        </w:rPr>
        <w:tab/>
      </w:r>
      <w:r>
        <w:rPr>
          <w:rFonts w:hint="eastAsia" w:ascii="宋体" w:hAnsi="宋体"/>
          <w:lang w:eastAsia="zh-CN"/>
        </w:rPr>
        <w:t>裸电线试验方法 尺寸测量</w:t>
      </w:r>
    </w:p>
    <w:p>
      <w:pPr>
        <w:snapToGrid w:val="0"/>
        <w:spacing w:line="360" w:lineRule="auto"/>
        <w:ind w:firstLine="480" w:firstLineChars="200"/>
        <w:rPr>
          <w:rFonts w:ascii="宋体" w:hAnsi="宋体"/>
          <w:lang w:eastAsia="zh-CN"/>
        </w:rPr>
      </w:pPr>
      <w:r>
        <w:rPr>
          <w:rFonts w:hint="eastAsia" w:ascii="宋体" w:hAnsi="宋体"/>
          <w:lang w:eastAsia="zh-CN"/>
        </w:rPr>
        <w:t>GB/T 6995.2-2008</w:t>
      </w:r>
      <w:r>
        <w:rPr>
          <w:rFonts w:hint="eastAsia" w:ascii="宋体" w:hAnsi="宋体"/>
          <w:lang w:eastAsia="zh-CN"/>
        </w:rPr>
        <w:tab/>
      </w:r>
      <w:r>
        <w:rPr>
          <w:rFonts w:hint="eastAsia" w:ascii="宋体" w:hAnsi="宋体"/>
          <w:lang w:eastAsia="zh-CN"/>
        </w:rPr>
        <w:t xml:space="preserve">  </w:t>
      </w:r>
      <w:r>
        <w:rPr>
          <w:rFonts w:hint="eastAsia" w:ascii="宋体" w:hAnsi="宋体"/>
          <w:lang w:eastAsia="zh-CN"/>
        </w:rPr>
        <w:tab/>
      </w:r>
      <w:r>
        <w:rPr>
          <w:rFonts w:hint="eastAsia" w:ascii="宋体" w:hAnsi="宋体"/>
          <w:lang w:eastAsia="zh-CN"/>
        </w:rPr>
        <w:tab/>
      </w:r>
      <w:r>
        <w:rPr>
          <w:rFonts w:hint="eastAsia" w:ascii="宋体" w:hAnsi="宋体"/>
          <w:lang w:eastAsia="zh-CN"/>
        </w:rPr>
        <w:t>电线电缆识别标志 第2部分 标准颜色</w:t>
      </w:r>
    </w:p>
    <w:p>
      <w:pPr>
        <w:snapToGrid w:val="0"/>
        <w:spacing w:line="360" w:lineRule="auto"/>
        <w:ind w:firstLine="480" w:firstLineChars="200"/>
        <w:rPr>
          <w:rFonts w:ascii="宋体" w:hAnsi="宋体"/>
          <w:lang w:eastAsia="zh-CN"/>
        </w:rPr>
      </w:pPr>
      <w:r>
        <w:rPr>
          <w:rFonts w:hint="eastAsia" w:ascii="宋体" w:hAnsi="宋体"/>
          <w:lang w:eastAsia="zh-CN"/>
        </w:rPr>
        <w:t>GB/T 7424.1-2003</w:t>
      </w:r>
      <w:r>
        <w:rPr>
          <w:rFonts w:hint="eastAsia" w:ascii="宋体" w:hAnsi="宋体"/>
          <w:lang w:eastAsia="zh-CN"/>
        </w:rPr>
        <w:tab/>
      </w:r>
      <w:r>
        <w:rPr>
          <w:rFonts w:hint="eastAsia" w:ascii="宋体" w:hAnsi="宋体"/>
          <w:lang w:eastAsia="zh-CN"/>
        </w:rPr>
        <w:t xml:space="preserve">  </w:t>
      </w:r>
      <w:r>
        <w:rPr>
          <w:rFonts w:hint="eastAsia" w:ascii="宋体" w:hAnsi="宋体"/>
          <w:lang w:eastAsia="zh-CN"/>
        </w:rPr>
        <w:tab/>
      </w:r>
      <w:r>
        <w:rPr>
          <w:rFonts w:hint="eastAsia" w:ascii="宋体" w:hAnsi="宋体"/>
          <w:lang w:eastAsia="zh-CN"/>
        </w:rPr>
        <w:tab/>
      </w:r>
      <w:r>
        <w:rPr>
          <w:rFonts w:hint="eastAsia" w:ascii="宋体" w:hAnsi="宋体"/>
          <w:lang w:eastAsia="zh-CN"/>
        </w:rPr>
        <w:t>光缆总规范 第1部分：总则</w:t>
      </w:r>
    </w:p>
    <w:p>
      <w:pPr>
        <w:snapToGrid w:val="0"/>
        <w:spacing w:line="360" w:lineRule="auto"/>
        <w:ind w:firstLine="480" w:firstLineChars="200"/>
        <w:rPr>
          <w:rFonts w:ascii="宋体" w:hAnsi="宋体"/>
          <w:color w:val="000000"/>
          <w:lang w:eastAsia="zh-CN"/>
        </w:rPr>
      </w:pPr>
      <w:r>
        <w:rPr>
          <w:rFonts w:hint="eastAsia" w:ascii="宋体" w:hAnsi="宋体"/>
          <w:color w:val="000000"/>
          <w:lang w:eastAsia="zh-CN"/>
        </w:rPr>
        <w:t>GB/T 7424.4-2003</w:t>
      </w:r>
      <w:r>
        <w:rPr>
          <w:rFonts w:hint="eastAsia" w:ascii="宋体" w:hAnsi="宋体"/>
          <w:color w:val="000000"/>
          <w:lang w:eastAsia="zh-CN"/>
        </w:rPr>
        <w:tab/>
      </w:r>
      <w:r>
        <w:rPr>
          <w:rFonts w:hint="eastAsia" w:ascii="宋体" w:hAnsi="宋体"/>
          <w:color w:val="000000"/>
          <w:lang w:eastAsia="zh-CN"/>
        </w:rPr>
        <w:t xml:space="preserve">  </w:t>
      </w:r>
      <w:r>
        <w:rPr>
          <w:rFonts w:hint="eastAsia" w:ascii="宋体" w:hAnsi="宋体"/>
          <w:color w:val="000000"/>
          <w:lang w:eastAsia="zh-CN"/>
        </w:rPr>
        <w:tab/>
      </w:r>
      <w:r>
        <w:rPr>
          <w:rFonts w:hint="eastAsia" w:ascii="宋体" w:hAnsi="宋体"/>
          <w:color w:val="000000"/>
          <w:lang w:eastAsia="zh-CN"/>
        </w:rPr>
        <w:tab/>
      </w:r>
      <w:r>
        <w:rPr>
          <w:rFonts w:hint="eastAsia" w:ascii="宋体" w:hAnsi="宋体"/>
          <w:color w:val="000000"/>
          <w:lang w:eastAsia="zh-CN"/>
        </w:rPr>
        <w:t>光缆 第4部分：分规范 光纤复合架空地线</w:t>
      </w:r>
    </w:p>
    <w:p>
      <w:pPr>
        <w:snapToGrid w:val="0"/>
        <w:spacing w:line="360" w:lineRule="auto"/>
        <w:ind w:left="3643" w:leftChars="218" w:hanging="3120" w:hangingChars="1300"/>
        <w:rPr>
          <w:rFonts w:ascii="宋体" w:hAnsi="宋体"/>
          <w:lang w:eastAsia="zh-CN"/>
        </w:rPr>
      </w:pPr>
      <w:r>
        <w:rPr>
          <w:rFonts w:hint="eastAsia" w:ascii="宋体" w:hAnsi="宋体"/>
          <w:lang w:eastAsia="zh-CN"/>
        </w:rPr>
        <w:t>GB/T 9771.1-2000        通信用单模光纤系列 第1部分：非色散位移单模光纤特性</w:t>
      </w:r>
    </w:p>
    <w:p>
      <w:pPr>
        <w:snapToGrid w:val="0"/>
        <w:spacing w:line="360" w:lineRule="auto"/>
        <w:ind w:firstLine="480" w:firstLineChars="200"/>
        <w:rPr>
          <w:rFonts w:ascii="宋体" w:hAnsi="宋体"/>
          <w:lang w:eastAsia="zh-CN"/>
        </w:rPr>
      </w:pPr>
      <w:r>
        <w:rPr>
          <w:rFonts w:hint="eastAsia" w:ascii="宋体" w:hAnsi="宋体"/>
          <w:lang w:eastAsia="zh-CN"/>
        </w:rPr>
        <w:t>GB/T 9771.5-2000</w:t>
      </w:r>
      <w:r>
        <w:rPr>
          <w:rFonts w:hint="eastAsia" w:ascii="宋体" w:hAnsi="宋体"/>
          <w:lang w:eastAsia="zh-CN"/>
        </w:rPr>
        <w:tab/>
      </w:r>
      <w:r>
        <w:rPr>
          <w:rFonts w:hint="eastAsia" w:ascii="宋体" w:hAnsi="宋体"/>
          <w:lang w:eastAsia="zh-CN"/>
        </w:rPr>
        <w:t xml:space="preserve">  </w:t>
      </w:r>
      <w:r>
        <w:rPr>
          <w:rFonts w:hint="eastAsia" w:ascii="宋体" w:hAnsi="宋体"/>
          <w:lang w:eastAsia="zh-CN"/>
        </w:rPr>
        <w:tab/>
      </w:r>
      <w:r>
        <w:rPr>
          <w:rFonts w:hint="eastAsia" w:ascii="宋体" w:hAnsi="宋体"/>
          <w:lang w:eastAsia="zh-CN"/>
        </w:rPr>
        <w:tab/>
      </w:r>
      <w:r>
        <w:rPr>
          <w:rFonts w:hint="eastAsia" w:ascii="宋体" w:hAnsi="宋体"/>
          <w:lang w:eastAsia="zh-CN"/>
        </w:rPr>
        <w:t>通信用单模光纤系列 第5部分：非零色散位移单模光纤</w:t>
      </w:r>
      <w:r>
        <w:rPr>
          <w:rFonts w:hint="eastAsia" w:ascii="宋体" w:hAnsi="宋体"/>
          <w:lang w:eastAsia="zh-CN"/>
        </w:rPr>
        <w:tab/>
      </w:r>
      <w:r>
        <w:rPr>
          <w:rFonts w:hint="eastAsia" w:ascii="宋体" w:hAnsi="宋体"/>
          <w:lang w:eastAsia="zh-CN"/>
        </w:rPr>
        <w:tab/>
      </w:r>
      <w:r>
        <w:rPr>
          <w:rFonts w:hint="eastAsia" w:ascii="宋体" w:hAnsi="宋体"/>
          <w:lang w:eastAsia="zh-CN"/>
        </w:rPr>
        <w:tab/>
      </w:r>
      <w:r>
        <w:rPr>
          <w:rFonts w:hint="eastAsia" w:ascii="宋体" w:hAnsi="宋体"/>
          <w:lang w:eastAsia="zh-CN"/>
        </w:rPr>
        <w:tab/>
      </w:r>
      <w:r>
        <w:rPr>
          <w:rFonts w:hint="eastAsia" w:ascii="宋体" w:hAnsi="宋体"/>
          <w:lang w:eastAsia="zh-CN"/>
        </w:rPr>
        <w:tab/>
      </w:r>
      <w:r>
        <w:rPr>
          <w:rFonts w:hint="eastAsia" w:ascii="宋体" w:hAnsi="宋体"/>
          <w:lang w:eastAsia="zh-CN"/>
        </w:rPr>
        <w:tab/>
      </w:r>
      <w:r>
        <w:rPr>
          <w:rFonts w:hint="eastAsia" w:ascii="宋体" w:hAnsi="宋体"/>
          <w:lang w:eastAsia="zh-CN"/>
        </w:rPr>
        <w:tab/>
      </w:r>
      <w:r>
        <w:rPr>
          <w:rFonts w:hint="eastAsia" w:ascii="宋体" w:hAnsi="宋体"/>
          <w:lang w:eastAsia="zh-CN"/>
        </w:rPr>
        <w:tab/>
      </w:r>
      <w:r>
        <w:rPr>
          <w:rFonts w:hint="eastAsia" w:ascii="宋体" w:hAnsi="宋体"/>
          <w:lang w:eastAsia="zh-CN"/>
        </w:rPr>
        <w:t>特性</w:t>
      </w:r>
    </w:p>
    <w:p>
      <w:pPr>
        <w:snapToGrid w:val="0"/>
        <w:spacing w:line="360" w:lineRule="auto"/>
        <w:ind w:firstLine="480" w:firstLineChars="200"/>
        <w:rPr>
          <w:rFonts w:ascii="宋体" w:hAnsi="宋体"/>
          <w:lang w:eastAsia="zh-CN"/>
        </w:rPr>
      </w:pPr>
      <w:r>
        <w:rPr>
          <w:rFonts w:hint="eastAsia" w:ascii="宋体" w:hAnsi="宋体"/>
          <w:lang w:eastAsia="zh-CN"/>
        </w:rPr>
        <w:t>GB/T 17937-2009</w:t>
      </w:r>
      <w:r>
        <w:rPr>
          <w:rFonts w:hint="eastAsia" w:ascii="宋体" w:hAnsi="宋体"/>
          <w:lang w:eastAsia="zh-CN"/>
        </w:rPr>
        <w:tab/>
      </w:r>
      <w:r>
        <w:rPr>
          <w:rFonts w:hint="eastAsia" w:ascii="宋体" w:hAnsi="宋体"/>
          <w:lang w:eastAsia="zh-CN"/>
        </w:rPr>
        <w:t xml:space="preserve"> </w:t>
      </w:r>
      <w:r>
        <w:rPr>
          <w:rFonts w:hint="eastAsia" w:ascii="宋体" w:hAnsi="宋体"/>
          <w:lang w:eastAsia="zh-CN"/>
        </w:rPr>
        <w:tab/>
      </w:r>
      <w:r>
        <w:rPr>
          <w:rFonts w:hint="eastAsia" w:ascii="宋体" w:hAnsi="宋体"/>
          <w:lang w:eastAsia="zh-CN"/>
        </w:rPr>
        <w:tab/>
      </w:r>
      <w:r>
        <w:rPr>
          <w:rFonts w:hint="eastAsia" w:ascii="宋体" w:hAnsi="宋体"/>
          <w:lang w:eastAsia="zh-CN"/>
        </w:rPr>
        <w:t>电工用铝包钢线</w:t>
      </w:r>
    </w:p>
    <w:p>
      <w:pPr>
        <w:snapToGrid w:val="0"/>
        <w:spacing w:line="360" w:lineRule="auto"/>
        <w:ind w:left="3360" w:hanging="2876"/>
        <w:rPr>
          <w:rFonts w:ascii="宋体" w:hAnsi="宋体"/>
          <w:lang w:eastAsia="zh-CN"/>
        </w:rPr>
      </w:pPr>
      <w:r>
        <w:rPr>
          <w:rFonts w:hint="eastAsia" w:ascii="宋体" w:hAnsi="宋体"/>
          <w:lang w:eastAsia="zh-CN"/>
        </w:rPr>
        <w:t xml:space="preserve">DL/T 766-2003  </w:t>
      </w:r>
      <w:r>
        <w:rPr>
          <w:rFonts w:hint="eastAsia" w:ascii="宋体" w:hAnsi="宋体"/>
          <w:lang w:eastAsia="zh-CN"/>
        </w:rPr>
        <w:tab/>
      </w:r>
      <w:r>
        <w:rPr>
          <w:rFonts w:hint="eastAsia" w:ascii="宋体" w:hAnsi="宋体"/>
          <w:lang w:eastAsia="zh-CN"/>
        </w:rPr>
        <w:t>光纤复合架空地线（OPGW）用预绞式金具技术条件和试验方法</w:t>
      </w:r>
    </w:p>
    <w:p>
      <w:pPr>
        <w:snapToGrid w:val="0"/>
        <w:spacing w:line="360" w:lineRule="auto"/>
        <w:ind w:firstLine="480" w:firstLineChars="200"/>
        <w:rPr>
          <w:rFonts w:ascii="宋体" w:hAnsi="宋体"/>
          <w:lang w:eastAsia="zh-CN"/>
        </w:rPr>
      </w:pPr>
      <w:r>
        <w:rPr>
          <w:rFonts w:hint="eastAsia" w:ascii="宋体" w:hAnsi="宋体"/>
          <w:lang w:eastAsia="zh-CN"/>
        </w:rPr>
        <w:t xml:space="preserve">DL/T 832-2003  </w:t>
      </w:r>
      <w:r>
        <w:rPr>
          <w:rFonts w:hint="eastAsia" w:ascii="宋体" w:hAnsi="宋体"/>
          <w:lang w:eastAsia="zh-CN"/>
        </w:rPr>
        <w:tab/>
      </w:r>
      <w:r>
        <w:rPr>
          <w:rFonts w:hint="eastAsia" w:ascii="宋体" w:hAnsi="宋体"/>
          <w:lang w:eastAsia="zh-CN"/>
        </w:rPr>
        <w:tab/>
      </w:r>
      <w:r>
        <w:rPr>
          <w:rFonts w:hint="eastAsia" w:ascii="宋体" w:hAnsi="宋体"/>
          <w:lang w:eastAsia="zh-CN"/>
        </w:rPr>
        <w:tab/>
      </w:r>
      <w:r>
        <w:rPr>
          <w:rFonts w:hint="eastAsia" w:ascii="宋体" w:hAnsi="宋体"/>
          <w:lang w:eastAsia="zh-CN"/>
        </w:rPr>
        <w:t>光纤复合架空地线</w:t>
      </w:r>
    </w:p>
    <w:p>
      <w:pPr>
        <w:snapToGrid w:val="0"/>
        <w:spacing w:line="360" w:lineRule="auto"/>
        <w:ind w:firstLine="480" w:firstLineChars="200"/>
        <w:rPr>
          <w:rFonts w:ascii="宋体" w:hAnsi="宋体"/>
          <w:lang w:eastAsia="zh-CN"/>
        </w:rPr>
      </w:pPr>
      <w:r>
        <w:rPr>
          <w:rFonts w:hint="eastAsia" w:ascii="宋体" w:hAnsi="宋体"/>
          <w:lang w:eastAsia="zh-CN"/>
        </w:rPr>
        <w:t>Q/CSG 110003-2011       电力光缆技术规范</w:t>
      </w:r>
    </w:p>
    <w:p>
      <w:pPr>
        <w:snapToGrid w:val="0"/>
        <w:spacing w:line="360" w:lineRule="auto"/>
        <w:ind w:firstLine="480" w:firstLineChars="200"/>
        <w:rPr>
          <w:rFonts w:ascii="宋体" w:hAnsi="宋体"/>
          <w:lang w:eastAsia="zh-CN"/>
        </w:rPr>
      </w:pPr>
      <w:r>
        <w:rPr>
          <w:rFonts w:hint="eastAsia" w:ascii="宋体" w:hAnsi="宋体"/>
          <w:lang w:eastAsia="zh-CN"/>
        </w:rPr>
        <w:t xml:space="preserve">YD 839.1～4-2000   </w:t>
      </w:r>
      <w:r>
        <w:rPr>
          <w:rFonts w:hint="eastAsia" w:ascii="宋体" w:hAnsi="宋体"/>
          <w:lang w:eastAsia="zh-CN"/>
        </w:rPr>
        <w:tab/>
      </w:r>
      <w:r>
        <w:rPr>
          <w:rFonts w:hint="eastAsia" w:ascii="宋体" w:hAnsi="宋体"/>
          <w:lang w:eastAsia="zh-CN"/>
        </w:rPr>
        <w:tab/>
      </w:r>
      <w:r>
        <w:rPr>
          <w:rFonts w:hint="eastAsia" w:ascii="宋体" w:hAnsi="宋体"/>
          <w:lang w:eastAsia="zh-CN"/>
        </w:rPr>
        <w:t>通信电缆光缆用填充和涂覆复合物</w:t>
      </w:r>
    </w:p>
    <w:p>
      <w:pPr>
        <w:snapToGrid w:val="0"/>
        <w:spacing w:line="360" w:lineRule="auto"/>
        <w:ind w:firstLine="480" w:firstLineChars="200"/>
        <w:rPr>
          <w:rFonts w:ascii="宋体" w:hAnsi="宋体"/>
          <w:lang w:eastAsia="zh-CN"/>
        </w:rPr>
      </w:pPr>
      <w:r>
        <w:rPr>
          <w:rFonts w:hint="eastAsia" w:ascii="宋体" w:hAnsi="宋体"/>
          <w:lang w:eastAsia="zh-CN"/>
        </w:rPr>
        <w:t>YD/T 629.2-1993</w:t>
      </w:r>
      <w:r>
        <w:rPr>
          <w:rFonts w:hint="eastAsia" w:ascii="宋体" w:hAnsi="宋体"/>
          <w:lang w:eastAsia="zh-CN"/>
        </w:rPr>
        <w:tab/>
      </w:r>
      <w:r>
        <w:rPr>
          <w:rFonts w:hint="eastAsia" w:ascii="宋体" w:hAnsi="宋体"/>
          <w:lang w:eastAsia="zh-CN"/>
        </w:rPr>
        <w:t xml:space="preserve"> </w:t>
      </w:r>
      <w:r>
        <w:rPr>
          <w:rFonts w:hint="eastAsia" w:ascii="宋体" w:hAnsi="宋体"/>
          <w:lang w:eastAsia="zh-CN"/>
        </w:rPr>
        <w:tab/>
      </w:r>
      <w:r>
        <w:rPr>
          <w:rFonts w:hint="eastAsia" w:ascii="宋体" w:hAnsi="宋体"/>
          <w:lang w:eastAsia="zh-CN"/>
        </w:rPr>
        <w:tab/>
      </w:r>
      <w:r>
        <w:rPr>
          <w:rFonts w:hint="eastAsia" w:ascii="宋体" w:hAnsi="宋体"/>
          <w:lang w:eastAsia="zh-CN"/>
        </w:rPr>
        <w:t>光纤传输衰减变化的监测方法后向散射监测法</w:t>
      </w:r>
    </w:p>
    <w:p>
      <w:pPr>
        <w:snapToGrid w:val="0"/>
        <w:spacing w:line="360" w:lineRule="auto"/>
        <w:ind w:firstLine="420"/>
        <w:rPr>
          <w:rFonts w:ascii="宋体" w:hAnsi="宋体"/>
          <w:lang w:eastAsia="zh-CN"/>
        </w:rPr>
      </w:pPr>
      <w:r>
        <w:rPr>
          <w:rFonts w:hint="eastAsia" w:ascii="宋体" w:hAnsi="宋体"/>
          <w:lang w:eastAsia="zh-CN"/>
        </w:rPr>
        <w:t xml:space="preserve">YD/T 901-2001  </w:t>
      </w:r>
      <w:r>
        <w:rPr>
          <w:rFonts w:hint="eastAsia" w:ascii="宋体" w:hAnsi="宋体"/>
          <w:lang w:eastAsia="zh-CN"/>
        </w:rPr>
        <w:tab/>
      </w:r>
      <w:r>
        <w:rPr>
          <w:rFonts w:hint="eastAsia" w:ascii="宋体" w:hAnsi="宋体"/>
          <w:lang w:eastAsia="zh-CN"/>
        </w:rPr>
        <w:tab/>
      </w:r>
      <w:r>
        <w:rPr>
          <w:rFonts w:hint="eastAsia" w:ascii="宋体" w:hAnsi="宋体"/>
          <w:lang w:eastAsia="zh-CN"/>
        </w:rPr>
        <w:tab/>
      </w:r>
      <w:r>
        <w:rPr>
          <w:rFonts w:hint="eastAsia" w:ascii="宋体" w:hAnsi="宋体"/>
          <w:lang w:eastAsia="zh-CN"/>
        </w:rPr>
        <w:t>核心网用光缆－层绞式通信用室外光缆</w:t>
      </w:r>
    </w:p>
    <w:p>
      <w:pPr>
        <w:snapToGrid w:val="0"/>
        <w:spacing w:line="360" w:lineRule="auto"/>
        <w:ind w:firstLine="480" w:firstLineChars="200"/>
        <w:rPr>
          <w:rFonts w:ascii="宋体" w:hAnsi="宋体"/>
          <w:lang w:eastAsia="zh-CN"/>
        </w:rPr>
      </w:pPr>
      <w:r>
        <w:rPr>
          <w:rFonts w:hint="eastAsia" w:ascii="宋体" w:hAnsi="宋体"/>
          <w:lang w:eastAsia="zh-CN"/>
        </w:rPr>
        <w:t>YD/T 1115.1-2001</w:t>
      </w:r>
      <w:r>
        <w:rPr>
          <w:rFonts w:hint="eastAsia" w:ascii="宋体" w:hAnsi="宋体"/>
          <w:lang w:eastAsia="zh-CN"/>
        </w:rPr>
        <w:tab/>
      </w:r>
      <w:r>
        <w:rPr>
          <w:rFonts w:hint="eastAsia" w:ascii="宋体" w:hAnsi="宋体"/>
          <w:lang w:eastAsia="zh-CN"/>
        </w:rPr>
        <w:t xml:space="preserve"> </w:t>
      </w:r>
      <w:r>
        <w:rPr>
          <w:rFonts w:hint="eastAsia" w:ascii="宋体" w:hAnsi="宋体"/>
          <w:lang w:eastAsia="zh-CN"/>
        </w:rPr>
        <w:tab/>
      </w:r>
      <w:r>
        <w:rPr>
          <w:rFonts w:hint="eastAsia" w:ascii="宋体" w:hAnsi="宋体"/>
          <w:lang w:eastAsia="zh-CN"/>
        </w:rPr>
        <w:tab/>
      </w:r>
      <w:r>
        <w:rPr>
          <w:rFonts w:hint="eastAsia" w:ascii="宋体" w:hAnsi="宋体"/>
          <w:lang w:eastAsia="zh-CN"/>
        </w:rPr>
        <w:t>通信电缆光缆用阻水材料 第一部分：阻水带</w:t>
      </w:r>
    </w:p>
    <w:p>
      <w:pPr>
        <w:snapToGrid w:val="0"/>
        <w:spacing w:line="360" w:lineRule="auto"/>
        <w:ind w:firstLine="480" w:firstLineChars="200"/>
        <w:rPr>
          <w:rFonts w:ascii="宋体" w:hAnsi="宋体"/>
          <w:lang w:eastAsia="zh-CN"/>
        </w:rPr>
      </w:pPr>
      <w:r>
        <w:rPr>
          <w:rFonts w:hint="eastAsia" w:ascii="宋体" w:hAnsi="宋体"/>
          <w:lang w:eastAsia="zh-CN"/>
        </w:rPr>
        <w:t xml:space="preserve">YD/T 1115.2-2001 </w:t>
      </w:r>
      <w:r>
        <w:rPr>
          <w:rFonts w:hint="eastAsia" w:ascii="宋体" w:hAnsi="宋体"/>
          <w:lang w:eastAsia="zh-CN"/>
        </w:rPr>
        <w:tab/>
      </w:r>
      <w:r>
        <w:rPr>
          <w:rFonts w:hint="eastAsia" w:ascii="宋体" w:hAnsi="宋体"/>
          <w:lang w:eastAsia="zh-CN"/>
        </w:rPr>
        <w:tab/>
      </w:r>
      <w:r>
        <w:rPr>
          <w:rFonts w:hint="eastAsia" w:ascii="宋体" w:hAnsi="宋体"/>
          <w:lang w:eastAsia="zh-CN"/>
        </w:rPr>
        <w:t>通信电缆光缆用阻水材料 第二部分：阻水纱</w:t>
      </w:r>
    </w:p>
    <w:p>
      <w:pPr>
        <w:snapToGrid w:val="0"/>
        <w:spacing w:line="360" w:lineRule="auto"/>
        <w:ind w:firstLine="480" w:firstLineChars="200"/>
        <w:rPr>
          <w:rFonts w:ascii="宋体" w:hAnsi="宋体"/>
          <w:lang w:eastAsia="zh-CN"/>
        </w:rPr>
      </w:pPr>
      <w:r>
        <w:rPr>
          <w:rFonts w:hint="eastAsia" w:ascii="宋体" w:hAnsi="宋体"/>
          <w:lang w:eastAsia="zh-CN"/>
        </w:rPr>
        <w:t>JB/T 8137.1-1999</w:t>
      </w:r>
      <w:r>
        <w:rPr>
          <w:rFonts w:hint="eastAsia" w:ascii="宋体" w:hAnsi="宋体"/>
          <w:lang w:eastAsia="zh-CN"/>
        </w:rPr>
        <w:tab/>
      </w:r>
      <w:r>
        <w:rPr>
          <w:rFonts w:hint="eastAsia" w:ascii="宋体" w:hAnsi="宋体"/>
          <w:lang w:eastAsia="zh-CN"/>
        </w:rPr>
        <w:t xml:space="preserve"> </w:t>
      </w:r>
      <w:r>
        <w:rPr>
          <w:rFonts w:hint="eastAsia" w:ascii="宋体" w:hAnsi="宋体"/>
          <w:lang w:eastAsia="zh-CN"/>
        </w:rPr>
        <w:tab/>
      </w:r>
      <w:r>
        <w:rPr>
          <w:rFonts w:hint="eastAsia" w:ascii="宋体" w:hAnsi="宋体"/>
          <w:lang w:eastAsia="zh-CN"/>
        </w:rPr>
        <w:tab/>
      </w:r>
      <w:r>
        <w:rPr>
          <w:rFonts w:hint="eastAsia" w:ascii="宋体" w:hAnsi="宋体"/>
          <w:lang w:eastAsia="zh-CN"/>
        </w:rPr>
        <w:t>电线电缆交货盘 第1部分：一般规定</w:t>
      </w:r>
    </w:p>
    <w:p>
      <w:pPr>
        <w:snapToGrid w:val="0"/>
        <w:spacing w:line="360" w:lineRule="auto"/>
        <w:ind w:firstLine="480" w:firstLineChars="200"/>
        <w:rPr>
          <w:rFonts w:ascii="宋体" w:hAnsi="宋体"/>
          <w:lang w:eastAsia="zh-CN"/>
        </w:rPr>
      </w:pPr>
      <w:r>
        <w:rPr>
          <w:rFonts w:hint="eastAsia" w:ascii="宋体" w:hAnsi="宋体"/>
          <w:lang w:eastAsia="zh-CN"/>
        </w:rPr>
        <w:t>IEC 61312-1995</w:t>
      </w:r>
      <w:r>
        <w:rPr>
          <w:rFonts w:hint="eastAsia" w:ascii="宋体" w:hAnsi="宋体"/>
          <w:lang w:eastAsia="zh-CN"/>
        </w:rPr>
        <w:tab/>
      </w:r>
      <w:r>
        <w:rPr>
          <w:rFonts w:hint="eastAsia" w:ascii="宋体" w:hAnsi="宋体"/>
          <w:lang w:eastAsia="zh-CN"/>
        </w:rPr>
        <w:tab/>
      </w:r>
      <w:r>
        <w:rPr>
          <w:rFonts w:hint="eastAsia" w:ascii="宋体" w:hAnsi="宋体"/>
          <w:lang w:eastAsia="zh-CN"/>
        </w:rPr>
        <w:tab/>
      </w:r>
      <w:r>
        <w:rPr>
          <w:rFonts w:hint="eastAsia" w:ascii="宋体" w:hAnsi="宋体"/>
          <w:lang w:eastAsia="zh-CN"/>
        </w:rPr>
        <w:t>抗雷电波冲击的保护</w:t>
      </w:r>
    </w:p>
    <w:p>
      <w:pPr>
        <w:snapToGrid w:val="0"/>
        <w:spacing w:line="360" w:lineRule="auto"/>
        <w:ind w:firstLine="480" w:firstLineChars="200"/>
        <w:rPr>
          <w:rFonts w:ascii="宋体" w:hAnsi="宋体"/>
          <w:lang w:eastAsia="zh-CN"/>
        </w:rPr>
      </w:pPr>
      <w:r>
        <w:rPr>
          <w:rFonts w:hint="eastAsia" w:ascii="宋体" w:hAnsi="宋体"/>
          <w:lang w:eastAsia="zh-CN"/>
        </w:rPr>
        <w:t>IEC 61395-1998</w:t>
      </w:r>
      <w:r>
        <w:rPr>
          <w:rFonts w:hint="eastAsia" w:ascii="宋体" w:hAnsi="宋体"/>
          <w:lang w:eastAsia="zh-CN"/>
        </w:rPr>
        <w:tab/>
      </w:r>
      <w:r>
        <w:rPr>
          <w:rFonts w:hint="eastAsia" w:ascii="宋体" w:hAnsi="宋体"/>
          <w:lang w:eastAsia="zh-CN"/>
        </w:rPr>
        <w:tab/>
      </w:r>
      <w:r>
        <w:rPr>
          <w:rFonts w:hint="eastAsia" w:ascii="宋体" w:hAnsi="宋体"/>
          <w:lang w:eastAsia="zh-CN"/>
        </w:rPr>
        <w:tab/>
      </w:r>
      <w:r>
        <w:rPr>
          <w:rFonts w:hint="eastAsia" w:ascii="宋体" w:hAnsi="宋体"/>
          <w:lang w:eastAsia="zh-CN"/>
        </w:rPr>
        <w:t>架空线——绞合导线蠕变试验方法</w:t>
      </w:r>
    </w:p>
    <w:p>
      <w:pPr>
        <w:snapToGrid w:val="0"/>
        <w:spacing w:line="360" w:lineRule="auto"/>
        <w:ind w:firstLine="480" w:firstLineChars="200"/>
        <w:rPr>
          <w:rFonts w:ascii="宋体" w:hAnsi="宋体"/>
          <w:lang w:eastAsia="zh-CN"/>
        </w:rPr>
      </w:pPr>
      <w:r>
        <w:rPr>
          <w:rFonts w:hint="eastAsia" w:ascii="宋体" w:hAnsi="宋体"/>
          <w:lang w:eastAsia="zh-CN"/>
        </w:rPr>
        <w:t>IEC 60793-2-2003</w:t>
      </w:r>
      <w:r>
        <w:rPr>
          <w:rFonts w:hint="eastAsia" w:ascii="宋体" w:hAnsi="宋体"/>
          <w:lang w:eastAsia="zh-CN"/>
        </w:rPr>
        <w:tab/>
      </w:r>
      <w:r>
        <w:rPr>
          <w:rFonts w:hint="eastAsia" w:ascii="宋体" w:hAnsi="宋体"/>
          <w:lang w:eastAsia="zh-CN"/>
        </w:rPr>
        <w:t xml:space="preserve"> </w:t>
      </w:r>
      <w:r>
        <w:rPr>
          <w:rFonts w:hint="eastAsia" w:ascii="宋体" w:hAnsi="宋体"/>
          <w:lang w:eastAsia="zh-CN"/>
        </w:rPr>
        <w:tab/>
      </w:r>
      <w:r>
        <w:rPr>
          <w:rFonts w:hint="eastAsia" w:ascii="宋体" w:hAnsi="宋体"/>
          <w:lang w:eastAsia="zh-CN"/>
        </w:rPr>
        <w:tab/>
      </w:r>
      <w:r>
        <w:rPr>
          <w:rFonts w:hint="eastAsia" w:ascii="宋体" w:hAnsi="宋体"/>
          <w:lang w:eastAsia="zh-CN"/>
        </w:rPr>
        <w:t>光纤 第2部分：产品规范</w:t>
      </w:r>
    </w:p>
    <w:p>
      <w:pPr>
        <w:snapToGrid w:val="0"/>
        <w:spacing w:line="360" w:lineRule="auto"/>
        <w:ind w:firstLine="480" w:firstLineChars="200"/>
        <w:rPr>
          <w:rFonts w:ascii="宋体" w:hAnsi="宋体"/>
          <w:lang w:eastAsia="zh-CN"/>
        </w:rPr>
      </w:pPr>
      <w:r>
        <w:rPr>
          <w:rFonts w:hint="eastAsia" w:ascii="宋体" w:hAnsi="宋体"/>
          <w:lang w:eastAsia="zh-CN"/>
        </w:rPr>
        <w:t>ITU-T G.652-2005</w:t>
      </w:r>
      <w:r>
        <w:rPr>
          <w:rFonts w:hint="eastAsia" w:ascii="宋体" w:hAnsi="宋体"/>
          <w:lang w:eastAsia="zh-CN"/>
        </w:rPr>
        <w:tab/>
      </w:r>
      <w:r>
        <w:rPr>
          <w:rFonts w:hint="eastAsia" w:ascii="宋体" w:hAnsi="宋体"/>
          <w:lang w:eastAsia="zh-CN"/>
        </w:rPr>
        <w:t xml:space="preserve">  </w:t>
      </w:r>
      <w:r>
        <w:rPr>
          <w:rFonts w:hint="eastAsia" w:ascii="宋体" w:hAnsi="宋体"/>
          <w:lang w:eastAsia="zh-CN"/>
        </w:rPr>
        <w:tab/>
      </w:r>
      <w:r>
        <w:rPr>
          <w:rFonts w:hint="eastAsia" w:ascii="宋体" w:hAnsi="宋体"/>
          <w:lang w:eastAsia="zh-CN"/>
        </w:rPr>
        <w:tab/>
      </w:r>
      <w:r>
        <w:rPr>
          <w:rFonts w:hint="eastAsia" w:ascii="宋体" w:hAnsi="宋体"/>
          <w:lang w:eastAsia="zh-CN"/>
        </w:rPr>
        <w:t>单模光纤和光缆的特性</w:t>
      </w:r>
    </w:p>
    <w:p>
      <w:pPr>
        <w:snapToGrid w:val="0"/>
        <w:spacing w:line="360" w:lineRule="auto"/>
        <w:ind w:firstLine="480" w:firstLineChars="200"/>
        <w:rPr>
          <w:rFonts w:ascii="宋体" w:hAnsi="宋体"/>
          <w:lang w:eastAsia="zh-CN"/>
        </w:rPr>
      </w:pPr>
      <w:r>
        <w:rPr>
          <w:rFonts w:hint="eastAsia" w:ascii="宋体" w:hAnsi="宋体"/>
          <w:lang w:eastAsia="zh-CN"/>
        </w:rPr>
        <w:t xml:space="preserve">ITU-T G.655-2006   </w:t>
      </w:r>
      <w:r>
        <w:rPr>
          <w:rFonts w:hint="eastAsia" w:ascii="宋体" w:hAnsi="宋体"/>
          <w:lang w:eastAsia="zh-CN"/>
        </w:rPr>
        <w:tab/>
      </w:r>
      <w:r>
        <w:rPr>
          <w:rFonts w:hint="eastAsia" w:ascii="宋体" w:hAnsi="宋体"/>
          <w:lang w:eastAsia="zh-CN"/>
        </w:rPr>
        <w:tab/>
      </w:r>
      <w:r>
        <w:rPr>
          <w:rFonts w:hint="eastAsia" w:ascii="宋体" w:hAnsi="宋体"/>
          <w:lang w:eastAsia="zh-CN"/>
        </w:rPr>
        <w:t>非零色散位移单模光纤和光缆的特性</w:t>
      </w:r>
    </w:p>
    <w:p>
      <w:pPr>
        <w:numPr>
          <w:ilvl w:val="0"/>
          <w:numId w:val="1"/>
        </w:numPr>
        <w:adjustRightInd w:val="0"/>
        <w:snapToGrid w:val="0"/>
        <w:spacing w:line="360" w:lineRule="auto"/>
        <w:textAlignment w:val="baseline"/>
        <w:outlineLvl w:val="0"/>
        <w:rPr>
          <w:rFonts w:ascii="宋体" w:hAnsi="宋体"/>
          <w:b/>
        </w:rPr>
      </w:pPr>
      <w:bookmarkStart w:id="7" w:name="_Toc346270636"/>
      <w:bookmarkStart w:id="8" w:name="_Toc96010206"/>
      <w:bookmarkStart w:id="9" w:name="_Toc306129423"/>
      <w:r>
        <w:rPr>
          <w:rFonts w:hint="eastAsia" w:ascii="宋体" w:hAnsi="宋体"/>
          <w:b/>
        </w:rPr>
        <w:t>使用条件</w:t>
      </w:r>
      <w:bookmarkEnd w:id="7"/>
      <w:bookmarkEnd w:id="8"/>
    </w:p>
    <w:p>
      <w:pPr>
        <w:tabs>
          <w:tab w:val="left" w:pos="993"/>
        </w:tabs>
        <w:adjustRightInd w:val="0"/>
        <w:snapToGrid w:val="0"/>
        <w:spacing w:line="360" w:lineRule="auto"/>
        <w:ind w:firstLine="0"/>
        <w:rPr>
          <w:rFonts w:ascii="宋体" w:hAnsi="宋体"/>
          <w:bCs/>
          <w:szCs w:val="24"/>
          <w:lang w:eastAsia="zh-CN"/>
        </w:rPr>
      </w:pPr>
      <w:bookmarkStart w:id="10" w:name="_Toc288467324"/>
      <w:bookmarkStart w:id="11" w:name="_Toc288481751"/>
      <w:bookmarkStart w:id="12" w:name="_Toc288641821"/>
      <w:r>
        <w:rPr>
          <w:rFonts w:hint="eastAsia" w:ascii="宋体" w:hAnsi="宋体"/>
          <w:b/>
          <w:vanish/>
          <w:lang w:eastAsia="zh-CN"/>
        </w:rPr>
        <w:t>3.1</w:t>
      </w:r>
      <w:r>
        <w:rPr>
          <w:rFonts w:hint="eastAsia" w:ascii="宋体" w:hAnsi="宋体"/>
          <w:bCs/>
          <w:szCs w:val="24"/>
        </w:rPr>
        <w:t>工程概况</w:t>
      </w:r>
    </w:p>
    <w:tbl>
      <w:tblPr>
        <w:tblStyle w:val="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600"/>
        <w:gridCol w:w="60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3" w:type="pct"/>
            <w:vAlign w:val="center"/>
          </w:tcPr>
          <w:p>
            <w:pPr>
              <w:ind w:firstLine="0"/>
              <w:jc w:val="center"/>
              <w:rPr>
                <w:rFonts w:ascii="宋体" w:hAnsi="宋体" w:cs="宋体"/>
                <w:szCs w:val="24"/>
              </w:rPr>
            </w:pPr>
            <w:r>
              <w:rPr>
                <w:rFonts w:hint="eastAsia" w:ascii="宋体" w:hAnsi="宋体" w:cs="宋体"/>
                <w:szCs w:val="24"/>
              </w:rPr>
              <w:t>序号</w:t>
            </w:r>
          </w:p>
        </w:tc>
        <w:tc>
          <w:tcPr>
            <w:tcW w:w="1367" w:type="pct"/>
            <w:vAlign w:val="center"/>
          </w:tcPr>
          <w:p>
            <w:pPr>
              <w:jc w:val="center"/>
              <w:rPr>
                <w:rFonts w:ascii="宋体" w:hAnsi="宋体" w:cs="宋体"/>
                <w:szCs w:val="24"/>
              </w:rPr>
            </w:pPr>
            <w:r>
              <w:rPr>
                <w:rFonts w:hint="eastAsia" w:ascii="宋体" w:hAnsi="宋体" w:cs="宋体"/>
                <w:szCs w:val="24"/>
              </w:rPr>
              <w:t>名</w:t>
            </w:r>
            <w:r>
              <w:rPr>
                <w:rFonts w:ascii="宋体" w:hAnsi="宋体" w:cs="宋体"/>
                <w:szCs w:val="24"/>
              </w:rPr>
              <w:t xml:space="preserve"> </w:t>
            </w:r>
            <w:r>
              <w:rPr>
                <w:rFonts w:hint="eastAsia" w:ascii="宋体" w:hAnsi="宋体" w:cs="宋体"/>
                <w:szCs w:val="24"/>
              </w:rPr>
              <w:t>称</w:t>
            </w:r>
          </w:p>
        </w:tc>
        <w:tc>
          <w:tcPr>
            <w:tcW w:w="3159" w:type="pct"/>
            <w:vAlign w:val="center"/>
          </w:tcPr>
          <w:p>
            <w:pPr>
              <w:ind w:left="101"/>
              <w:jc w:val="center"/>
              <w:rPr>
                <w:rFonts w:ascii="宋体" w:hAnsi="宋体" w:cs="宋体"/>
                <w:szCs w:val="24"/>
              </w:rPr>
            </w:pPr>
            <w:r>
              <w:rPr>
                <w:rFonts w:hint="eastAsia" w:ascii="宋体" w:hAnsi="宋体" w:cs="宋体"/>
                <w:szCs w:val="24"/>
              </w:rPr>
              <w:t>项目单位填写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473" w:type="pct"/>
            <w:vAlign w:val="center"/>
          </w:tcPr>
          <w:p>
            <w:pPr>
              <w:jc w:val="center"/>
              <w:rPr>
                <w:rFonts w:ascii="宋体" w:hAnsi="宋体" w:cs="宋体"/>
                <w:szCs w:val="24"/>
              </w:rPr>
            </w:pPr>
            <w:r>
              <w:rPr>
                <w:rFonts w:ascii="宋体" w:hAnsi="宋体" w:cs="宋体"/>
                <w:szCs w:val="24"/>
              </w:rPr>
              <w:t>1</w:t>
            </w:r>
          </w:p>
        </w:tc>
        <w:tc>
          <w:tcPr>
            <w:tcW w:w="1367" w:type="pct"/>
            <w:vAlign w:val="center"/>
          </w:tcPr>
          <w:p>
            <w:pPr>
              <w:jc w:val="center"/>
              <w:rPr>
                <w:rFonts w:ascii="宋体" w:hAnsi="宋体" w:cs="宋体"/>
                <w:szCs w:val="24"/>
              </w:rPr>
            </w:pPr>
            <w:r>
              <w:rPr>
                <w:rFonts w:hint="eastAsia" w:ascii="宋体" w:hAnsi="宋体" w:cs="宋体"/>
                <w:szCs w:val="24"/>
              </w:rPr>
              <w:t>工程名称</w:t>
            </w:r>
          </w:p>
        </w:tc>
        <w:tc>
          <w:tcPr>
            <w:tcW w:w="3159" w:type="pct"/>
            <w:vAlign w:val="center"/>
          </w:tcPr>
          <w:p>
            <w:pPr>
              <w:jc w:val="center"/>
              <w:rPr>
                <w:rFonts w:ascii="宋体" w:hAnsi="宋体" w:cs="宋体"/>
                <w:color w:val="000000"/>
                <w:szCs w:val="24"/>
                <w:lang w:eastAsia="zh-CN"/>
              </w:rPr>
            </w:pPr>
            <w:r>
              <w:rPr>
                <w:rFonts w:ascii="宋体" w:hAnsi="宋体" w:cs="宋体"/>
                <w:szCs w:val="24"/>
              </w:rPr>
              <w:t xml:space="preserve">230kV </w:t>
            </w:r>
            <w:r>
              <w:rPr>
                <w:rFonts w:hint="eastAsia" w:ascii="宋体" w:hAnsi="宋体" w:cs="宋体"/>
                <w:szCs w:val="24"/>
              </w:rPr>
              <w:t>B.Pompik-Mahaxai输电线路工程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473" w:type="pct"/>
            <w:vAlign w:val="center"/>
          </w:tcPr>
          <w:p>
            <w:pPr>
              <w:jc w:val="center"/>
              <w:rPr>
                <w:rFonts w:ascii="宋体" w:hAnsi="宋体" w:cs="宋体"/>
                <w:szCs w:val="24"/>
              </w:rPr>
            </w:pPr>
            <w:r>
              <w:rPr>
                <w:rFonts w:ascii="宋体" w:hAnsi="宋体" w:cs="宋体"/>
                <w:szCs w:val="24"/>
              </w:rPr>
              <w:t>2</w:t>
            </w:r>
          </w:p>
        </w:tc>
        <w:tc>
          <w:tcPr>
            <w:tcW w:w="1367" w:type="pct"/>
            <w:vAlign w:val="center"/>
          </w:tcPr>
          <w:p>
            <w:pPr>
              <w:jc w:val="center"/>
              <w:rPr>
                <w:rFonts w:ascii="宋体" w:hAnsi="宋体" w:cs="宋体"/>
                <w:szCs w:val="24"/>
              </w:rPr>
            </w:pPr>
            <w:r>
              <w:rPr>
                <w:rFonts w:hint="eastAsia" w:ascii="宋体" w:hAnsi="宋体" w:cs="宋体"/>
                <w:szCs w:val="24"/>
              </w:rPr>
              <w:t>工程建设单位</w:t>
            </w:r>
          </w:p>
        </w:tc>
        <w:tc>
          <w:tcPr>
            <w:tcW w:w="3159" w:type="pct"/>
            <w:vAlign w:val="center"/>
          </w:tcPr>
          <w:p>
            <w:pPr>
              <w:jc w:val="center"/>
              <w:rPr>
                <w:rFonts w:ascii="宋体" w:hAnsi="宋体" w:cs="宋体"/>
                <w:color w:val="000000"/>
                <w:szCs w:val="24"/>
                <w:lang w:eastAsia="zh-CN"/>
              </w:rPr>
            </w:pPr>
            <w:r>
              <w:rPr>
                <w:rFonts w:hint="eastAsia" w:ascii="宋体" w:hAnsi="宋体" w:cs="宋体"/>
                <w:szCs w:val="24"/>
                <w:lang w:eastAsia="zh-CN"/>
              </w:rPr>
              <w:t>老挝国家输电网有限责任公司（EDLT）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473" w:type="pct"/>
            <w:vAlign w:val="center"/>
          </w:tcPr>
          <w:p>
            <w:pPr>
              <w:jc w:val="center"/>
              <w:rPr>
                <w:rFonts w:ascii="宋体" w:hAnsi="宋体" w:cs="宋体"/>
                <w:szCs w:val="24"/>
              </w:rPr>
            </w:pPr>
            <w:r>
              <w:rPr>
                <w:rFonts w:ascii="宋体" w:hAnsi="宋体" w:cs="宋体"/>
                <w:szCs w:val="24"/>
              </w:rPr>
              <w:t>3</w:t>
            </w:r>
          </w:p>
        </w:tc>
        <w:tc>
          <w:tcPr>
            <w:tcW w:w="1367" w:type="pct"/>
            <w:vAlign w:val="center"/>
          </w:tcPr>
          <w:p>
            <w:pPr>
              <w:jc w:val="center"/>
              <w:rPr>
                <w:rFonts w:ascii="宋体" w:hAnsi="宋体" w:cs="宋体"/>
                <w:szCs w:val="24"/>
              </w:rPr>
            </w:pPr>
            <w:r>
              <w:rPr>
                <w:rFonts w:hint="eastAsia" w:ascii="宋体" w:hAnsi="宋体" w:cs="宋体"/>
                <w:szCs w:val="24"/>
              </w:rPr>
              <w:t>工程地址</w:t>
            </w:r>
          </w:p>
        </w:tc>
        <w:tc>
          <w:tcPr>
            <w:tcW w:w="3159" w:type="pct"/>
            <w:vAlign w:val="center"/>
          </w:tcPr>
          <w:p>
            <w:pPr>
              <w:jc w:val="center"/>
              <w:rPr>
                <w:rFonts w:ascii="宋体" w:hAnsi="宋体" w:cs="宋体"/>
                <w:color w:val="000000"/>
                <w:szCs w:val="24"/>
                <w:lang w:eastAsia="zh-CN"/>
              </w:rPr>
            </w:pPr>
            <w:r>
              <w:rPr>
                <w:rFonts w:hint="eastAsia" w:ascii="宋体" w:hAnsi="宋体" w:cs="宋体"/>
                <w:szCs w:val="24"/>
                <w:lang w:eastAsia="zh-CN"/>
              </w:rPr>
              <w:t>老挝甘蒙省、波里坎塞省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473" w:type="pct"/>
            <w:vAlign w:val="center"/>
          </w:tcPr>
          <w:p>
            <w:pPr>
              <w:jc w:val="center"/>
              <w:rPr>
                <w:rFonts w:ascii="宋体" w:hAnsi="宋体" w:cs="宋体"/>
                <w:szCs w:val="24"/>
              </w:rPr>
            </w:pPr>
            <w:r>
              <w:rPr>
                <w:rFonts w:ascii="宋体" w:hAnsi="宋体" w:cs="宋体"/>
                <w:szCs w:val="24"/>
              </w:rPr>
              <w:t>4</w:t>
            </w:r>
          </w:p>
        </w:tc>
        <w:tc>
          <w:tcPr>
            <w:tcW w:w="1367" w:type="pct"/>
            <w:vAlign w:val="center"/>
          </w:tcPr>
          <w:p>
            <w:pPr>
              <w:jc w:val="center"/>
              <w:rPr>
                <w:rFonts w:ascii="宋体" w:hAnsi="宋体" w:cs="宋体"/>
                <w:szCs w:val="24"/>
              </w:rPr>
            </w:pPr>
            <w:r>
              <w:rPr>
                <w:rFonts w:hint="eastAsia" w:ascii="宋体" w:hAnsi="宋体" w:cs="宋体"/>
                <w:szCs w:val="24"/>
              </w:rPr>
              <w:t>运输条件</w:t>
            </w:r>
          </w:p>
        </w:tc>
        <w:tc>
          <w:tcPr>
            <w:tcW w:w="3159" w:type="pct"/>
            <w:vAlign w:val="center"/>
          </w:tcPr>
          <w:p>
            <w:pPr>
              <w:jc w:val="center"/>
              <w:rPr>
                <w:rFonts w:ascii="宋体" w:hAnsi="宋体" w:cs="宋体"/>
                <w:color w:val="000000"/>
                <w:szCs w:val="24"/>
              </w:rPr>
            </w:pPr>
            <w:r>
              <w:rPr>
                <w:rFonts w:hint="eastAsia" w:ascii="宋体" w:hAnsi="宋体" w:cs="宋体"/>
                <w:szCs w:val="24"/>
                <w:lang w:eastAsia="zh-CN"/>
              </w:rPr>
              <w:t>铁路+公路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473" w:type="pct"/>
            <w:vAlign w:val="center"/>
          </w:tcPr>
          <w:p>
            <w:pPr>
              <w:jc w:val="center"/>
              <w:rPr>
                <w:rFonts w:ascii="宋体" w:hAnsi="宋体" w:cs="宋体"/>
                <w:szCs w:val="24"/>
              </w:rPr>
            </w:pPr>
            <w:r>
              <w:rPr>
                <w:rFonts w:ascii="宋体" w:hAnsi="宋体" w:cs="宋体"/>
                <w:szCs w:val="24"/>
              </w:rPr>
              <w:t>5</w:t>
            </w:r>
          </w:p>
        </w:tc>
        <w:tc>
          <w:tcPr>
            <w:tcW w:w="1367" w:type="pct"/>
            <w:vAlign w:val="center"/>
          </w:tcPr>
          <w:p>
            <w:pPr>
              <w:jc w:val="center"/>
              <w:rPr>
                <w:rFonts w:ascii="宋体" w:hAnsi="宋体" w:cs="宋体"/>
                <w:szCs w:val="24"/>
              </w:rPr>
            </w:pPr>
            <w:r>
              <w:rPr>
                <w:rFonts w:hint="eastAsia" w:ascii="宋体" w:hAnsi="宋体" w:cs="宋体"/>
                <w:szCs w:val="24"/>
              </w:rPr>
              <w:t>交货地点</w:t>
            </w:r>
          </w:p>
        </w:tc>
        <w:tc>
          <w:tcPr>
            <w:tcW w:w="3159" w:type="pct"/>
            <w:vAlign w:val="center"/>
          </w:tcPr>
          <w:p>
            <w:pPr>
              <w:jc w:val="center"/>
              <w:rPr>
                <w:rFonts w:ascii="宋体" w:hAnsi="宋体" w:cs="宋体"/>
                <w:szCs w:val="24"/>
                <w:lang w:eastAsia="zh-CN"/>
              </w:rPr>
            </w:pPr>
            <w:r>
              <w:rPr>
                <w:rFonts w:hint="eastAsia" w:ascii="宋体" w:hAnsi="宋体" w:cs="宋体"/>
                <w:szCs w:val="24"/>
                <w:lang w:eastAsia="zh-CN"/>
              </w:rPr>
              <w:t>老挝甘蒙省、波里坎塞省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473" w:type="pct"/>
            <w:vAlign w:val="center"/>
          </w:tcPr>
          <w:p>
            <w:pPr>
              <w:jc w:val="center"/>
              <w:rPr>
                <w:rFonts w:ascii="宋体" w:hAnsi="宋体" w:cs="宋体"/>
                <w:szCs w:val="24"/>
              </w:rPr>
            </w:pPr>
            <w:r>
              <w:rPr>
                <w:rFonts w:ascii="宋体" w:hAnsi="宋体" w:cs="宋体"/>
                <w:szCs w:val="24"/>
              </w:rPr>
              <w:t>6</w:t>
            </w:r>
          </w:p>
        </w:tc>
        <w:tc>
          <w:tcPr>
            <w:tcW w:w="1367" w:type="pct"/>
            <w:vAlign w:val="center"/>
          </w:tcPr>
          <w:p>
            <w:pPr>
              <w:jc w:val="center"/>
              <w:rPr>
                <w:rFonts w:ascii="宋体" w:hAnsi="宋体" w:cs="宋体"/>
                <w:szCs w:val="24"/>
              </w:rPr>
            </w:pPr>
            <w:r>
              <w:rPr>
                <w:rFonts w:hint="eastAsia" w:ascii="宋体" w:hAnsi="宋体" w:cs="宋体"/>
                <w:szCs w:val="24"/>
              </w:rPr>
              <w:t>交货方式</w:t>
            </w:r>
          </w:p>
        </w:tc>
        <w:tc>
          <w:tcPr>
            <w:tcW w:w="3159" w:type="pct"/>
            <w:vAlign w:val="center"/>
          </w:tcPr>
          <w:p>
            <w:pPr>
              <w:jc w:val="center"/>
              <w:rPr>
                <w:rFonts w:ascii="宋体" w:hAnsi="宋体" w:cs="宋体"/>
                <w:szCs w:val="24"/>
                <w:lang w:eastAsia="zh-CN"/>
              </w:rPr>
            </w:pPr>
            <w:r>
              <w:rPr>
                <w:rFonts w:hint="eastAsia" w:ascii="宋体" w:hAnsi="宋体" w:cs="宋体"/>
                <w:szCs w:val="24"/>
                <w:lang w:eastAsia="zh-CN"/>
              </w:rPr>
              <w:t>现场交货</w:t>
            </w:r>
          </w:p>
        </w:tc>
      </w:tr>
    </w:tbl>
    <w:p>
      <w:pPr>
        <w:tabs>
          <w:tab w:val="left" w:pos="993"/>
        </w:tabs>
        <w:adjustRightInd w:val="0"/>
        <w:snapToGrid w:val="0"/>
        <w:spacing w:line="360" w:lineRule="auto"/>
        <w:ind w:firstLine="0"/>
        <w:rPr>
          <w:rFonts w:ascii="宋体" w:hAnsi="宋体"/>
          <w:b/>
          <w:vanish/>
          <w:lang w:eastAsia="zh-CN"/>
        </w:rPr>
      </w:pPr>
    </w:p>
    <w:p>
      <w:pPr>
        <w:tabs>
          <w:tab w:val="left" w:pos="993"/>
        </w:tabs>
        <w:adjustRightInd w:val="0"/>
        <w:snapToGrid w:val="0"/>
        <w:spacing w:line="360" w:lineRule="auto"/>
        <w:ind w:firstLine="0"/>
        <w:rPr>
          <w:rFonts w:ascii="宋体" w:hAnsi="宋体"/>
          <w:b/>
          <w:lang w:eastAsia="zh-CN"/>
        </w:rPr>
      </w:pPr>
      <w:r>
        <w:rPr>
          <w:rFonts w:hint="eastAsia" w:ascii="宋体" w:hAnsi="宋体"/>
          <w:b/>
          <w:vanish/>
          <w:lang w:eastAsia="zh-CN"/>
        </w:rPr>
        <w:t>3.2</w:t>
      </w:r>
      <w:r>
        <w:rPr>
          <w:rFonts w:hint="eastAsia" w:ascii="宋体" w:hAnsi="宋体"/>
          <w:b/>
          <w:lang w:eastAsia="zh-CN"/>
        </w:rPr>
        <w:t>正常使用条件</w:t>
      </w:r>
      <w:bookmarkEnd w:id="10"/>
      <w:bookmarkEnd w:id="11"/>
      <w:bookmarkEnd w:id="12"/>
    </w:p>
    <w:p>
      <w:pPr>
        <w:pStyle w:val="3"/>
        <w:spacing w:line="360" w:lineRule="auto"/>
        <w:ind w:firstLine="480" w:firstLineChars="200"/>
        <w:rPr>
          <w:rFonts w:ascii="Times New Roman" w:hAnsi="Times New Roman"/>
          <w:color w:val="000000"/>
          <w:sz w:val="24"/>
          <w:szCs w:val="24"/>
        </w:rPr>
      </w:pPr>
      <w:r>
        <w:rPr>
          <w:rFonts w:ascii="Times New Roman" w:hAnsi="Times New Roman"/>
          <w:color w:val="000000"/>
          <w:sz w:val="24"/>
          <w:szCs w:val="24"/>
        </w:rPr>
        <w:t>1）海拔高度：</w:t>
      </w:r>
      <w:r>
        <w:rPr>
          <w:rFonts w:hint="eastAsia" w:ascii="Times New Roman" w:hAnsi="Times New Roman"/>
          <w:color w:val="000000"/>
          <w:sz w:val="24"/>
          <w:szCs w:val="24"/>
        </w:rPr>
        <w:tab/>
      </w:r>
      <w:r>
        <w:rPr>
          <w:rFonts w:hint="eastAsia" w:hAnsi="宋体"/>
          <w:color w:val="000000"/>
          <w:sz w:val="24"/>
          <w:szCs w:val="24"/>
        </w:rPr>
        <w:t>0～</w:t>
      </w:r>
      <w:r>
        <w:rPr>
          <w:rFonts w:hint="eastAsia" w:ascii="Times New Roman" w:hAnsi="Times New Roman"/>
          <w:color w:val="000000"/>
          <w:sz w:val="24"/>
          <w:szCs w:val="24"/>
          <w:lang w:eastAsia="zh-CN"/>
        </w:rPr>
        <w:t>3</w:t>
      </w:r>
      <w:r>
        <w:rPr>
          <w:rFonts w:hint="eastAsia" w:ascii="Times New Roman" w:hAnsi="Times New Roman"/>
          <w:color w:val="000000"/>
          <w:sz w:val="24"/>
          <w:szCs w:val="24"/>
        </w:rPr>
        <w:t>500</w:t>
      </w:r>
      <w:r>
        <w:rPr>
          <w:rFonts w:ascii="Times New Roman" w:hAnsi="Times New Roman"/>
          <w:color w:val="000000"/>
          <w:sz w:val="24"/>
          <w:szCs w:val="24"/>
        </w:rPr>
        <w:t>m；</w:t>
      </w:r>
    </w:p>
    <w:p>
      <w:pPr>
        <w:pStyle w:val="3"/>
        <w:spacing w:line="360" w:lineRule="auto"/>
        <w:ind w:firstLine="480" w:firstLineChars="200"/>
        <w:rPr>
          <w:rFonts w:ascii="Times New Roman" w:hAnsi="Times New Roman"/>
          <w:color w:val="000000"/>
          <w:sz w:val="24"/>
          <w:szCs w:val="24"/>
          <w:lang w:eastAsia="zh-CN"/>
        </w:rPr>
      </w:pPr>
      <w:r>
        <w:rPr>
          <w:rFonts w:ascii="Times New Roman" w:hAnsi="Times New Roman"/>
          <w:color w:val="000000"/>
          <w:sz w:val="24"/>
          <w:szCs w:val="24"/>
          <w:lang w:eastAsia="zh-CN"/>
        </w:rPr>
        <w:t>2）最高环境温度：+</w:t>
      </w:r>
      <w:r>
        <w:rPr>
          <w:rFonts w:hint="eastAsia" w:ascii="Times New Roman" w:hAnsi="Times New Roman"/>
          <w:color w:val="000000"/>
          <w:sz w:val="24"/>
          <w:szCs w:val="24"/>
          <w:lang w:eastAsia="zh-CN"/>
        </w:rPr>
        <w:t>65</w:t>
      </w:r>
      <w:r>
        <w:rPr>
          <w:rFonts w:ascii="Times New Roman" w:hAnsi="Times New Roman"/>
          <w:color w:val="000000"/>
          <w:sz w:val="24"/>
          <w:szCs w:val="24"/>
          <w:lang w:eastAsia="zh-CN"/>
        </w:rPr>
        <w:t>ºC；</w:t>
      </w:r>
    </w:p>
    <w:p>
      <w:pPr>
        <w:pStyle w:val="3"/>
        <w:spacing w:line="360" w:lineRule="auto"/>
        <w:ind w:firstLine="480" w:firstLineChars="200"/>
        <w:rPr>
          <w:rFonts w:ascii="Times New Roman" w:hAnsi="Times New Roman"/>
          <w:color w:val="000000"/>
          <w:sz w:val="24"/>
          <w:szCs w:val="24"/>
          <w:lang w:eastAsia="zh-CN"/>
        </w:rPr>
      </w:pPr>
      <w:r>
        <w:rPr>
          <w:rFonts w:ascii="Times New Roman" w:hAnsi="Times New Roman"/>
          <w:color w:val="000000"/>
          <w:sz w:val="24"/>
          <w:szCs w:val="24"/>
          <w:lang w:eastAsia="zh-CN"/>
        </w:rPr>
        <w:t>3）最低环境温度：-</w:t>
      </w:r>
      <w:r>
        <w:rPr>
          <w:rFonts w:hint="eastAsia" w:ascii="Times New Roman" w:hAnsi="Times New Roman"/>
          <w:color w:val="000000"/>
          <w:sz w:val="24"/>
          <w:szCs w:val="24"/>
          <w:lang w:eastAsia="zh-CN"/>
        </w:rPr>
        <w:t>4</w:t>
      </w:r>
      <w:r>
        <w:rPr>
          <w:rFonts w:ascii="Times New Roman" w:hAnsi="Times New Roman"/>
          <w:color w:val="000000"/>
          <w:sz w:val="24"/>
          <w:szCs w:val="24"/>
          <w:lang w:eastAsia="zh-CN"/>
        </w:rPr>
        <w:t>0ºC；</w:t>
      </w:r>
    </w:p>
    <w:p>
      <w:pPr>
        <w:pStyle w:val="3"/>
        <w:spacing w:line="360" w:lineRule="auto"/>
        <w:ind w:firstLine="480" w:firstLineChars="200"/>
        <w:rPr>
          <w:rFonts w:ascii="Times New Roman" w:hAnsi="Times New Roman"/>
          <w:color w:val="000000"/>
          <w:sz w:val="24"/>
          <w:szCs w:val="24"/>
          <w:lang w:eastAsia="zh-CN"/>
        </w:rPr>
      </w:pPr>
      <w:r>
        <w:rPr>
          <w:rFonts w:ascii="Times New Roman" w:hAnsi="Times New Roman"/>
          <w:color w:val="000000"/>
          <w:sz w:val="24"/>
          <w:szCs w:val="24"/>
          <w:lang w:eastAsia="zh-CN"/>
        </w:rPr>
        <w:t>4）年平均气温：20ºC；</w:t>
      </w:r>
    </w:p>
    <w:p>
      <w:pPr>
        <w:pStyle w:val="3"/>
        <w:spacing w:line="360" w:lineRule="auto"/>
        <w:ind w:firstLine="480" w:firstLineChars="200"/>
        <w:rPr>
          <w:rFonts w:ascii="Times New Roman" w:hAnsi="Times New Roman"/>
          <w:color w:val="000000"/>
          <w:sz w:val="24"/>
          <w:szCs w:val="24"/>
          <w:lang w:eastAsia="zh-CN"/>
        </w:rPr>
      </w:pPr>
      <w:r>
        <w:rPr>
          <w:rFonts w:ascii="Times New Roman" w:hAnsi="Times New Roman"/>
          <w:color w:val="000000"/>
          <w:sz w:val="24"/>
          <w:szCs w:val="24"/>
          <w:lang w:eastAsia="zh-CN"/>
        </w:rPr>
        <w:t>5）最大日温差：30ºC；</w:t>
      </w:r>
    </w:p>
    <w:p>
      <w:pPr>
        <w:pStyle w:val="3"/>
        <w:spacing w:line="360" w:lineRule="auto"/>
        <w:ind w:firstLine="480" w:firstLineChars="200"/>
        <w:rPr>
          <w:rFonts w:ascii="Times New Roman" w:hAnsi="Times New Roman"/>
          <w:color w:val="000000"/>
          <w:sz w:val="24"/>
          <w:szCs w:val="24"/>
        </w:rPr>
      </w:pPr>
      <w:r>
        <w:rPr>
          <w:rFonts w:ascii="Times New Roman" w:hAnsi="Times New Roman"/>
          <w:color w:val="000000"/>
          <w:sz w:val="24"/>
          <w:szCs w:val="24"/>
        </w:rPr>
        <w:t>6）日照强度：</w:t>
      </w:r>
      <w:r>
        <w:rPr>
          <w:rFonts w:hint="eastAsia" w:ascii="Times New Roman" w:hAnsi="Times New Roman"/>
          <w:color w:val="000000"/>
          <w:sz w:val="24"/>
          <w:szCs w:val="24"/>
        </w:rPr>
        <w:tab/>
      </w:r>
      <w:r>
        <w:rPr>
          <w:rFonts w:hint="eastAsia" w:ascii="Times New Roman" w:hAnsi="Times New Roman"/>
          <w:color w:val="000000"/>
          <w:sz w:val="24"/>
          <w:szCs w:val="24"/>
        </w:rPr>
        <w:t>0</w:t>
      </w:r>
      <w:r>
        <w:rPr>
          <w:rFonts w:ascii="Times New Roman" w:hAnsi="Times New Roman"/>
          <w:color w:val="000000"/>
          <w:sz w:val="24"/>
          <w:szCs w:val="24"/>
        </w:rPr>
        <w:t>.1W/</w:t>
      </w:r>
      <w:r>
        <w:rPr>
          <w:rFonts w:hint="eastAsia" w:ascii="Times New Roman" w:hAnsi="Times New Roman"/>
          <w:color w:val="000000"/>
          <w:sz w:val="24"/>
          <w:szCs w:val="24"/>
        </w:rPr>
        <w:t>c</w:t>
      </w:r>
      <w:r>
        <w:rPr>
          <w:rFonts w:ascii="Times New Roman" w:hAnsi="Times New Roman"/>
          <w:color w:val="000000"/>
          <w:sz w:val="24"/>
          <w:szCs w:val="24"/>
        </w:rPr>
        <w:t>m</w:t>
      </w:r>
      <w:r>
        <w:rPr>
          <w:rFonts w:ascii="Times New Roman" w:hAnsi="Times New Roman"/>
          <w:color w:val="000000"/>
          <w:sz w:val="24"/>
          <w:szCs w:val="24"/>
          <w:vertAlign w:val="superscript"/>
        </w:rPr>
        <w:t>2</w:t>
      </w:r>
      <w:r>
        <w:rPr>
          <w:rFonts w:ascii="Times New Roman" w:hAnsi="Times New Roman"/>
          <w:color w:val="000000"/>
          <w:sz w:val="24"/>
          <w:szCs w:val="24"/>
        </w:rPr>
        <w:t>；</w:t>
      </w:r>
    </w:p>
    <w:p>
      <w:pPr>
        <w:pStyle w:val="3"/>
        <w:spacing w:line="360" w:lineRule="auto"/>
        <w:ind w:firstLine="480" w:firstLineChars="200"/>
        <w:rPr>
          <w:rFonts w:ascii="Times New Roman" w:hAnsi="Times New Roman"/>
          <w:sz w:val="24"/>
          <w:szCs w:val="24"/>
        </w:rPr>
      </w:pPr>
      <w:r>
        <w:rPr>
          <w:rFonts w:ascii="Times New Roman" w:hAnsi="Times New Roman"/>
          <w:sz w:val="24"/>
          <w:szCs w:val="24"/>
        </w:rPr>
        <w:t>7）覆冰厚度：</w:t>
      </w:r>
      <w:r>
        <w:rPr>
          <w:rFonts w:hint="eastAsia" w:ascii="Times New Roman" w:hAnsi="Times New Roman"/>
          <w:sz w:val="24"/>
          <w:szCs w:val="24"/>
        </w:rPr>
        <w:tab/>
      </w:r>
      <w:r>
        <w:rPr>
          <w:rFonts w:hint="eastAsia" w:hAnsi="宋体"/>
          <w:sz w:val="24"/>
          <w:szCs w:val="24"/>
        </w:rPr>
        <w:t>≤</w:t>
      </w:r>
      <w:r>
        <w:rPr>
          <w:rFonts w:hint="eastAsia" w:ascii="Times New Roman" w:hAnsi="Times New Roman"/>
          <w:sz w:val="24"/>
          <w:szCs w:val="24"/>
        </w:rPr>
        <w:t>4</w:t>
      </w:r>
      <w:r>
        <w:rPr>
          <w:rFonts w:ascii="Times New Roman" w:hAnsi="Times New Roman"/>
          <w:sz w:val="24"/>
          <w:szCs w:val="24"/>
        </w:rPr>
        <w:t>0mm；</w:t>
      </w:r>
    </w:p>
    <w:p>
      <w:pPr>
        <w:pStyle w:val="3"/>
        <w:spacing w:line="360" w:lineRule="auto"/>
        <w:ind w:firstLine="480" w:firstLineChars="200"/>
        <w:rPr>
          <w:rFonts w:ascii="Times New Roman" w:hAnsi="Times New Roman"/>
          <w:sz w:val="24"/>
          <w:szCs w:val="24"/>
        </w:rPr>
      </w:pPr>
      <w:r>
        <w:rPr>
          <w:rFonts w:ascii="Times New Roman" w:hAnsi="Times New Roman"/>
          <w:sz w:val="24"/>
          <w:szCs w:val="24"/>
        </w:rPr>
        <w:t>8</w:t>
      </w:r>
      <w:r>
        <w:rPr>
          <w:rFonts w:ascii="Times New Roman" w:hAnsi="宋体"/>
          <w:sz w:val="24"/>
          <w:szCs w:val="24"/>
        </w:rPr>
        <w:t>）最大风速</w:t>
      </w:r>
      <w:r>
        <w:rPr>
          <w:rFonts w:hint="eastAsia" w:ascii="Times New Roman" w:hAnsi="宋体"/>
          <w:sz w:val="24"/>
          <w:szCs w:val="24"/>
        </w:rPr>
        <w:t>：</w:t>
      </w:r>
      <w:r>
        <w:rPr>
          <w:rFonts w:ascii="Times New Roman" w:hAnsi="Times New Roman"/>
          <w:sz w:val="24"/>
          <w:szCs w:val="24"/>
        </w:rPr>
        <w:tab/>
      </w:r>
      <w:r>
        <w:rPr>
          <w:rFonts w:hint="eastAsia" w:ascii="Times New Roman" w:hAnsi="Times New Roman"/>
          <w:sz w:val="24"/>
          <w:szCs w:val="24"/>
        </w:rPr>
        <w:t xml:space="preserve"> </w:t>
      </w:r>
      <w:r>
        <w:rPr>
          <w:rFonts w:hint="eastAsia" w:hAnsi="宋体"/>
          <w:sz w:val="24"/>
          <w:szCs w:val="24"/>
        </w:rPr>
        <w:t>≤</w:t>
      </w:r>
      <w:r>
        <w:rPr>
          <w:rFonts w:hint="eastAsia"/>
          <w:sz w:val="24"/>
          <w:szCs w:val="24"/>
          <w:lang w:eastAsia="zh-CN"/>
        </w:rPr>
        <w:t>30</w:t>
      </w:r>
      <w:r>
        <w:rPr>
          <w:rFonts w:hint="eastAsia"/>
          <w:sz w:val="24"/>
          <w:szCs w:val="24"/>
        </w:rPr>
        <w:t>m/s（离地10m高）</w:t>
      </w:r>
      <w:r>
        <w:rPr>
          <w:rFonts w:hint="eastAsia" w:ascii="Times New Roman" w:hAnsi="Times New Roman"/>
          <w:sz w:val="24"/>
          <w:szCs w:val="24"/>
        </w:rPr>
        <w:t>；</w:t>
      </w:r>
    </w:p>
    <w:p>
      <w:pPr>
        <w:pStyle w:val="3"/>
        <w:spacing w:line="360" w:lineRule="auto"/>
        <w:ind w:firstLine="480" w:firstLineChars="200"/>
        <w:rPr>
          <w:rFonts w:ascii="Times New Roman" w:hAnsi="Times New Roman"/>
          <w:color w:val="000000"/>
          <w:sz w:val="24"/>
          <w:szCs w:val="24"/>
          <w:lang w:eastAsia="zh-CN"/>
        </w:rPr>
      </w:pPr>
      <w:r>
        <w:rPr>
          <w:rFonts w:ascii="Times New Roman" w:hAnsi="Times New Roman"/>
          <w:color w:val="000000"/>
          <w:sz w:val="24"/>
          <w:szCs w:val="24"/>
          <w:lang w:eastAsia="zh-CN"/>
        </w:rPr>
        <w:t>9）环境相对湿度：</w:t>
      </w:r>
    </w:p>
    <w:p>
      <w:pPr>
        <w:pStyle w:val="3"/>
        <w:spacing w:line="360" w:lineRule="auto"/>
        <w:ind w:firstLine="840" w:firstLineChars="350"/>
        <w:rPr>
          <w:rFonts w:ascii="Times New Roman" w:hAnsi="Times New Roman"/>
          <w:color w:val="000000"/>
          <w:sz w:val="24"/>
          <w:szCs w:val="24"/>
          <w:lang w:eastAsia="zh-CN"/>
        </w:rPr>
      </w:pPr>
      <w:r>
        <w:rPr>
          <w:rFonts w:ascii="Times New Roman" w:hAnsi="Times New Roman"/>
          <w:color w:val="000000"/>
          <w:sz w:val="24"/>
          <w:szCs w:val="24"/>
          <w:lang w:eastAsia="zh-CN"/>
        </w:rPr>
        <w:t>日平均值：</w:t>
      </w:r>
      <w:r>
        <w:rPr>
          <w:rFonts w:hint="eastAsia" w:ascii="Times New Roman" w:hAnsi="Times New Roman"/>
          <w:color w:val="000000"/>
          <w:sz w:val="24"/>
          <w:szCs w:val="24"/>
          <w:lang w:eastAsia="zh-CN"/>
        </w:rPr>
        <w:tab/>
      </w:r>
      <w:r>
        <w:rPr>
          <w:rFonts w:ascii="Times New Roman" w:hAnsi="Times New Roman"/>
          <w:color w:val="000000"/>
          <w:sz w:val="24"/>
          <w:szCs w:val="24"/>
          <w:lang w:eastAsia="zh-CN"/>
        </w:rPr>
        <w:t>95%；</w:t>
      </w:r>
    </w:p>
    <w:p>
      <w:pPr>
        <w:pStyle w:val="3"/>
        <w:spacing w:line="360" w:lineRule="auto"/>
        <w:ind w:firstLine="840" w:firstLineChars="350"/>
        <w:rPr>
          <w:rFonts w:ascii="Times New Roman" w:hAnsi="Times New Roman"/>
          <w:color w:val="000000"/>
          <w:sz w:val="24"/>
          <w:szCs w:val="24"/>
          <w:lang w:eastAsia="zh-CN"/>
        </w:rPr>
      </w:pPr>
      <w:r>
        <w:rPr>
          <w:rFonts w:ascii="Times New Roman" w:hAnsi="Times New Roman"/>
          <w:color w:val="000000"/>
          <w:sz w:val="24"/>
          <w:szCs w:val="24"/>
          <w:lang w:eastAsia="zh-CN"/>
        </w:rPr>
        <w:t>月平均值：</w:t>
      </w:r>
      <w:r>
        <w:rPr>
          <w:rFonts w:hint="eastAsia" w:ascii="Times New Roman" w:hAnsi="Times New Roman"/>
          <w:color w:val="000000"/>
          <w:sz w:val="24"/>
          <w:szCs w:val="24"/>
          <w:lang w:eastAsia="zh-CN"/>
        </w:rPr>
        <w:tab/>
      </w:r>
      <w:r>
        <w:rPr>
          <w:rFonts w:ascii="Times New Roman" w:hAnsi="Times New Roman"/>
          <w:color w:val="000000"/>
          <w:sz w:val="24"/>
          <w:szCs w:val="24"/>
          <w:lang w:eastAsia="zh-CN"/>
        </w:rPr>
        <w:t>90%；</w:t>
      </w:r>
    </w:p>
    <w:p>
      <w:pPr>
        <w:pStyle w:val="3"/>
        <w:spacing w:line="360" w:lineRule="auto"/>
        <w:ind w:firstLine="480" w:firstLineChars="200"/>
        <w:rPr>
          <w:rFonts w:ascii="Times New Roman" w:hAnsi="Times New Roman"/>
          <w:color w:val="000000"/>
          <w:sz w:val="24"/>
          <w:szCs w:val="24"/>
          <w:lang w:eastAsia="zh-CN"/>
        </w:rPr>
      </w:pPr>
      <w:r>
        <w:rPr>
          <w:rFonts w:ascii="Times New Roman" w:hAnsi="Times New Roman"/>
          <w:color w:val="000000"/>
          <w:sz w:val="24"/>
          <w:szCs w:val="24"/>
          <w:lang w:eastAsia="zh-CN"/>
        </w:rPr>
        <w:t>10）污秽等级：</w:t>
      </w:r>
      <w:r>
        <w:rPr>
          <w:rFonts w:hint="eastAsia" w:ascii="Times New Roman" w:hAnsi="宋体"/>
          <w:color w:val="000000"/>
          <w:sz w:val="24"/>
          <w:szCs w:val="24"/>
          <w:lang w:eastAsia="zh-CN"/>
        </w:rPr>
        <w:t>0</w:t>
      </w:r>
      <w:r>
        <w:rPr>
          <w:rFonts w:hint="eastAsia" w:hAnsi="宋体"/>
          <w:color w:val="000000"/>
          <w:sz w:val="24"/>
          <w:szCs w:val="24"/>
          <w:lang w:eastAsia="zh-CN"/>
        </w:rPr>
        <w:t>～Ⅳ</w:t>
      </w:r>
      <w:r>
        <w:rPr>
          <w:rFonts w:hint="eastAsia" w:ascii="Times New Roman" w:hAnsi="宋体"/>
          <w:color w:val="000000"/>
          <w:sz w:val="24"/>
          <w:szCs w:val="24"/>
          <w:lang w:eastAsia="zh-CN"/>
        </w:rPr>
        <w:t>级</w:t>
      </w:r>
      <w:r>
        <w:rPr>
          <w:rFonts w:hint="eastAsia" w:ascii="Times New Roman" w:hAnsi="Times New Roman"/>
          <w:color w:val="000000"/>
          <w:sz w:val="24"/>
          <w:szCs w:val="24"/>
          <w:lang w:eastAsia="zh-CN"/>
        </w:rPr>
        <w:t>。</w:t>
      </w:r>
    </w:p>
    <w:p>
      <w:pPr>
        <w:tabs>
          <w:tab w:val="left" w:pos="993"/>
        </w:tabs>
        <w:adjustRightInd w:val="0"/>
        <w:snapToGrid w:val="0"/>
        <w:spacing w:line="360" w:lineRule="auto"/>
        <w:ind w:firstLine="0"/>
        <w:rPr>
          <w:rFonts w:ascii="宋体" w:hAnsi="宋体"/>
          <w:b/>
          <w:vanish/>
          <w:lang w:eastAsia="zh-CN"/>
        </w:rPr>
      </w:pPr>
      <w:bookmarkStart w:id="13" w:name="_Toc288467325"/>
      <w:bookmarkStart w:id="14" w:name="_Toc288481752"/>
      <w:bookmarkStart w:id="15" w:name="_Toc288641822"/>
      <w:r>
        <w:rPr>
          <w:rFonts w:hint="eastAsia" w:ascii="宋体" w:hAnsi="宋体"/>
          <w:b/>
          <w:vanish/>
          <w:lang w:eastAsia="zh-CN"/>
        </w:rPr>
        <w:t>3.3特殊使用条件</w:t>
      </w:r>
      <w:bookmarkEnd w:id="13"/>
      <w:bookmarkEnd w:id="14"/>
      <w:bookmarkEnd w:id="15"/>
    </w:p>
    <w:p>
      <w:pPr>
        <w:adjustRightInd w:val="0"/>
        <w:snapToGrid w:val="0"/>
        <w:spacing w:line="360" w:lineRule="auto"/>
        <w:ind w:firstLine="480" w:firstLineChars="200"/>
        <w:rPr>
          <w:lang w:eastAsia="zh-CN"/>
        </w:rPr>
      </w:pPr>
      <w:r>
        <w:rPr>
          <w:rFonts w:hint="eastAsia"/>
          <w:lang w:eastAsia="zh-CN"/>
        </w:rPr>
        <w:t>在下列</w:t>
      </w:r>
      <w:r>
        <w:rPr>
          <w:lang w:eastAsia="zh-CN"/>
        </w:rPr>
        <w:t>特殊条件</w:t>
      </w:r>
      <w:r>
        <w:rPr>
          <w:rFonts w:hint="eastAsia"/>
          <w:lang w:eastAsia="zh-CN"/>
        </w:rPr>
        <w:t>或不满足上述正常使用条件下使用的设备</w:t>
      </w:r>
      <w:r>
        <w:rPr>
          <w:lang w:eastAsia="zh-CN"/>
        </w:rPr>
        <w:t>，</w:t>
      </w:r>
      <w:r>
        <w:rPr>
          <w:rFonts w:hint="eastAsia"/>
          <w:lang w:eastAsia="zh-CN"/>
        </w:rPr>
        <w:t>使用单位</w:t>
      </w:r>
      <w:r>
        <w:rPr>
          <w:lang w:eastAsia="zh-CN"/>
        </w:rPr>
        <w:t>应在订货时说明</w:t>
      </w:r>
      <w:r>
        <w:rPr>
          <w:rFonts w:hint="eastAsia"/>
          <w:lang w:eastAsia="zh-CN"/>
        </w:rPr>
        <w:t>，由厂家按合同要求供货</w:t>
      </w:r>
      <w:r>
        <w:rPr>
          <w:lang w:eastAsia="zh-CN"/>
        </w:rPr>
        <w:t>。</w:t>
      </w:r>
    </w:p>
    <w:p>
      <w:pPr>
        <w:pStyle w:val="3"/>
        <w:spacing w:line="360" w:lineRule="auto"/>
        <w:ind w:firstLine="480" w:firstLineChars="200"/>
        <w:rPr>
          <w:rFonts w:ascii="Times New Roman" w:hAnsi="Times New Roman"/>
          <w:color w:val="000000"/>
          <w:sz w:val="24"/>
          <w:szCs w:val="24"/>
          <w:lang w:eastAsia="zh-CN"/>
        </w:rPr>
      </w:pPr>
      <w:r>
        <w:rPr>
          <w:rFonts w:hint="eastAsia"/>
          <w:color w:val="000000"/>
          <w:sz w:val="24"/>
          <w:szCs w:val="24"/>
          <w:lang w:eastAsia="zh-CN"/>
        </w:rPr>
        <w:t>1</w:t>
      </w:r>
      <w:r>
        <w:rPr>
          <w:rFonts w:hint="eastAsia" w:ascii="Times New Roman" w:hAnsi="Times New Roman"/>
          <w:color w:val="000000"/>
          <w:sz w:val="24"/>
          <w:szCs w:val="24"/>
          <w:lang w:eastAsia="zh-CN"/>
        </w:rPr>
        <w:t>）可能使OPGW产生腐蚀的烟气或蒸汽；</w:t>
      </w:r>
    </w:p>
    <w:p>
      <w:pPr>
        <w:pStyle w:val="3"/>
        <w:spacing w:line="360" w:lineRule="auto"/>
        <w:ind w:firstLine="480" w:firstLineChars="200"/>
        <w:rPr>
          <w:rFonts w:ascii="Times New Roman" w:hAnsi="Times New Roman"/>
          <w:color w:val="000000"/>
          <w:sz w:val="24"/>
          <w:szCs w:val="24"/>
          <w:lang w:eastAsia="zh-CN"/>
        </w:rPr>
      </w:pPr>
      <w:r>
        <w:rPr>
          <w:rFonts w:hint="eastAsia" w:ascii="Times New Roman" w:hAnsi="Times New Roman"/>
          <w:color w:val="000000"/>
          <w:sz w:val="24"/>
          <w:szCs w:val="24"/>
          <w:lang w:eastAsia="zh-CN"/>
        </w:rPr>
        <w:t>2）因烟气、灰尘、盐雾或其它导电物质引起的严重污染；</w:t>
      </w:r>
    </w:p>
    <w:p>
      <w:pPr>
        <w:pStyle w:val="3"/>
        <w:spacing w:line="360" w:lineRule="auto"/>
        <w:ind w:firstLine="480" w:firstLineChars="200"/>
        <w:rPr>
          <w:rFonts w:ascii="Times New Roman" w:hAnsi="Times New Roman"/>
          <w:color w:val="000000"/>
          <w:sz w:val="24"/>
          <w:szCs w:val="24"/>
          <w:lang w:eastAsia="zh-CN"/>
        </w:rPr>
      </w:pPr>
      <w:r>
        <w:rPr>
          <w:rFonts w:hint="eastAsia" w:ascii="Times New Roman" w:hAnsi="Times New Roman"/>
          <w:color w:val="000000"/>
          <w:sz w:val="24"/>
          <w:szCs w:val="24"/>
          <w:lang w:eastAsia="zh-CN"/>
        </w:rPr>
        <w:t>3）设备靠近热源；</w:t>
      </w:r>
    </w:p>
    <w:p>
      <w:pPr>
        <w:pStyle w:val="3"/>
        <w:spacing w:line="360" w:lineRule="auto"/>
        <w:ind w:firstLine="480" w:firstLineChars="200"/>
        <w:rPr>
          <w:rFonts w:ascii="Times New Roman" w:hAnsi="Times New Roman"/>
          <w:color w:val="000000"/>
          <w:sz w:val="24"/>
          <w:szCs w:val="24"/>
          <w:lang w:eastAsia="zh-CN"/>
        </w:rPr>
      </w:pPr>
      <w:r>
        <w:rPr>
          <w:rFonts w:hint="eastAsia" w:ascii="Times New Roman" w:hAnsi="Times New Roman"/>
          <w:color w:val="000000"/>
          <w:sz w:val="24"/>
          <w:szCs w:val="24"/>
          <w:lang w:eastAsia="zh-CN"/>
        </w:rPr>
        <w:t>4）</w:t>
      </w:r>
      <w:r>
        <w:rPr>
          <w:rFonts w:ascii="Times New Roman" w:hAnsi="Times New Roman"/>
          <w:color w:val="000000"/>
          <w:sz w:val="24"/>
          <w:szCs w:val="24"/>
          <w:lang w:eastAsia="zh-CN"/>
        </w:rPr>
        <w:t>其它特殊使用条件</w:t>
      </w:r>
      <w:r>
        <w:rPr>
          <w:rFonts w:hint="eastAsia" w:ascii="Times New Roman" w:hAnsi="Times New Roman"/>
          <w:color w:val="000000"/>
          <w:sz w:val="24"/>
          <w:szCs w:val="24"/>
          <w:lang w:eastAsia="zh-CN"/>
        </w:rPr>
        <w:t>。</w:t>
      </w:r>
    </w:p>
    <w:p>
      <w:pPr>
        <w:numPr>
          <w:ilvl w:val="0"/>
          <w:numId w:val="1"/>
        </w:numPr>
        <w:adjustRightInd w:val="0"/>
        <w:snapToGrid w:val="0"/>
        <w:spacing w:line="360" w:lineRule="auto"/>
        <w:ind w:firstLine="482"/>
        <w:textAlignment w:val="baseline"/>
        <w:outlineLvl w:val="0"/>
        <w:rPr>
          <w:rFonts w:ascii="宋体" w:hAnsi="宋体"/>
          <w:b/>
        </w:rPr>
      </w:pPr>
      <w:bookmarkStart w:id="16" w:name="_Toc96010207"/>
      <w:r>
        <w:rPr>
          <w:rFonts w:hint="eastAsia" w:ascii="宋体" w:hAnsi="宋体"/>
          <w:b/>
        </w:rPr>
        <w:t>技术要求</w:t>
      </w:r>
      <w:bookmarkEnd w:id="16"/>
    </w:p>
    <w:bookmarkEnd w:id="9"/>
    <w:p>
      <w:pPr>
        <w:tabs>
          <w:tab w:val="left" w:pos="993"/>
        </w:tabs>
        <w:adjustRightInd w:val="0"/>
        <w:snapToGrid w:val="0"/>
        <w:spacing w:line="360" w:lineRule="auto"/>
        <w:ind w:firstLine="0"/>
        <w:rPr>
          <w:rFonts w:ascii="宋体" w:hAnsi="宋体"/>
          <w:b/>
          <w:vanish/>
        </w:rPr>
      </w:pPr>
      <w:bookmarkStart w:id="17" w:name="_Toc351688254"/>
      <w:bookmarkEnd w:id="17"/>
      <w:bookmarkStart w:id="18" w:name="_Toc320827874"/>
      <w:r>
        <w:rPr>
          <w:rFonts w:hint="eastAsia" w:ascii="宋体" w:hAnsi="宋体"/>
          <w:b/>
          <w:vanish/>
        </w:rPr>
        <w:t>4.1 总体要求</w:t>
      </w:r>
      <w:bookmarkEnd w:id="18"/>
    </w:p>
    <w:p>
      <w:pPr>
        <w:autoSpaceDE w:val="0"/>
        <w:autoSpaceDN w:val="0"/>
        <w:adjustRightInd w:val="0"/>
        <w:spacing w:line="360" w:lineRule="auto"/>
        <w:ind w:firstLine="0"/>
        <w:rPr>
          <w:rFonts w:ascii="宋体" w:hAnsi="宋体"/>
          <w:lang w:eastAsia="zh-CN"/>
        </w:rPr>
      </w:pPr>
      <w:r>
        <w:rPr>
          <w:rFonts w:hint="eastAsia" w:ascii="宋体" w:hAnsi="宋体"/>
          <w:lang w:eastAsia="zh-CN"/>
        </w:rPr>
        <w:t xml:space="preserve">4.1.1 </w:t>
      </w:r>
      <w:r>
        <w:rPr>
          <w:rFonts w:ascii="宋体" w:hAnsi="宋体"/>
          <w:lang w:eastAsia="zh-CN"/>
        </w:rPr>
        <w:t>OPGW中的光纤必须满足ITU－T G.652D、G.655B建议要求，光纤芯不允许含有工厂熔接点。</w:t>
      </w:r>
    </w:p>
    <w:p>
      <w:pPr>
        <w:autoSpaceDE w:val="0"/>
        <w:autoSpaceDN w:val="0"/>
        <w:adjustRightInd w:val="0"/>
        <w:spacing w:line="360" w:lineRule="auto"/>
        <w:ind w:firstLine="0"/>
        <w:rPr>
          <w:rFonts w:ascii="宋体" w:hAnsi="宋体"/>
          <w:lang w:eastAsia="zh-CN"/>
        </w:rPr>
      </w:pPr>
      <w:r>
        <w:rPr>
          <w:rFonts w:hint="eastAsia" w:ascii="宋体" w:hAnsi="宋体"/>
          <w:lang w:eastAsia="zh-CN"/>
        </w:rPr>
        <w:t>4.1.2 同批次、同类型的光缆应使用同一设计、相同材料和相同工艺制造的光纤</w:t>
      </w:r>
      <w:r>
        <w:rPr>
          <w:rFonts w:ascii="宋体" w:hAnsi="宋体"/>
          <w:lang w:eastAsia="zh-CN"/>
        </w:rPr>
        <w:t>。</w:t>
      </w:r>
    </w:p>
    <w:p>
      <w:pPr>
        <w:autoSpaceDE w:val="0"/>
        <w:autoSpaceDN w:val="0"/>
        <w:adjustRightInd w:val="0"/>
        <w:spacing w:line="360" w:lineRule="auto"/>
        <w:ind w:firstLine="0"/>
        <w:rPr>
          <w:rFonts w:ascii="宋体" w:hAnsi="宋体"/>
          <w:lang w:eastAsia="zh-CN"/>
        </w:rPr>
      </w:pPr>
      <w:r>
        <w:rPr>
          <w:rFonts w:hint="eastAsia" w:ascii="宋体" w:hAnsi="宋体"/>
          <w:lang w:eastAsia="zh-CN"/>
        </w:rPr>
        <w:t xml:space="preserve">4.1.3 </w:t>
      </w:r>
      <w:r>
        <w:rPr>
          <w:rFonts w:ascii="宋体" w:hAnsi="宋体"/>
          <w:lang w:eastAsia="zh-CN"/>
        </w:rPr>
        <w:t>在同一个管内的光纤芯通过颜色可彼此加以区别，光纤着色应优先采用UV处理法，其颜色应不迁移，不褪色（用丙酮或酒精擦拭也应不变色）并符合GB/T 6995.2的相关规定。套管中的光纤，应采用全色谱来识别，若套管中的光纤数高于12芯时，应采用光纤色环加以区分。前12芯的光纤标志颜色的顺序见表1所示，不足12根芯时，应在表1中按序号选用，原始的色码在整个光缆的设计寿命期内应可清晰辨认。</w:t>
      </w:r>
    </w:p>
    <w:p>
      <w:pPr>
        <w:spacing w:line="360" w:lineRule="auto"/>
        <w:ind w:firstLine="0"/>
        <w:jc w:val="center"/>
        <w:rPr>
          <w:rFonts w:ascii="宋体" w:hAnsi="宋体"/>
          <w:snapToGrid w:val="0"/>
        </w:rPr>
      </w:pPr>
      <w:r>
        <w:rPr>
          <w:rFonts w:ascii="宋体" w:hAnsi="宋体"/>
          <w:snapToGrid w:val="0"/>
        </w:rPr>
        <w:t>表1  全色谱的顺序</w:t>
      </w:r>
    </w:p>
    <w:tbl>
      <w:tblPr>
        <w:tblStyle w:val="7"/>
        <w:tblW w:w="8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0"/>
        <w:gridCol w:w="671"/>
        <w:gridCol w:w="670"/>
        <w:gridCol w:w="671"/>
        <w:gridCol w:w="671"/>
        <w:gridCol w:w="670"/>
        <w:gridCol w:w="671"/>
        <w:gridCol w:w="670"/>
        <w:gridCol w:w="671"/>
        <w:gridCol w:w="671"/>
        <w:gridCol w:w="670"/>
        <w:gridCol w:w="671"/>
        <w:gridCol w:w="6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670" w:type="dxa"/>
            <w:vAlign w:val="center"/>
          </w:tcPr>
          <w:p>
            <w:pPr>
              <w:spacing w:line="360" w:lineRule="auto"/>
              <w:ind w:firstLine="0"/>
              <w:rPr>
                <w:color w:val="000000"/>
                <w:sz w:val="21"/>
                <w:szCs w:val="21"/>
              </w:rPr>
            </w:pPr>
            <w:r>
              <w:rPr>
                <w:rFonts w:hAnsi="宋体"/>
                <w:color w:val="000000"/>
                <w:sz w:val="21"/>
                <w:szCs w:val="21"/>
              </w:rPr>
              <w:t>序号</w:t>
            </w:r>
          </w:p>
        </w:tc>
        <w:tc>
          <w:tcPr>
            <w:tcW w:w="671" w:type="dxa"/>
            <w:vAlign w:val="center"/>
          </w:tcPr>
          <w:p>
            <w:pPr>
              <w:spacing w:line="360" w:lineRule="auto"/>
              <w:ind w:firstLine="0"/>
              <w:rPr>
                <w:rFonts w:hAnsi="宋体"/>
                <w:color w:val="000000"/>
                <w:sz w:val="21"/>
                <w:szCs w:val="21"/>
              </w:rPr>
            </w:pPr>
            <w:r>
              <w:rPr>
                <w:rFonts w:hAnsi="宋体"/>
                <w:color w:val="000000"/>
                <w:sz w:val="21"/>
                <w:szCs w:val="21"/>
              </w:rPr>
              <w:t>1</w:t>
            </w:r>
          </w:p>
        </w:tc>
        <w:tc>
          <w:tcPr>
            <w:tcW w:w="670" w:type="dxa"/>
            <w:vAlign w:val="center"/>
          </w:tcPr>
          <w:p>
            <w:pPr>
              <w:spacing w:line="360" w:lineRule="auto"/>
              <w:ind w:firstLine="0"/>
              <w:rPr>
                <w:rFonts w:hAnsi="宋体"/>
                <w:color w:val="000000"/>
                <w:sz w:val="21"/>
                <w:szCs w:val="21"/>
              </w:rPr>
            </w:pPr>
            <w:r>
              <w:rPr>
                <w:rFonts w:hAnsi="宋体"/>
                <w:color w:val="000000"/>
                <w:sz w:val="21"/>
                <w:szCs w:val="21"/>
              </w:rPr>
              <w:t>2</w:t>
            </w:r>
          </w:p>
        </w:tc>
        <w:tc>
          <w:tcPr>
            <w:tcW w:w="671" w:type="dxa"/>
            <w:vAlign w:val="center"/>
          </w:tcPr>
          <w:p>
            <w:pPr>
              <w:spacing w:line="360" w:lineRule="auto"/>
              <w:ind w:firstLine="0"/>
              <w:rPr>
                <w:rFonts w:hAnsi="宋体"/>
                <w:color w:val="000000"/>
                <w:sz w:val="21"/>
                <w:szCs w:val="21"/>
              </w:rPr>
            </w:pPr>
            <w:r>
              <w:rPr>
                <w:rFonts w:hAnsi="宋体"/>
                <w:color w:val="000000"/>
                <w:sz w:val="21"/>
                <w:szCs w:val="21"/>
              </w:rPr>
              <w:t>3</w:t>
            </w:r>
          </w:p>
        </w:tc>
        <w:tc>
          <w:tcPr>
            <w:tcW w:w="671" w:type="dxa"/>
            <w:vAlign w:val="center"/>
          </w:tcPr>
          <w:p>
            <w:pPr>
              <w:spacing w:line="360" w:lineRule="auto"/>
              <w:ind w:firstLine="0"/>
              <w:rPr>
                <w:rFonts w:hAnsi="宋体"/>
                <w:color w:val="000000"/>
                <w:sz w:val="21"/>
                <w:szCs w:val="21"/>
              </w:rPr>
            </w:pPr>
            <w:r>
              <w:rPr>
                <w:rFonts w:hAnsi="宋体"/>
                <w:color w:val="000000"/>
                <w:sz w:val="21"/>
                <w:szCs w:val="21"/>
              </w:rPr>
              <w:t>4</w:t>
            </w:r>
          </w:p>
        </w:tc>
        <w:tc>
          <w:tcPr>
            <w:tcW w:w="670" w:type="dxa"/>
            <w:vAlign w:val="center"/>
          </w:tcPr>
          <w:p>
            <w:pPr>
              <w:spacing w:line="360" w:lineRule="auto"/>
              <w:ind w:firstLine="0"/>
              <w:rPr>
                <w:rFonts w:hAnsi="宋体"/>
                <w:color w:val="000000"/>
                <w:sz w:val="21"/>
                <w:szCs w:val="21"/>
              </w:rPr>
            </w:pPr>
            <w:r>
              <w:rPr>
                <w:rFonts w:hAnsi="宋体"/>
                <w:color w:val="000000"/>
                <w:sz w:val="21"/>
                <w:szCs w:val="21"/>
              </w:rPr>
              <w:t>5</w:t>
            </w:r>
          </w:p>
        </w:tc>
        <w:tc>
          <w:tcPr>
            <w:tcW w:w="671" w:type="dxa"/>
            <w:vAlign w:val="center"/>
          </w:tcPr>
          <w:p>
            <w:pPr>
              <w:spacing w:line="360" w:lineRule="auto"/>
              <w:ind w:firstLine="0"/>
              <w:rPr>
                <w:rFonts w:hAnsi="宋体"/>
                <w:color w:val="000000"/>
                <w:sz w:val="21"/>
                <w:szCs w:val="21"/>
              </w:rPr>
            </w:pPr>
            <w:r>
              <w:rPr>
                <w:rFonts w:hAnsi="宋体"/>
                <w:color w:val="000000"/>
                <w:sz w:val="21"/>
                <w:szCs w:val="21"/>
              </w:rPr>
              <w:t>6</w:t>
            </w:r>
          </w:p>
        </w:tc>
        <w:tc>
          <w:tcPr>
            <w:tcW w:w="670" w:type="dxa"/>
            <w:vAlign w:val="center"/>
          </w:tcPr>
          <w:p>
            <w:pPr>
              <w:spacing w:line="360" w:lineRule="auto"/>
              <w:ind w:firstLine="0"/>
              <w:rPr>
                <w:rFonts w:hAnsi="宋体"/>
                <w:color w:val="000000"/>
                <w:sz w:val="21"/>
                <w:szCs w:val="21"/>
              </w:rPr>
            </w:pPr>
            <w:r>
              <w:rPr>
                <w:rFonts w:hAnsi="宋体"/>
                <w:color w:val="000000"/>
                <w:sz w:val="21"/>
                <w:szCs w:val="21"/>
              </w:rPr>
              <w:t>7</w:t>
            </w:r>
          </w:p>
        </w:tc>
        <w:tc>
          <w:tcPr>
            <w:tcW w:w="671" w:type="dxa"/>
            <w:vAlign w:val="center"/>
          </w:tcPr>
          <w:p>
            <w:pPr>
              <w:spacing w:line="360" w:lineRule="auto"/>
              <w:ind w:firstLine="0"/>
              <w:rPr>
                <w:rFonts w:hAnsi="宋体"/>
                <w:color w:val="000000"/>
                <w:sz w:val="21"/>
                <w:szCs w:val="21"/>
              </w:rPr>
            </w:pPr>
            <w:r>
              <w:rPr>
                <w:rFonts w:hAnsi="宋体"/>
                <w:color w:val="000000"/>
                <w:sz w:val="21"/>
                <w:szCs w:val="21"/>
              </w:rPr>
              <w:t>8</w:t>
            </w:r>
          </w:p>
        </w:tc>
        <w:tc>
          <w:tcPr>
            <w:tcW w:w="671" w:type="dxa"/>
            <w:vAlign w:val="center"/>
          </w:tcPr>
          <w:p>
            <w:pPr>
              <w:spacing w:line="360" w:lineRule="auto"/>
              <w:ind w:firstLine="0"/>
              <w:rPr>
                <w:rFonts w:hAnsi="宋体"/>
                <w:color w:val="000000"/>
                <w:sz w:val="21"/>
                <w:szCs w:val="21"/>
              </w:rPr>
            </w:pPr>
            <w:r>
              <w:rPr>
                <w:rFonts w:hAnsi="宋体"/>
                <w:color w:val="000000"/>
                <w:sz w:val="21"/>
                <w:szCs w:val="21"/>
              </w:rPr>
              <w:t>9</w:t>
            </w:r>
          </w:p>
        </w:tc>
        <w:tc>
          <w:tcPr>
            <w:tcW w:w="670" w:type="dxa"/>
            <w:vAlign w:val="center"/>
          </w:tcPr>
          <w:p>
            <w:pPr>
              <w:spacing w:line="360" w:lineRule="auto"/>
              <w:ind w:firstLine="0"/>
              <w:rPr>
                <w:rFonts w:hAnsi="宋体"/>
                <w:color w:val="000000"/>
                <w:sz w:val="21"/>
                <w:szCs w:val="21"/>
              </w:rPr>
            </w:pPr>
            <w:r>
              <w:rPr>
                <w:rFonts w:hAnsi="宋体"/>
                <w:color w:val="000000"/>
                <w:sz w:val="21"/>
                <w:szCs w:val="21"/>
              </w:rPr>
              <w:t>10</w:t>
            </w:r>
          </w:p>
        </w:tc>
        <w:tc>
          <w:tcPr>
            <w:tcW w:w="671" w:type="dxa"/>
            <w:vAlign w:val="center"/>
          </w:tcPr>
          <w:p>
            <w:pPr>
              <w:spacing w:line="360" w:lineRule="auto"/>
              <w:ind w:firstLine="0"/>
              <w:rPr>
                <w:rFonts w:hAnsi="宋体"/>
                <w:color w:val="000000"/>
                <w:sz w:val="21"/>
                <w:szCs w:val="21"/>
              </w:rPr>
            </w:pPr>
            <w:r>
              <w:rPr>
                <w:rFonts w:hAnsi="宋体"/>
                <w:color w:val="000000"/>
                <w:sz w:val="21"/>
                <w:szCs w:val="21"/>
              </w:rPr>
              <w:t>11</w:t>
            </w:r>
          </w:p>
        </w:tc>
        <w:tc>
          <w:tcPr>
            <w:tcW w:w="671" w:type="dxa"/>
            <w:vAlign w:val="center"/>
          </w:tcPr>
          <w:p>
            <w:pPr>
              <w:spacing w:line="360" w:lineRule="auto"/>
              <w:ind w:firstLine="0"/>
              <w:rPr>
                <w:rFonts w:hAnsi="宋体"/>
                <w:color w:val="000000"/>
                <w:sz w:val="21"/>
                <w:szCs w:val="21"/>
              </w:rPr>
            </w:pPr>
            <w:r>
              <w:rPr>
                <w:rFonts w:hAnsi="宋体"/>
                <w:color w:val="000000"/>
                <w:sz w:val="21"/>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670" w:type="dxa"/>
            <w:vAlign w:val="center"/>
          </w:tcPr>
          <w:p>
            <w:pPr>
              <w:spacing w:line="360" w:lineRule="auto"/>
              <w:ind w:firstLine="0"/>
              <w:rPr>
                <w:color w:val="000000"/>
                <w:sz w:val="21"/>
                <w:szCs w:val="21"/>
              </w:rPr>
            </w:pPr>
            <w:r>
              <w:rPr>
                <w:rFonts w:hAnsi="宋体"/>
                <w:color w:val="000000"/>
                <w:sz w:val="21"/>
                <w:szCs w:val="21"/>
              </w:rPr>
              <w:t>颜色</w:t>
            </w:r>
          </w:p>
        </w:tc>
        <w:tc>
          <w:tcPr>
            <w:tcW w:w="671" w:type="dxa"/>
            <w:vAlign w:val="center"/>
          </w:tcPr>
          <w:p>
            <w:pPr>
              <w:spacing w:line="360" w:lineRule="auto"/>
              <w:ind w:firstLine="0"/>
              <w:rPr>
                <w:rFonts w:hAnsi="宋体"/>
                <w:color w:val="000000"/>
                <w:sz w:val="21"/>
                <w:szCs w:val="21"/>
              </w:rPr>
            </w:pPr>
            <w:r>
              <w:rPr>
                <w:rFonts w:hAnsi="宋体"/>
                <w:color w:val="000000"/>
                <w:sz w:val="21"/>
                <w:szCs w:val="21"/>
              </w:rPr>
              <w:t>蓝</w:t>
            </w:r>
          </w:p>
        </w:tc>
        <w:tc>
          <w:tcPr>
            <w:tcW w:w="670" w:type="dxa"/>
            <w:vAlign w:val="center"/>
          </w:tcPr>
          <w:p>
            <w:pPr>
              <w:spacing w:line="360" w:lineRule="auto"/>
              <w:ind w:firstLine="0"/>
              <w:rPr>
                <w:rFonts w:hAnsi="宋体"/>
                <w:color w:val="000000"/>
                <w:sz w:val="21"/>
                <w:szCs w:val="21"/>
              </w:rPr>
            </w:pPr>
            <w:r>
              <w:rPr>
                <w:rFonts w:hAnsi="宋体"/>
                <w:color w:val="000000"/>
                <w:sz w:val="21"/>
                <w:szCs w:val="21"/>
              </w:rPr>
              <w:t>橙</w:t>
            </w:r>
          </w:p>
        </w:tc>
        <w:tc>
          <w:tcPr>
            <w:tcW w:w="671" w:type="dxa"/>
            <w:vAlign w:val="center"/>
          </w:tcPr>
          <w:p>
            <w:pPr>
              <w:spacing w:line="360" w:lineRule="auto"/>
              <w:ind w:firstLine="0"/>
              <w:rPr>
                <w:rFonts w:hAnsi="宋体"/>
                <w:color w:val="000000"/>
                <w:sz w:val="21"/>
                <w:szCs w:val="21"/>
              </w:rPr>
            </w:pPr>
            <w:r>
              <w:rPr>
                <w:rFonts w:hAnsi="宋体"/>
                <w:color w:val="000000"/>
                <w:sz w:val="21"/>
                <w:szCs w:val="21"/>
              </w:rPr>
              <w:t>绿</w:t>
            </w:r>
          </w:p>
        </w:tc>
        <w:tc>
          <w:tcPr>
            <w:tcW w:w="671" w:type="dxa"/>
            <w:vAlign w:val="center"/>
          </w:tcPr>
          <w:p>
            <w:pPr>
              <w:spacing w:line="360" w:lineRule="auto"/>
              <w:ind w:firstLine="0"/>
              <w:rPr>
                <w:rFonts w:hAnsi="宋体"/>
                <w:color w:val="000000"/>
                <w:sz w:val="21"/>
                <w:szCs w:val="21"/>
              </w:rPr>
            </w:pPr>
            <w:r>
              <w:rPr>
                <w:rFonts w:hAnsi="宋体"/>
                <w:color w:val="000000"/>
                <w:sz w:val="21"/>
                <w:szCs w:val="21"/>
              </w:rPr>
              <w:t>棕</w:t>
            </w:r>
          </w:p>
        </w:tc>
        <w:tc>
          <w:tcPr>
            <w:tcW w:w="670" w:type="dxa"/>
            <w:vAlign w:val="center"/>
          </w:tcPr>
          <w:p>
            <w:pPr>
              <w:spacing w:line="360" w:lineRule="auto"/>
              <w:ind w:firstLine="0"/>
              <w:rPr>
                <w:rFonts w:hAnsi="宋体"/>
                <w:color w:val="000000"/>
                <w:sz w:val="21"/>
                <w:szCs w:val="21"/>
              </w:rPr>
            </w:pPr>
            <w:r>
              <w:rPr>
                <w:rFonts w:hAnsi="宋体"/>
                <w:color w:val="000000"/>
                <w:sz w:val="21"/>
                <w:szCs w:val="21"/>
              </w:rPr>
              <w:t>灰</w:t>
            </w:r>
          </w:p>
        </w:tc>
        <w:tc>
          <w:tcPr>
            <w:tcW w:w="671" w:type="dxa"/>
            <w:vAlign w:val="center"/>
          </w:tcPr>
          <w:p>
            <w:pPr>
              <w:spacing w:line="360" w:lineRule="auto"/>
              <w:ind w:firstLine="0"/>
              <w:rPr>
                <w:rFonts w:hAnsi="宋体"/>
                <w:color w:val="000000"/>
                <w:sz w:val="21"/>
                <w:szCs w:val="21"/>
              </w:rPr>
            </w:pPr>
            <w:r>
              <w:rPr>
                <w:rFonts w:hAnsi="宋体"/>
                <w:color w:val="000000"/>
                <w:sz w:val="21"/>
                <w:szCs w:val="21"/>
              </w:rPr>
              <w:t>白</w:t>
            </w:r>
          </w:p>
        </w:tc>
        <w:tc>
          <w:tcPr>
            <w:tcW w:w="670" w:type="dxa"/>
            <w:vAlign w:val="center"/>
          </w:tcPr>
          <w:p>
            <w:pPr>
              <w:spacing w:line="360" w:lineRule="auto"/>
              <w:ind w:firstLine="0"/>
              <w:rPr>
                <w:rFonts w:hAnsi="宋体"/>
                <w:color w:val="000000"/>
                <w:sz w:val="21"/>
                <w:szCs w:val="21"/>
              </w:rPr>
            </w:pPr>
            <w:r>
              <w:rPr>
                <w:rFonts w:hAnsi="宋体"/>
                <w:color w:val="000000"/>
                <w:sz w:val="21"/>
                <w:szCs w:val="21"/>
              </w:rPr>
              <w:t>红</w:t>
            </w:r>
          </w:p>
        </w:tc>
        <w:tc>
          <w:tcPr>
            <w:tcW w:w="671" w:type="dxa"/>
            <w:vAlign w:val="center"/>
          </w:tcPr>
          <w:p>
            <w:pPr>
              <w:spacing w:line="360" w:lineRule="auto"/>
              <w:ind w:firstLine="0"/>
              <w:rPr>
                <w:rFonts w:hAnsi="宋体"/>
                <w:color w:val="000000"/>
                <w:sz w:val="21"/>
                <w:szCs w:val="21"/>
              </w:rPr>
            </w:pPr>
            <w:r>
              <w:rPr>
                <w:rFonts w:hAnsi="宋体"/>
                <w:color w:val="000000"/>
                <w:sz w:val="21"/>
                <w:szCs w:val="21"/>
              </w:rPr>
              <w:t>黑</w:t>
            </w:r>
          </w:p>
        </w:tc>
        <w:tc>
          <w:tcPr>
            <w:tcW w:w="671" w:type="dxa"/>
            <w:vAlign w:val="center"/>
          </w:tcPr>
          <w:p>
            <w:pPr>
              <w:spacing w:line="360" w:lineRule="auto"/>
              <w:ind w:firstLine="0"/>
              <w:rPr>
                <w:rFonts w:hAnsi="宋体"/>
                <w:color w:val="000000"/>
                <w:sz w:val="21"/>
                <w:szCs w:val="21"/>
              </w:rPr>
            </w:pPr>
            <w:r>
              <w:rPr>
                <w:rFonts w:hAnsi="宋体"/>
                <w:color w:val="000000"/>
                <w:sz w:val="21"/>
                <w:szCs w:val="21"/>
              </w:rPr>
              <w:t>黄</w:t>
            </w:r>
          </w:p>
        </w:tc>
        <w:tc>
          <w:tcPr>
            <w:tcW w:w="670" w:type="dxa"/>
            <w:vAlign w:val="center"/>
          </w:tcPr>
          <w:p>
            <w:pPr>
              <w:spacing w:line="360" w:lineRule="auto"/>
              <w:ind w:firstLine="0"/>
              <w:rPr>
                <w:rFonts w:hAnsi="宋体"/>
                <w:color w:val="000000"/>
                <w:sz w:val="21"/>
                <w:szCs w:val="21"/>
              </w:rPr>
            </w:pPr>
            <w:r>
              <w:rPr>
                <w:rFonts w:hAnsi="宋体"/>
                <w:color w:val="000000"/>
                <w:sz w:val="21"/>
                <w:szCs w:val="21"/>
              </w:rPr>
              <w:t>紫</w:t>
            </w:r>
          </w:p>
        </w:tc>
        <w:tc>
          <w:tcPr>
            <w:tcW w:w="671" w:type="dxa"/>
            <w:vAlign w:val="center"/>
          </w:tcPr>
          <w:p>
            <w:pPr>
              <w:spacing w:line="360" w:lineRule="auto"/>
              <w:ind w:firstLine="0"/>
              <w:rPr>
                <w:rFonts w:hAnsi="宋体"/>
                <w:color w:val="000000"/>
                <w:sz w:val="21"/>
                <w:szCs w:val="21"/>
              </w:rPr>
            </w:pPr>
            <w:r>
              <w:rPr>
                <w:rFonts w:hAnsi="宋体"/>
                <w:color w:val="000000"/>
                <w:sz w:val="21"/>
                <w:szCs w:val="21"/>
              </w:rPr>
              <w:t>粉红</w:t>
            </w:r>
          </w:p>
        </w:tc>
        <w:tc>
          <w:tcPr>
            <w:tcW w:w="671" w:type="dxa"/>
            <w:vAlign w:val="center"/>
          </w:tcPr>
          <w:p>
            <w:pPr>
              <w:spacing w:line="360" w:lineRule="auto"/>
              <w:ind w:firstLine="0"/>
              <w:rPr>
                <w:rFonts w:hAnsi="宋体"/>
                <w:color w:val="000000"/>
                <w:sz w:val="21"/>
                <w:szCs w:val="21"/>
              </w:rPr>
            </w:pPr>
            <w:r>
              <w:rPr>
                <w:rFonts w:hAnsi="宋体"/>
                <w:color w:val="000000"/>
                <w:sz w:val="21"/>
                <w:szCs w:val="21"/>
              </w:rPr>
              <w:t>青绿</w:t>
            </w:r>
          </w:p>
        </w:tc>
      </w:tr>
    </w:tbl>
    <w:p>
      <w:pPr>
        <w:spacing w:line="360" w:lineRule="auto"/>
        <w:ind w:firstLine="480" w:firstLineChars="200"/>
      </w:pPr>
      <w:r>
        <w:rPr>
          <w:rFonts w:hint="eastAsia"/>
        </w:rPr>
        <w:t>注：12芯以上黑色用本色。</w:t>
      </w:r>
    </w:p>
    <w:p>
      <w:pPr>
        <w:autoSpaceDE w:val="0"/>
        <w:autoSpaceDN w:val="0"/>
        <w:adjustRightInd w:val="0"/>
        <w:spacing w:line="360" w:lineRule="auto"/>
        <w:ind w:firstLine="0"/>
        <w:rPr>
          <w:rFonts w:ascii="宋体" w:hAnsi="宋体"/>
          <w:szCs w:val="24"/>
          <w:lang w:eastAsia="zh-CN"/>
        </w:rPr>
      </w:pPr>
      <w:r>
        <w:rPr>
          <w:rFonts w:hint="eastAsia" w:ascii="宋体" w:hAnsi="宋体"/>
          <w:szCs w:val="24"/>
          <w:lang w:eastAsia="zh-CN"/>
        </w:rPr>
        <w:t xml:space="preserve">4.1.4 </w:t>
      </w:r>
      <w:r>
        <w:rPr>
          <w:rFonts w:ascii="宋体" w:hAnsi="宋体"/>
          <w:szCs w:val="24"/>
          <w:lang w:eastAsia="zh-CN"/>
        </w:rPr>
        <w:t>光纤应容易用熔接法接续，光纤涂覆材料应能机械剥离。</w:t>
      </w:r>
    </w:p>
    <w:p>
      <w:pPr>
        <w:autoSpaceDE w:val="0"/>
        <w:autoSpaceDN w:val="0"/>
        <w:adjustRightInd w:val="0"/>
        <w:spacing w:line="360" w:lineRule="auto"/>
        <w:ind w:firstLine="0"/>
        <w:rPr>
          <w:rFonts w:ascii="宋体" w:hAnsi="宋体"/>
          <w:szCs w:val="24"/>
          <w:lang w:eastAsia="zh-CN"/>
        </w:rPr>
      </w:pPr>
      <w:r>
        <w:rPr>
          <w:rFonts w:hint="eastAsia" w:ascii="宋体" w:hAnsi="宋体"/>
          <w:szCs w:val="24"/>
          <w:lang w:eastAsia="zh-CN"/>
        </w:rPr>
        <w:t xml:space="preserve">4.1.5 </w:t>
      </w:r>
      <w:r>
        <w:rPr>
          <w:rFonts w:ascii="宋体" w:hAnsi="宋体"/>
          <w:szCs w:val="24"/>
          <w:lang w:eastAsia="zh-CN"/>
        </w:rPr>
        <w:t>OPGW 的二次覆涂层宜采用防潮防水及机械性能好的松套结构,其缝隙中应用油膏填充,填充的油膏必须满足IEC794－1 和IEC811－5 有关条款的规定。对于未使用的槽道, 要用填充物封堵, 以防止潮气侵入和保证OPGW 的机械整体性。</w:t>
      </w:r>
    </w:p>
    <w:p>
      <w:pPr>
        <w:autoSpaceDE w:val="0"/>
        <w:autoSpaceDN w:val="0"/>
        <w:adjustRightInd w:val="0"/>
        <w:spacing w:line="360" w:lineRule="auto"/>
        <w:ind w:firstLine="0"/>
        <w:rPr>
          <w:rFonts w:ascii="宋体" w:hAnsi="宋体"/>
          <w:szCs w:val="24"/>
          <w:lang w:eastAsia="zh-CN"/>
        </w:rPr>
      </w:pPr>
      <w:r>
        <w:rPr>
          <w:rFonts w:hint="eastAsia" w:ascii="宋体" w:hAnsi="宋体"/>
          <w:szCs w:val="24"/>
          <w:lang w:eastAsia="zh-CN"/>
        </w:rPr>
        <w:t xml:space="preserve">4.1.6 </w:t>
      </w:r>
      <w:r>
        <w:rPr>
          <w:rFonts w:ascii="宋体" w:hAnsi="宋体"/>
          <w:szCs w:val="24"/>
          <w:lang w:eastAsia="zh-CN"/>
        </w:rPr>
        <w:t>OPGW光单元应能容纳光纤，且能保护光纤免受环境条件、外力、长期与短期的热效应、潮气等原因引起的损坏。</w:t>
      </w:r>
      <w:r>
        <w:rPr>
          <w:rFonts w:hint="eastAsia" w:ascii="宋体" w:hAnsi="宋体"/>
          <w:szCs w:val="24"/>
          <w:lang w:eastAsia="zh-CN"/>
        </w:rPr>
        <w:t>光单元可以包含金属管或合适的阻水材料作为保护结构。</w:t>
      </w:r>
    </w:p>
    <w:p>
      <w:pPr>
        <w:autoSpaceDE w:val="0"/>
        <w:autoSpaceDN w:val="0"/>
        <w:adjustRightInd w:val="0"/>
        <w:spacing w:line="360" w:lineRule="auto"/>
        <w:ind w:firstLine="0"/>
        <w:rPr>
          <w:rFonts w:ascii="宋体" w:hAnsi="宋体"/>
          <w:szCs w:val="24"/>
          <w:lang w:eastAsia="zh-CN"/>
        </w:rPr>
      </w:pPr>
      <w:r>
        <w:rPr>
          <w:rFonts w:hint="eastAsia" w:ascii="宋体" w:hAnsi="宋体"/>
          <w:szCs w:val="24"/>
          <w:lang w:eastAsia="zh-CN"/>
        </w:rPr>
        <w:t xml:space="preserve">4.1.7 </w:t>
      </w:r>
      <w:r>
        <w:rPr>
          <w:rFonts w:ascii="宋体" w:hAnsi="宋体"/>
          <w:szCs w:val="24"/>
          <w:lang w:eastAsia="zh-CN"/>
        </w:rPr>
        <w:t>OPGW光缆中的光纤芯筛选张力不应小于8.6N（应力为0.7Gpa，100kpsi，光纤应变为1.0%），加力时间不小于1s。</w:t>
      </w:r>
    </w:p>
    <w:p>
      <w:pPr>
        <w:autoSpaceDE w:val="0"/>
        <w:autoSpaceDN w:val="0"/>
        <w:adjustRightInd w:val="0"/>
        <w:spacing w:line="360" w:lineRule="auto"/>
        <w:ind w:firstLine="0"/>
        <w:rPr>
          <w:rFonts w:ascii="宋体" w:hAnsi="宋体"/>
          <w:szCs w:val="24"/>
          <w:lang w:eastAsia="zh-CN"/>
        </w:rPr>
      </w:pPr>
      <w:r>
        <w:rPr>
          <w:rFonts w:hint="eastAsia" w:ascii="宋体" w:hAnsi="宋体"/>
          <w:szCs w:val="24"/>
          <w:lang w:eastAsia="zh-CN"/>
        </w:rPr>
        <w:t xml:space="preserve">4.1.8 </w:t>
      </w:r>
      <w:r>
        <w:rPr>
          <w:rFonts w:ascii="宋体" w:hAnsi="宋体"/>
          <w:szCs w:val="24"/>
          <w:lang w:eastAsia="zh-CN"/>
        </w:rPr>
        <w:t>所提供OPGW光缆光纤熔接衰耗应满足：</w:t>
      </w:r>
      <w:r>
        <w:rPr>
          <w:rFonts w:hint="eastAsia" w:ascii="宋体" w:hAnsi="宋体"/>
          <w:szCs w:val="24"/>
          <w:lang w:eastAsia="zh-CN"/>
        </w:rPr>
        <w:t>双向</w:t>
      </w:r>
      <w:r>
        <w:rPr>
          <w:rFonts w:ascii="宋体" w:hAnsi="宋体"/>
          <w:szCs w:val="24"/>
          <w:lang w:eastAsia="zh-CN"/>
        </w:rPr>
        <w:t>平均值≤0.05db。</w:t>
      </w:r>
    </w:p>
    <w:p>
      <w:pPr>
        <w:autoSpaceDE w:val="0"/>
        <w:autoSpaceDN w:val="0"/>
        <w:adjustRightInd w:val="0"/>
        <w:spacing w:line="360" w:lineRule="auto"/>
        <w:ind w:firstLine="0"/>
        <w:rPr>
          <w:rFonts w:ascii="宋体" w:hAnsi="宋体"/>
          <w:szCs w:val="24"/>
          <w:lang w:eastAsia="zh-CN"/>
        </w:rPr>
      </w:pPr>
      <w:r>
        <w:rPr>
          <w:rFonts w:hint="eastAsia" w:ascii="宋体" w:hAnsi="宋体"/>
          <w:szCs w:val="24"/>
          <w:lang w:eastAsia="zh-CN"/>
        </w:rPr>
        <w:t xml:space="preserve">4.1.9 </w:t>
      </w:r>
      <w:r>
        <w:rPr>
          <w:rFonts w:ascii="宋体" w:hAnsi="宋体"/>
          <w:szCs w:val="24"/>
          <w:lang w:eastAsia="zh-CN"/>
        </w:rPr>
        <w:t>OPGW应能承受给定的系统最大短时故障电流，在该故障电流的作用下，OPGW的电气和机械特性不允许有任何改变。</w:t>
      </w:r>
    </w:p>
    <w:p>
      <w:pPr>
        <w:autoSpaceDE w:val="0"/>
        <w:autoSpaceDN w:val="0"/>
        <w:adjustRightInd w:val="0"/>
        <w:spacing w:line="360" w:lineRule="auto"/>
        <w:ind w:firstLine="0"/>
        <w:rPr>
          <w:rFonts w:ascii="宋体" w:hAnsi="宋体"/>
          <w:szCs w:val="24"/>
          <w:lang w:eastAsia="zh-CN"/>
        </w:rPr>
      </w:pPr>
      <w:r>
        <w:rPr>
          <w:rFonts w:hint="eastAsia" w:ascii="宋体" w:hAnsi="宋体"/>
          <w:szCs w:val="24"/>
          <w:lang w:eastAsia="zh-CN"/>
        </w:rPr>
        <w:t xml:space="preserve">4.1.10 </w:t>
      </w:r>
      <w:r>
        <w:rPr>
          <w:rFonts w:ascii="宋体" w:hAnsi="宋体"/>
          <w:szCs w:val="24"/>
          <w:lang w:eastAsia="zh-CN"/>
        </w:rPr>
        <w:t>OPGW在安装和运行的任何时候，不能因为金具的应力作用而产生变形或扭曲。</w:t>
      </w:r>
    </w:p>
    <w:p>
      <w:pPr>
        <w:autoSpaceDE w:val="0"/>
        <w:autoSpaceDN w:val="0"/>
        <w:adjustRightInd w:val="0"/>
        <w:spacing w:line="360" w:lineRule="auto"/>
        <w:ind w:firstLine="0"/>
        <w:rPr>
          <w:rFonts w:ascii="宋体" w:hAnsi="宋体"/>
          <w:szCs w:val="24"/>
          <w:lang w:eastAsia="zh-CN"/>
        </w:rPr>
      </w:pPr>
      <w:r>
        <w:rPr>
          <w:rFonts w:hint="eastAsia" w:ascii="宋体" w:hAnsi="宋体"/>
          <w:szCs w:val="24"/>
          <w:lang w:eastAsia="zh-CN"/>
        </w:rPr>
        <w:t xml:space="preserve">4.1.11 </w:t>
      </w:r>
      <w:r>
        <w:rPr>
          <w:rFonts w:ascii="宋体" w:hAnsi="宋体"/>
          <w:szCs w:val="24"/>
          <w:lang w:eastAsia="zh-CN"/>
        </w:rPr>
        <w:t>OPGW的防振设计</w:t>
      </w:r>
      <w:r>
        <w:rPr>
          <w:rFonts w:hint="eastAsia" w:ascii="宋体" w:hAnsi="宋体"/>
          <w:szCs w:val="24"/>
          <w:lang w:eastAsia="zh-CN"/>
        </w:rPr>
        <w:t>应</w:t>
      </w:r>
      <w:r>
        <w:rPr>
          <w:rFonts w:ascii="宋体" w:hAnsi="宋体"/>
          <w:szCs w:val="24"/>
          <w:lang w:eastAsia="zh-CN"/>
        </w:rPr>
        <w:t>确保OPGW不会因微风振动而疲劳损坏。</w:t>
      </w:r>
    </w:p>
    <w:p>
      <w:pPr>
        <w:autoSpaceDE w:val="0"/>
        <w:autoSpaceDN w:val="0"/>
        <w:adjustRightInd w:val="0"/>
        <w:spacing w:line="360" w:lineRule="auto"/>
        <w:ind w:firstLine="0"/>
        <w:rPr>
          <w:rFonts w:ascii="宋体" w:hAnsi="宋体"/>
          <w:szCs w:val="24"/>
          <w:lang w:eastAsia="zh-CN"/>
        </w:rPr>
      </w:pPr>
      <w:r>
        <w:rPr>
          <w:rFonts w:hint="eastAsia" w:ascii="宋体" w:hAnsi="宋体"/>
          <w:szCs w:val="24"/>
          <w:lang w:eastAsia="zh-CN"/>
        </w:rPr>
        <w:t xml:space="preserve">4.1.12 </w:t>
      </w:r>
      <w:r>
        <w:rPr>
          <w:rFonts w:ascii="宋体" w:hAnsi="宋体"/>
          <w:szCs w:val="24"/>
          <w:lang w:eastAsia="zh-CN"/>
        </w:rPr>
        <w:t>OPGW光缆的外部端点位置应清楚地标在缆盘上，每端应有缆端护套加以保护，以免受湿气侵入。</w:t>
      </w:r>
    </w:p>
    <w:p>
      <w:pPr>
        <w:autoSpaceDE w:val="0"/>
        <w:autoSpaceDN w:val="0"/>
        <w:adjustRightInd w:val="0"/>
        <w:spacing w:line="360" w:lineRule="auto"/>
        <w:ind w:firstLine="0"/>
        <w:rPr>
          <w:rFonts w:ascii="宋体" w:hAnsi="宋体"/>
          <w:szCs w:val="24"/>
          <w:lang w:eastAsia="zh-CN"/>
        </w:rPr>
      </w:pPr>
      <w:r>
        <w:rPr>
          <w:rFonts w:hint="eastAsia" w:ascii="宋体" w:hAnsi="宋体"/>
          <w:szCs w:val="24"/>
          <w:lang w:eastAsia="zh-CN"/>
        </w:rPr>
        <w:t xml:space="preserve">4.1.13 </w:t>
      </w:r>
      <w:r>
        <w:rPr>
          <w:rFonts w:ascii="宋体" w:hAnsi="宋体"/>
          <w:szCs w:val="24"/>
          <w:lang w:eastAsia="zh-CN"/>
        </w:rPr>
        <w:t>OPGW</w:t>
      </w:r>
      <w:r>
        <w:rPr>
          <w:rFonts w:hint="eastAsia" w:ascii="宋体" w:hAnsi="宋体"/>
          <w:szCs w:val="24"/>
          <w:lang w:eastAsia="zh-CN"/>
        </w:rPr>
        <w:t>中绞合单线的截面形状一般为圆形线；</w:t>
      </w:r>
      <w:r>
        <w:rPr>
          <w:rFonts w:ascii="宋体" w:hAnsi="宋体"/>
          <w:szCs w:val="24"/>
          <w:lang w:eastAsia="zh-CN"/>
        </w:rPr>
        <w:t>为提高OPGW的耐雷击性能，绞合单线的材料应为铝包钢线，OPGW的最外层单线直径</w:t>
      </w:r>
      <w:r>
        <w:rPr>
          <w:rFonts w:hint="eastAsia" w:ascii="宋体" w:hAnsi="宋体"/>
          <w:szCs w:val="24"/>
          <w:lang w:eastAsia="zh-CN"/>
        </w:rPr>
        <w:t>应</w:t>
      </w:r>
      <w:r>
        <w:rPr>
          <w:rFonts w:ascii="宋体" w:hAnsi="宋体"/>
          <w:szCs w:val="24"/>
          <w:lang w:eastAsia="zh-CN"/>
        </w:rPr>
        <w:t>不小于3.0mm，铝包钢线应符合国标《电工用铝包钢线》GB/T 17937的要求</w:t>
      </w:r>
      <w:r>
        <w:rPr>
          <w:rFonts w:hint="eastAsia" w:ascii="宋体" w:hAnsi="宋体"/>
          <w:szCs w:val="24"/>
          <w:lang w:eastAsia="zh-CN"/>
        </w:rPr>
        <w:t>。</w:t>
      </w:r>
    </w:p>
    <w:p>
      <w:pPr>
        <w:autoSpaceDE w:val="0"/>
        <w:autoSpaceDN w:val="0"/>
        <w:adjustRightInd w:val="0"/>
        <w:spacing w:line="360" w:lineRule="auto"/>
        <w:ind w:firstLine="0"/>
        <w:rPr>
          <w:rFonts w:ascii="宋体" w:hAnsi="宋体"/>
          <w:szCs w:val="24"/>
          <w:lang w:eastAsia="zh-CN"/>
        </w:rPr>
      </w:pPr>
      <w:r>
        <w:rPr>
          <w:rFonts w:hint="eastAsia" w:ascii="宋体" w:hAnsi="宋体"/>
          <w:szCs w:val="24"/>
          <w:lang w:eastAsia="zh-CN"/>
        </w:rPr>
        <w:t xml:space="preserve">4.1.14 </w:t>
      </w:r>
      <w:r>
        <w:rPr>
          <w:rFonts w:ascii="宋体" w:hAnsi="宋体"/>
          <w:szCs w:val="24"/>
          <w:lang w:eastAsia="zh-CN"/>
        </w:rPr>
        <w:t>在成品OPGW上，</w:t>
      </w:r>
      <w:r>
        <w:rPr>
          <w:rFonts w:hint="eastAsia" w:ascii="宋体" w:hAnsi="宋体"/>
          <w:szCs w:val="24"/>
          <w:lang w:eastAsia="zh-CN"/>
        </w:rPr>
        <w:t>外层</w:t>
      </w:r>
      <w:r>
        <w:rPr>
          <w:rFonts w:ascii="宋体" w:hAnsi="宋体"/>
          <w:szCs w:val="24"/>
          <w:lang w:eastAsia="zh-CN"/>
        </w:rPr>
        <w:t>绞合单线</w:t>
      </w:r>
      <w:r>
        <w:rPr>
          <w:rFonts w:hint="eastAsia" w:ascii="宋体" w:hAnsi="宋体"/>
          <w:szCs w:val="24"/>
          <w:lang w:eastAsia="zh-CN"/>
        </w:rPr>
        <w:t>和所有铝包钢线</w:t>
      </w:r>
      <w:r>
        <w:rPr>
          <w:rFonts w:ascii="宋体" w:hAnsi="宋体"/>
          <w:szCs w:val="24"/>
          <w:lang w:eastAsia="zh-CN"/>
        </w:rPr>
        <w:t>不允许有任何形式的接头；绞合单线的基本结构应为同心绞合，最外层绞合方向应为右向，绞线最外层的节径比应不小于10也不大于14；所有单线应有序且按一定节距紧密地绞合在一起，绞合时应使用特殊的预扭装置，当OPGW被切断时，单线能够容易地重组或手工复原。</w:t>
      </w:r>
    </w:p>
    <w:p>
      <w:pPr>
        <w:autoSpaceDE w:val="0"/>
        <w:autoSpaceDN w:val="0"/>
        <w:adjustRightInd w:val="0"/>
        <w:spacing w:line="360" w:lineRule="auto"/>
        <w:ind w:firstLine="0"/>
        <w:rPr>
          <w:rFonts w:ascii="宋体" w:hAnsi="宋体"/>
          <w:szCs w:val="24"/>
          <w:lang w:eastAsia="zh-CN"/>
        </w:rPr>
      </w:pPr>
      <w:r>
        <w:rPr>
          <w:rFonts w:hint="eastAsia" w:ascii="宋体" w:hAnsi="宋体"/>
          <w:szCs w:val="24"/>
          <w:lang w:eastAsia="zh-CN"/>
        </w:rPr>
        <w:t xml:space="preserve">4.1.15 </w:t>
      </w:r>
      <w:r>
        <w:rPr>
          <w:rFonts w:ascii="宋体" w:hAnsi="宋体"/>
          <w:szCs w:val="24"/>
          <w:lang w:eastAsia="zh-CN"/>
        </w:rPr>
        <w:t>OPGW绞线表面不应有任何肉眼可见的缺陷，例如划痕、压印等。</w:t>
      </w:r>
    </w:p>
    <w:p>
      <w:pPr>
        <w:autoSpaceDE w:val="0"/>
        <w:autoSpaceDN w:val="0"/>
        <w:adjustRightInd w:val="0"/>
        <w:spacing w:line="360" w:lineRule="auto"/>
        <w:ind w:firstLine="0"/>
        <w:rPr>
          <w:rFonts w:ascii="宋体" w:hAnsi="宋体"/>
          <w:szCs w:val="24"/>
          <w:lang w:eastAsia="zh-CN"/>
        </w:rPr>
      </w:pPr>
      <w:r>
        <w:rPr>
          <w:rFonts w:hint="eastAsia" w:ascii="宋体" w:hAnsi="宋体"/>
          <w:szCs w:val="24"/>
          <w:lang w:eastAsia="zh-CN"/>
        </w:rPr>
        <w:t>4.1.16 中重冰区OPGW还应满足以下技术要求。</w:t>
      </w:r>
    </w:p>
    <w:p>
      <w:pPr>
        <w:spacing w:line="360" w:lineRule="auto"/>
        <w:ind w:firstLine="567"/>
        <w:rPr>
          <w:rFonts w:ascii="宋体" w:hAnsi="宋体"/>
          <w:color w:val="000000"/>
          <w:szCs w:val="24"/>
          <w:lang w:eastAsia="zh-CN"/>
        </w:rPr>
      </w:pPr>
      <w:r>
        <w:rPr>
          <w:rFonts w:hint="eastAsia" w:ascii="宋体" w:hAnsi="宋体"/>
          <w:color w:val="000000"/>
          <w:szCs w:val="24"/>
          <w:lang w:eastAsia="zh-CN"/>
        </w:rPr>
        <w:t>1）脱冰跳跃要求：应满足实际使用档距600m，架线张力40%RTS，覆冰重量6kg/m（30mm覆冰）、12kg/m（50mm覆冰），全档覆冰分别达到2400kg、6000kg情况下，OPGW因覆冰全部脱落产生脱冰跳跃，每年运行期间约出现20次而不发生OPGW损坏。</w:t>
      </w:r>
    </w:p>
    <w:p>
      <w:pPr>
        <w:spacing w:line="360" w:lineRule="auto"/>
        <w:ind w:firstLine="567"/>
        <w:rPr>
          <w:rFonts w:ascii="宋体" w:hAnsi="宋体"/>
          <w:color w:val="000000"/>
          <w:szCs w:val="24"/>
          <w:lang w:eastAsia="zh-CN"/>
        </w:rPr>
      </w:pPr>
      <w:r>
        <w:rPr>
          <w:rFonts w:hint="eastAsia" w:ascii="宋体" w:hAnsi="宋体"/>
          <w:color w:val="000000"/>
          <w:szCs w:val="24"/>
          <w:lang w:eastAsia="zh-CN"/>
        </w:rPr>
        <w:t>2）96小时最大工作荷载试验：OPGW承受规定的最大工作荷载（75%RTS），持续96小时；要求连续监测光纤的损耗、伸长和光缆的伸长；光纤衰耗增量应小于1dB/km，且张力释放后无附加衰耗。</w:t>
      </w:r>
    </w:p>
    <w:p>
      <w:pPr>
        <w:spacing w:line="360" w:lineRule="auto"/>
        <w:ind w:firstLine="567"/>
        <w:rPr>
          <w:rFonts w:ascii="宋体" w:hAnsi="宋体"/>
          <w:color w:val="000000"/>
          <w:szCs w:val="24"/>
          <w:lang w:eastAsia="zh-CN"/>
        </w:rPr>
      </w:pPr>
      <w:r>
        <w:rPr>
          <w:rFonts w:hint="eastAsia" w:ascii="宋体" w:hAnsi="宋体"/>
          <w:color w:val="000000"/>
          <w:szCs w:val="24"/>
          <w:lang w:eastAsia="zh-CN"/>
        </w:rPr>
        <w:t>3）OPGW应考虑覆冰条件下实施直流融冰的技术要求。</w:t>
      </w:r>
    </w:p>
    <w:p>
      <w:pPr>
        <w:autoSpaceDE w:val="0"/>
        <w:autoSpaceDN w:val="0"/>
        <w:adjustRightInd w:val="0"/>
        <w:spacing w:line="360" w:lineRule="auto"/>
        <w:ind w:firstLine="0"/>
        <w:rPr>
          <w:rFonts w:ascii="宋体" w:hAnsi="宋体"/>
          <w:szCs w:val="24"/>
          <w:lang w:eastAsia="zh-CN"/>
        </w:rPr>
      </w:pPr>
      <w:r>
        <w:rPr>
          <w:rFonts w:hint="eastAsia" w:ascii="宋体" w:hAnsi="宋体"/>
          <w:szCs w:val="24"/>
          <w:lang w:eastAsia="zh-CN"/>
        </w:rPr>
        <w:t>4.1.17 应考虑OPGW光缆进入变电站门型构架后的安装和设计问题，执行有关反事故措施，防止OPGW光缆因雷击电流造成烧断现象。</w:t>
      </w:r>
    </w:p>
    <w:p>
      <w:pPr>
        <w:autoSpaceDE w:val="0"/>
        <w:autoSpaceDN w:val="0"/>
        <w:adjustRightInd w:val="0"/>
        <w:spacing w:line="360" w:lineRule="auto"/>
        <w:ind w:firstLine="0"/>
        <w:rPr>
          <w:rFonts w:ascii="宋体" w:hAnsi="宋体"/>
          <w:szCs w:val="24"/>
          <w:lang w:eastAsia="zh-CN"/>
        </w:rPr>
      </w:pPr>
      <w:bookmarkStart w:id="19" w:name="_Toc94411974"/>
      <w:bookmarkStart w:id="20" w:name="_Toc154395061"/>
      <w:bookmarkStart w:id="21" w:name="_Toc158111226"/>
      <w:r>
        <w:rPr>
          <w:rFonts w:hint="eastAsia" w:ascii="宋体" w:hAnsi="宋体"/>
          <w:szCs w:val="24"/>
          <w:lang w:eastAsia="zh-CN"/>
        </w:rPr>
        <w:t>4.1.18  OPGW</w:t>
      </w:r>
      <w:r>
        <w:rPr>
          <w:rFonts w:ascii="宋体" w:hAnsi="宋体"/>
          <w:bCs/>
          <w:szCs w:val="24"/>
          <w:lang w:eastAsia="zh-CN"/>
        </w:rPr>
        <w:t>设计寿命不小于30年</w:t>
      </w:r>
      <w:r>
        <w:rPr>
          <w:rFonts w:hint="eastAsia" w:ascii="宋体" w:hAnsi="宋体"/>
          <w:szCs w:val="24"/>
          <w:lang w:eastAsia="zh-CN"/>
        </w:rPr>
        <w:t>；</w:t>
      </w:r>
    </w:p>
    <w:p>
      <w:pPr>
        <w:adjustRightInd w:val="0"/>
        <w:snapToGrid w:val="0"/>
        <w:spacing w:line="360" w:lineRule="auto"/>
        <w:ind w:firstLine="0"/>
        <w:rPr>
          <w:rFonts w:ascii="宋体" w:hAnsi="宋体"/>
          <w:szCs w:val="24"/>
          <w:lang w:eastAsia="zh-CN"/>
        </w:rPr>
      </w:pPr>
      <w:r>
        <w:rPr>
          <w:rFonts w:hint="eastAsia" w:ascii="宋体" w:hAnsi="宋体"/>
          <w:szCs w:val="24"/>
          <w:lang w:eastAsia="zh-CN"/>
        </w:rPr>
        <w:t>4.1.19  OPGW中单根不锈钢管最大容纳纤芯数量不超过48芯，具体单根不锈钢管容纳光纤数量见下表；</w:t>
      </w:r>
    </w:p>
    <w:p>
      <w:pPr>
        <w:adjustRightInd w:val="0"/>
        <w:snapToGrid w:val="0"/>
        <w:spacing w:line="360" w:lineRule="auto"/>
        <w:ind w:firstLine="0"/>
        <w:jc w:val="center"/>
        <w:rPr>
          <w:lang w:eastAsia="zh-CN"/>
        </w:rPr>
      </w:pPr>
      <w:r>
        <w:rPr>
          <w:rFonts w:hint="eastAsia"/>
          <w:lang w:eastAsia="zh-CN"/>
        </w:rPr>
        <w:t>表2  单根不锈钢管最大容纳纤芯数量</w:t>
      </w:r>
    </w:p>
    <w:tbl>
      <w:tblPr>
        <w:tblStyle w:val="7"/>
        <w:tblW w:w="9000" w:type="dxa"/>
        <w:jc w:val="center"/>
        <w:tblLayout w:type="autofit"/>
        <w:tblCellMar>
          <w:top w:w="0" w:type="dxa"/>
          <w:left w:w="108" w:type="dxa"/>
          <w:bottom w:w="0" w:type="dxa"/>
          <w:right w:w="108" w:type="dxa"/>
        </w:tblCellMar>
      </w:tblPr>
      <w:tblGrid>
        <w:gridCol w:w="820"/>
        <w:gridCol w:w="1700"/>
        <w:gridCol w:w="1003"/>
        <w:gridCol w:w="1003"/>
        <w:gridCol w:w="1234"/>
        <w:gridCol w:w="1003"/>
        <w:gridCol w:w="1003"/>
        <w:gridCol w:w="1234"/>
      </w:tblGrid>
      <w:tr>
        <w:tblPrEx>
          <w:tblCellMar>
            <w:top w:w="0" w:type="dxa"/>
            <w:left w:w="108" w:type="dxa"/>
            <w:bottom w:w="0" w:type="dxa"/>
            <w:right w:w="108" w:type="dxa"/>
          </w:tblCellMar>
        </w:tblPrEx>
        <w:trPr>
          <w:trHeight w:val="270" w:hRule="atLeast"/>
          <w:tblHeader/>
          <w:jc w:val="center"/>
        </w:trPr>
        <w:tc>
          <w:tcPr>
            <w:tcW w:w="820"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ind w:firstLine="0"/>
              <w:rPr>
                <w:rFonts w:ascii="宋体" w:hAnsi="宋体" w:cs="宋体"/>
                <w:color w:val="000000"/>
                <w:sz w:val="21"/>
                <w:szCs w:val="21"/>
              </w:rPr>
            </w:pPr>
            <w:r>
              <w:rPr>
                <w:rFonts w:hint="eastAsia" w:ascii="宋体" w:hAnsi="宋体" w:cs="宋体"/>
                <w:color w:val="000000"/>
                <w:sz w:val="21"/>
                <w:szCs w:val="21"/>
              </w:rPr>
              <w:t>序号</w:t>
            </w:r>
          </w:p>
        </w:tc>
        <w:tc>
          <w:tcPr>
            <w:tcW w:w="17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不锈钢管外径（mm)</w:t>
            </w:r>
          </w:p>
        </w:tc>
        <w:tc>
          <w:tcPr>
            <w:tcW w:w="3240" w:type="dxa"/>
            <w:gridSpan w:val="3"/>
            <w:tcBorders>
              <w:top w:val="single" w:color="auto" w:sz="4" w:space="0"/>
              <w:left w:val="nil"/>
              <w:bottom w:val="single" w:color="auto" w:sz="4" w:space="0"/>
              <w:right w:val="single" w:color="auto" w:sz="4" w:space="0"/>
            </w:tcBorders>
            <w:shd w:val="clear" w:color="auto" w:fill="auto"/>
            <w:noWrap/>
            <w:vAlign w:val="center"/>
          </w:tcPr>
          <w:p>
            <w:pPr>
              <w:ind w:firstLine="0"/>
              <w:rPr>
                <w:rFonts w:ascii="宋体" w:hAnsi="宋体" w:cs="宋体"/>
                <w:color w:val="000000"/>
                <w:sz w:val="21"/>
                <w:szCs w:val="21"/>
                <w:lang w:eastAsia="zh-CN"/>
              </w:rPr>
            </w:pPr>
            <w:r>
              <w:rPr>
                <w:rFonts w:hint="eastAsia" w:ascii="宋体" w:hAnsi="宋体" w:cs="宋体"/>
                <w:color w:val="000000"/>
                <w:sz w:val="21"/>
                <w:szCs w:val="21"/>
                <w:lang w:eastAsia="zh-CN"/>
              </w:rPr>
              <w:t>中芯管式最大容纳纤芯数量</w:t>
            </w:r>
          </w:p>
        </w:tc>
        <w:tc>
          <w:tcPr>
            <w:tcW w:w="3240" w:type="dxa"/>
            <w:gridSpan w:val="3"/>
            <w:tcBorders>
              <w:top w:val="single" w:color="auto" w:sz="4" w:space="0"/>
              <w:left w:val="nil"/>
              <w:bottom w:val="single" w:color="auto" w:sz="4" w:space="0"/>
              <w:right w:val="single" w:color="auto" w:sz="4" w:space="0"/>
            </w:tcBorders>
            <w:shd w:val="clear" w:color="auto" w:fill="auto"/>
            <w:noWrap/>
            <w:vAlign w:val="center"/>
          </w:tcPr>
          <w:p>
            <w:pPr>
              <w:ind w:firstLine="0"/>
              <w:rPr>
                <w:rFonts w:ascii="宋体" w:hAnsi="宋体" w:cs="宋体"/>
                <w:color w:val="000000"/>
                <w:sz w:val="21"/>
                <w:szCs w:val="21"/>
                <w:lang w:eastAsia="zh-CN"/>
              </w:rPr>
            </w:pPr>
            <w:r>
              <w:rPr>
                <w:rFonts w:hint="eastAsia" w:ascii="宋体" w:hAnsi="宋体" w:cs="宋体"/>
                <w:color w:val="000000"/>
                <w:sz w:val="21"/>
                <w:szCs w:val="21"/>
                <w:lang w:eastAsia="zh-CN"/>
              </w:rPr>
              <w:t>层绞式式最大容纳纤芯数量</w:t>
            </w:r>
          </w:p>
        </w:tc>
      </w:tr>
      <w:tr>
        <w:tblPrEx>
          <w:tblCellMar>
            <w:top w:w="0" w:type="dxa"/>
            <w:left w:w="108" w:type="dxa"/>
            <w:bottom w:w="0" w:type="dxa"/>
            <w:right w:w="108" w:type="dxa"/>
          </w:tblCellMar>
        </w:tblPrEx>
        <w:trPr>
          <w:trHeight w:val="270" w:hRule="atLeast"/>
          <w:tblHeader/>
          <w:jc w:val="center"/>
        </w:trPr>
        <w:tc>
          <w:tcPr>
            <w:tcW w:w="8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color w:val="000000"/>
                <w:sz w:val="21"/>
                <w:szCs w:val="21"/>
                <w:lang w:eastAsia="zh-CN"/>
              </w:rPr>
            </w:pPr>
          </w:p>
        </w:tc>
        <w:tc>
          <w:tcPr>
            <w:tcW w:w="170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color w:val="000000"/>
                <w:sz w:val="21"/>
                <w:szCs w:val="21"/>
                <w:lang w:eastAsia="zh-CN"/>
              </w:rPr>
            </w:pP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B1</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B4</w:t>
            </w:r>
          </w:p>
        </w:tc>
        <w:tc>
          <w:tcPr>
            <w:tcW w:w="1234"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B1+B4</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B1</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B4</w:t>
            </w:r>
          </w:p>
        </w:tc>
        <w:tc>
          <w:tcPr>
            <w:tcW w:w="1234"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B1+B4</w:t>
            </w:r>
          </w:p>
        </w:tc>
      </w:tr>
      <w:tr>
        <w:tblPrEx>
          <w:tblCellMar>
            <w:top w:w="0" w:type="dxa"/>
            <w:left w:w="108" w:type="dxa"/>
            <w:bottom w:w="0" w:type="dxa"/>
            <w:right w:w="108" w:type="dxa"/>
          </w:tblCellMar>
        </w:tblPrEx>
        <w:trPr>
          <w:trHeight w:val="270" w:hRule="atLeast"/>
          <w:jc w:val="center"/>
        </w:trPr>
        <w:tc>
          <w:tcPr>
            <w:tcW w:w="820" w:type="dxa"/>
            <w:tcBorders>
              <w:top w:val="nil"/>
              <w:left w:val="single" w:color="auto" w:sz="4" w:space="0"/>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1</w:t>
            </w:r>
          </w:p>
        </w:tc>
        <w:tc>
          <w:tcPr>
            <w:tcW w:w="1700"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2.4/2.5</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lang w:eastAsia="zh-CN"/>
              </w:rPr>
              <w:t>--</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lang w:eastAsia="zh-CN"/>
              </w:rPr>
              <w:t>--</w:t>
            </w:r>
          </w:p>
        </w:tc>
        <w:tc>
          <w:tcPr>
            <w:tcW w:w="1234"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lang w:eastAsia="zh-CN"/>
              </w:rPr>
              <w:t>--</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≤24</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≤20</w:t>
            </w:r>
          </w:p>
        </w:tc>
        <w:tc>
          <w:tcPr>
            <w:tcW w:w="1234"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≤20</w:t>
            </w:r>
          </w:p>
        </w:tc>
      </w:tr>
      <w:tr>
        <w:tblPrEx>
          <w:tblCellMar>
            <w:top w:w="0" w:type="dxa"/>
            <w:left w:w="108" w:type="dxa"/>
            <w:bottom w:w="0" w:type="dxa"/>
            <w:right w:w="108" w:type="dxa"/>
          </w:tblCellMar>
        </w:tblPrEx>
        <w:trPr>
          <w:trHeight w:val="270" w:hRule="atLeast"/>
          <w:jc w:val="center"/>
        </w:trPr>
        <w:tc>
          <w:tcPr>
            <w:tcW w:w="820" w:type="dxa"/>
            <w:tcBorders>
              <w:top w:val="nil"/>
              <w:left w:val="single" w:color="auto" w:sz="4" w:space="0"/>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2</w:t>
            </w:r>
          </w:p>
        </w:tc>
        <w:tc>
          <w:tcPr>
            <w:tcW w:w="1700"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2.6/2.7</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lang w:eastAsia="zh-CN"/>
              </w:rPr>
              <w:t>--</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lang w:eastAsia="zh-CN"/>
              </w:rPr>
              <w:t>--</w:t>
            </w:r>
          </w:p>
        </w:tc>
        <w:tc>
          <w:tcPr>
            <w:tcW w:w="1234"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lang w:eastAsia="zh-CN"/>
              </w:rPr>
              <w:t>--</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≤28</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≤22</w:t>
            </w:r>
          </w:p>
        </w:tc>
        <w:tc>
          <w:tcPr>
            <w:tcW w:w="1234"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≤22</w:t>
            </w:r>
          </w:p>
        </w:tc>
      </w:tr>
      <w:tr>
        <w:tblPrEx>
          <w:tblCellMar>
            <w:top w:w="0" w:type="dxa"/>
            <w:left w:w="108" w:type="dxa"/>
            <w:bottom w:w="0" w:type="dxa"/>
            <w:right w:w="108" w:type="dxa"/>
          </w:tblCellMar>
        </w:tblPrEx>
        <w:trPr>
          <w:trHeight w:val="270" w:hRule="atLeast"/>
          <w:jc w:val="center"/>
        </w:trPr>
        <w:tc>
          <w:tcPr>
            <w:tcW w:w="820" w:type="dxa"/>
            <w:tcBorders>
              <w:top w:val="nil"/>
              <w:left w:val="single" w:color="auto" w:sz="4" w:space="0"/>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3</w:t>
            </w:r>
          </w:p>
        </w:tc>
        <w:tc>
          <w:tcPr>
            <w:tcW w:w="1700"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2.8/2.9</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lang w:eastAsia="zh-CN"/>
              </w:rPr>
              <w:t>--</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lang w:eastAsia="zh-CN"/>
              </w:rPr>
              <w:t>--</w:t>
            </w:r>
          </w:p>
        </w:tc>
        <w:tc>
          <w:tcPr>
            <w:tcW w:w="1234"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lang w:eastAsia="zh-CN"/>
              </w:rPr>
              <w:t>--</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≤32</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≤30</w:t>
            </w:r>
          </w:p>
        </w:tc>
        <w:tc>
          <w:tcPr>
            <w:tcW w:w="1234"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≤30</w:t>
            </w:r>
          </w:p>
        </w:tc>
      </w:tr>
      <w:tr>
        <w:tblPrEx>
          <w:tblCellMar>
            <w:top w:w="0" w:type="dxa"/>
            <w:left w:w="108" w:type="dxa"/>
            <w:bottom w:w="0" w:type="dxa"/>
            <w:right w:w="108" w:type="dxa"/>
          </w:tblCellMar>
        </w:tblPrEx>
        <w:trPr>
          <w:trHeight w:val="270" w:hRule="atLeast"/>
          <w:jc w:val="center"/>
        </w:trPr>
        <w:tc>
          <w:tcPr>
            <w:tcW w:w="820" w:type="dxa"/>
            <w:tcBorders>
              <w:top w:val="nil"/>
              <w:left w:val="single" w:color="auto" w:sz="4" w:space="0"/>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4</w:t>
            </w:r>
          </w:p>
        </w:tc>
        <w:tc>
          <w:tcPr>
            <w:tcW w:w="1700"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3.0/3.1</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≤24</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≤20</w:t>
            </w:r>
          </w:p>
        </w:tc>
        <w:tc>
          <w:tcPr>
            <w:tcW w:w="1234"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≤20</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≤36</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≤30</w:t>
            </w:r>
          </w:p>
        </w:tc>
        <w:tc>
          <w:tcPr>
            <w:tcW w:w="1234"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≤30</w:t>
            </w:r>
          </w:p>
        </w:tc>
      </w:tr>
      <w:tr>
        <w:tblPrEx>
          <w:tblCellMar>
            <w:top w:w="0" w:type="dxa"/>
            <w:left w:w="108" w:type="dxa"/>
            <w:bottom w:w="0" w:type="dxa"/>
            <w:right w:w="108" w:type="dxa"/>
          </w:tblCellMar>
        </w:tblPrEx>
        <w:trPr>
          <w:trHeight w:val="270" w:hRule="atLeast"/>
          <w:jc w:val="center"/>
        </w:trPr>
        <w:tc>
          <w:tcPr>
            <w:tcW w:w="820" w:type="dxa"/>
            <w:tcBorders>
              <w:top w:val="nil"/>
              <w:left w:val="single" w:color="auto" w:sz="4" w:space="0"/>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5</w:t>
            </w:r>
          </w:p>
        </w:tc>
        <w:tc>
          <w:tcPr>
            <w:tcW w:w="1700"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3.2/3.3</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≤30</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≤24</w:t>
            </w:r>
          </w:p>
        </w:tc>
        <w:tc>
          <w:tcPr>
            <w:tcW w:w="1234"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≤24</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≤48</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≤36</w:t>
            </w:r>
          </w:p>
        </w:tc>
        <w:tc>
          <w:tcPr>
            <w:tcW w:w="1234"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≤36</w:t>
            </w:r>
          </w:p>
        </w:tc>
      </w:tr>
      <w:tr>
        <w:tblPrEx>
          <w:tblCellMar>
            <w:top w:w="0" w:type="dxa"/>
            <w:left w:w="108" w:type="dxa"/>
            <w:bottom w:w="0" w:type="dxa"/>
            <w:right w:w="108" w:type="dxa"/>
          </w:tblCellMar>
        </w:tblPrEx>
        <w:trPr>
          <w:trHeight w:val="270" w:hRule="atLeast"/>
          <w:jc w:val="center"/>
        </w:trPr>
        <w:tc>
          <w:tcPr>
            <w:tcW w:w="820" w:type="dxa"/>
            <w:tcBorders>
              <w:top w:val="nil"/>
              <w:left w:val="single" w:color="auto" w:sz="4" w:space="0"/>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6</w:t>
            </w:r>
          </w:p>
        </w:tc>
        <w:tc>
          <w:tcPr>
            <w:tcW w:w="1700"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3.4/3.5</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≤36</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≤28</w:t>
            </w:r>
          </w:p>
        </w:tc>
        <w:tc>
          <w:tcPr>
            <w:tcW w:w="1234"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≤28</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≤48</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≤40</w:t>
            </w:r>
          </w:p>
        </w:tc>
        <w:tc>
          <w:tcPr>
            <w:tcW w:w="1234"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≤40</w:t>
            </w:r>
          </w:p>
        </w:tc>
      </w:tr>
      <w:tr>
        <w:tblPrEx>
          <w:tblCellMar>
            <w:top w:w="0" w:type="dxa"/>
            <w:left w:w="108" w:type="dxa"/>
            <w:bottom w:w="0" w:type="dxa"/>
            <w:right w:w="108" w:type="dxa"/>
          </w:tblCellMar>
        </w:tblPrEx>
        <w:trPr>
          <w:trHeight w:val="270" w:hRule="atLeast"/>
          <w:jc w:val="center"/>
        </w:trPr>
        <w:tc>
          <w:tcPr>
            <w:tcW w:w="820" w:type="dxa"/>
            <w:tcBorders>
              <w:top w:val="nil"/>
              <w:left w:val="single" w:color="auto" w:sz="4" w:space="0"/>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7</w:t>
            </w:r>
          </w:p>
        </w:tc>
        <w:tc>
          <w:tcPr>
            <w:tcW w:w="1700"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3.6/3.7</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≤40</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≤32</w:t>
            </w:r>
          </w:p>
        </w:tc>
        <w:tc>
          <w:tcPr>
            <w:tcW w:w="1234"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≤32</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≤48</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≤40</w:t>
            </w:r>
          </w:p>
        </w:tc>
        <w:tc>
          <w:tcPr>
            <w:tcW w:w="1234"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≤40</w:t>
            </w:r>
          </w:p>
        </w:tc>
      </w:tr>
      <w:tr>
        <w:tblPrEx>
          <w:tblCellMar>
            <w:top w:w="0" w:type="dxa"/>
            <w:left w:w="108" w:type="dxa"/>
            <w:bottom w:w="0" w:type="dxa"/>
            <w:right w:w="108" w:type="dxa"/>
          </w:tblCellMar>
        </w:tblPrEx>
        <w:trPr>
          <w:trHeight w:val="270" w:hRule="atLeast"/>
          <w:jc w:val="center"/>
        </w:trPr>
        <w:tc>
          <w:tcPr>
            <w:tcW w:w="820" w:type="dxa"/>
            <w:tcBorders>
              <w:top w:val="nil"/>
              <w:left w:val="single" w:color="auto" w:sz="4" w:space="0"/>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8</w:t>
            </w:r>
          </w:p>
        </w:tc>
        <w:tc>
          <w:tcPr>
            <w:tcW w:w="1700"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3.8/3.9</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≤48</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≤40</w:t>
            </w:r>
          </w:p>
        </w:tc>
        <w:tc>
          <w:tcPr>
            <w:tcW w:w="1234"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≤40</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≤48</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≤42</w:t>
            </w:r>
          </w:p>
        </w:tc>
        <w:tc>
          <w:tcPr>
            <w:tcW w:w="1234"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≤42</w:t>
            </w:r>
          </w:p>
        </w:tc>
      </w:tr>
      <w:tr>
        <w:tblPrEx>
          <w:tblCellMar>
            <w:top w:w="0" w:type="dxa"/>
            <w:left w:w="108" w:type="dxa"/>
            <w:bottom w:w="0" w:type="dxa"/>
            <w:right w:w="108" w:type="dxa"/>
          </w:tblCellMar>
        </w:tblPrEx>
        <w:trPr>
          <w:trHeight w:val="270" w:hRule="atLeast"/>
          <w:jc w:val="center"/>
        </w:trPr>
        <w:tc>
          <w:tcPr>
            <w:tcW w:w="820" w:type="dxa"/>
            <w:tcBorders>
              <w:top w:val="nil"/>
              <w:left w:val="single" w:color="auto" w:sz="4" w:space="0"/>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9</w:t>
            </w:r>
          </w:p>
        </w:tc>
        <w:tc>
          <w:tcPr>
            <w:tcW w:w="1700"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4.0/4.1</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≤48</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≤48</w:t>
            </w:r>
          </w:p>
        </w:tc>
        <w:tc>
          <w:tcPr>
            <w:tcW w:w="1234"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≤48</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≤48</w:t>
            </w:r>
          </w:p>
        </w:tc>
        <w:tc>
          <w:tcPr>
            <w:tcW w:w="1003"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≤48</w:t>
            </w:r>
          </w:p>
        </w:tc>
        <w:tc>
          <w:tcPr>
            <w:tcW w:w="1234" w:type="dxa"/>
            <w:tcBorders>
              <w:top w:val="nil"/>
              <w:left w:val="nil"/>
              <w:bottom w:val="single" w:color="auto" w:sz="4" w:space="0"/>
              <w:right w:val="single" w:color="auto" w:sz="4" w:space="0"/>
            </w:tcBorders>
            <w:shd w:val="clear" w:color="auto" w:fill="auto"/>
            <w:noWrap/>
            <w:vAlign w:val="center"/>
          </w:tcPr>
          <w:p>
            <w:pPr>
              <w:ind w:firstLine="0"/>
              <w:jc w:val="center"/>
              <w:rPr>
                <w:rFonts w:ascii="宋体" w:hAnsi="宋体" w:cs="宋体"/>
                <w:color w:val="000000"/>
                <w:sz w:val="21"/>
                <w:szCs w:val="21"/>
              </w:rPr>
            </w:pPr>
            <w:r>
              <w:rPr>
                <w:rFonts w:hint="eastAsia" w:ascii="宋体" w:hAnsi="宋体" w:cs="宋体"/>
                <w:color w:val="000000"/>
                <w:sz w:val="21"/>
                <w:szCs w:val="21"/>
              </w:rPr>
              <w:t>≤48</w:t>
            </w:r>
          </w:p>
        </w:tc>
      </w:tr>
    </w:tbl>
    <w:p>
      <w:pPr>
        <w:adjustRightInd w:val="0"/>
        <w:snapToGrid w:val="0"/>
        <w:spacing w:line="360" w:lineRule="auto"/>
        <w:ind w:firstLine="0"/>
        <w:rPr>
          <w:rFonts w:ascii="宋体" w:hAnsi="宋体"/>
          <w:bCs/>
          <w:szCs w:val="24"/>
          <w:lang w:eastAsia="zh-CN"/>
        </w:rPr>
      </w:pPr>
      <w:r>
        <w:rPr>
          <w:rFonts w:hint="eastAsia" w:ascii="宋体" w:hAnsi="宋体"/>
          <w:szCs w:val="24"/>
          <w:lang w:eastAsia="zh-CN"/>
        </w:rPr>
        <w:t xml:space="preserve">4.1.20 </w:t>
      </w:r>
      <w:r>
        <w:rPr>
          <w:rFonts w:ascii="宋体" w:hAnsi="宋体"/>
          <w:szCs w:val="24"/>
          <w:lang w:eastAsia="zh-CN"/>
        </w:rPr>
        <w:t>光纤应当有适当的余长，当OPGW承受40%RTS的张力时，应保证光纤无应变、无附加衰</w:t>
      </w:r>
      <w:r>
        <w:rPr>
          <w:rFonts w:ascii="宋体" w:hAnsi="宋体"/>
          <w:bCs/>
          <w:szCs w:val="24"/>
          <w:lang w:eastAsia="zh-CN"/>
        </w:rPr>
        <w:t>减，当OPGW承受60%RTS的张力时，应满足光纤应变不大于0.25%、光纤附加衰减不大于0.05dB以及该拉力取消后光纤无明显残余附加衰减。</w:t>
      </w:r>
    </w:p>
    <w:p>
      <w:pPr>
        <w:adjustRightInd w:val="0"/>
        <w:snapToGrid w:val="0"/>
        <w:spacing w:line="360" w:lineRule="auto"/>
        <w:ind w:firstLineChars="150"/>
        <w:rPr>
          <w:rFonts w:ascii="宋体" w:hAnsi="宋体"/>
          <w:szCs w:val="24"/>
          <w:lang w:eastAsia="zh-CN"/>
        </w:rPr>
      </w:pPr>
      <w:r>
        <w:rPr>
          <w:rFonts w:ascii="宋体" w:hAnsi="宋体"/>
          <w:bCs/>
          <w:szCs w:val="24"/>
          <w:lang w:eastAsia="zh-CN"/>
        </w:rPr>
        <w:t>如买方有特殊需求，卖方应提供最终拉力达到70%RTS的应力应变曲线。</w:t>
      </w:r>
    </w:p>
    <w:p>
      <w:pPr>
        <w:tabs>
          <w:tab w:val="left" w:pos="993"/>
        </w:tabs>
        <w:adjustRightInd w:val="0"/>
        <w:snapToGrid w:val="0"/>
        <w:spacing w:line="360" w:lineRule="auto"/>
        <w:ind w:firstLine="0"/>
        <w:rPr>
          <w:rFonts w:ascii="宋体" w:hAnsi="宋体"/>
          <w:b/>
          <w:vanish/>
          <w:lang w:eastAsia="zh-CN"/>
        </w:rPr>
      </w:pPr>
      <w:r>
        <w:rPr>
          <w:rFonts w:hint="eastAsia" w:ascii="宋体" w:hAnsi="宋体"/>
          <w:b/>
          <w:vanish/>
          <w:lang w:eastAsia="zh-CN"/>
        </w:rPr>
        <w:t>4.2 光纤的技术参数</w:t>
      </w:r>
    </w:p>
    <w:p>
      <w:pPr>
        <w:autoSpaceDE w:val="0"/>
        <w:autoSpaceDN w:val="0"/>
        <w:adjustRightInd w:val="0"/>
        <w:spacing w:line="360" w:lineRule="auto"/>
        <w:ind w:firstLine="0"/>
        <w:rPr>
          <w:rFonts w:ascii="宋体" w:hAnsi="宋体"/>
          <w:lang w:eastAsia="zh-CN"/>
        </w:rPr>
      </w:pPr>
      <w:r>
        <w:rPr>
          <w:rFonts w:hint="eastAsia" w:ascii="宋体" w:hAnsi="宋体"/>
          <w:lang w:eastAsia="zh-CN"/>
        </w:rPr>
        <w:t>4.2.1  G.652D光纤的技术参数</w:t>
      </w:r>
    </w:p>
    <w:p>
      <w:pPr>
        <w:spacing w:line="360" w:lineRule="auto"/>
        <w:ind w:firstLine="480" w:firstLineChars="200"/>
        <w:rPr>
          <w:rFonts w:ascii="宋体" w:hAnsi="宋体"/>
          <w:lang w:eastAsia="zh-CN"/>
        </w:rPr>
      </w:pPr>
      <w:r>
        <w:rPr>
          <w:rFonts w:ascii="宋体" w:hAnsi="宋体"/>
          <w:lang w:eastAsia="zh-CN"/>
        </w:rPr>
        <w:t>OPGW的光纤材料、结构尺寸的设计、制造和电气性能必须符合ITU-T G.652D规定。光纤不允许含有工厂熔接点：</w:t>
      </w:r>
    </w:p>
    <w:p>
      <w:pPr>
        <w:spacing w:line="360" w:lineRule="auto"/>
        <w:ind w:firstLine="0"/>
        <w:jc w:val="center"/>
        <w:rPr>
          <w:rFonts w:ascii="宋体" w:hAnsi="宋体"/>
          <w:snapToGrid w:val="0"/>
        </w:rPr>
      </w:pPr>
      <w:r>
        <w:rPr>
          <w:rFonts w:ascii="宋体" w:hAnsi="宋体"/>
          <w:snapToGrid w:val="0"/>
        </w:rPr>
        <w:t>表</w:t>
      </w:r>
      <w:r>
        <w:rPr>
          <w:rFonts w:hint="eastAsia" w:ascii="宋体" w:hAnsi="宋体"/>
          <w:snapToGrid w:val="0"/>
          <w:lang w:eastAsia="zh-CN"/>
        </w:rPr>
        <w:t>3</w:t>
      </w:r>
      <w:r>
        <w:rPr>
          <w:rFonts w:ascii="宋体" w:hAnsi="宋体"/>
          <w:snapToGrid w:val="0"/>
        </w:rPr>
        <w:t xml:space="preserve">  G.652D光纤属性</w:t>
      </w:r>
    </w:p>
    <w:tbl>
      <w:tblPr>
        <w:tblStyle w:val="7"/>
        <w:tblW w:w="7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32"/>
        <w:gridCol w:w="3378"/>
        <w:gridCol w:w="20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blHeader/>
          <w:jc w:val="center"/>
        </w:trPr>
        <w:tc>
          <w:tcPr>
            <w:tcW w:w="2532" w:type="dxa"/>
            <w:noWrap/>
            <w:vAlign w:val="center"/>
          </w:tcPr>
          <w:p>
            <w:pPr>
              <w:spacing w:line="360" w:lineRule="auto"/>
              <w:jc w:val="center"/>
              <w:rPr>
                <w:rFonts w:ascii="宋体" w:hAnsi="宋体"/>
                <w:bCs/>
                <w:sz w:val="21"/>
                <w:szCs w:val="21"/>
              </w:rPr>
            </w:pPr>
            <w:r>
              <w:rPr>
                <w:rFonts w:ascii="宋体" w:hAnsi="宋体"/>
                <w:bCs/>
                <w:sz w:val="21"/>
                <w:szCs w:val="21"/>
              </w:rPr>
              <w:t>参数</w:t>
            </w:r>
          </w:p>
        </w:tc>
        <w:tc>
          <w:tcPr>
            <w:tcW w:w="3378" w:type="dxa"/>
            <w:noWrap/>
            <w:vAlign w:val="center"/>
          </w:tcPr>
          <w:p>
            <w:pPr>
              <w:spacing w:line="360" w:lineRule="auto"/>
              <w:jc w:val="center"/>
              <w:rPr>
                <w:rFonts w:ascii="宋体" w:hAnsi="宋体"/>
                <w:bCs/>
                <w:sz w:val="21"/>
                <w:szCs w:val="21"/>
              </w:rPr>
            </w:pPr>
            <w:r>
              <w:rPr>
                <w:rFonts w:ascii="宋体" w:hAnsi="宋体"/>
                <w:bCs/>
                <w:sz w:val="21"/>
                <w:szCs w:val="21"/>
              </w:rPr>
              <w:t>表述</w:t>
            </w:r>
          </w:p>
        </w:tc>
        <w:tc>
          <w:tcPr>
            <w:tcW w:w="2046" w:type="dxa"/>
            <w:noWrap/>
            <w:vAlign w:val="center"/>
          </w:tcPr>
          <w:p>
            <w:pPr>
              <w:spacing w:line="360" w:lineRule="auto"/>
              <w:jc w:val="center"/>
              <w:rPr>
                <w:rFonts w:ascii="宋体" w:hAnsi="宋体"/>
                <w:bCs/>
                <w:sz w:val="21"/>
                <w:szCs w:val="21"/>
              </w:rPr>
            </w:pPr>
            <w:r>
              <w:rPr>
                <w:rFonts w:ascii="宋体" w:hAnsi="宋体"/>
                <w:bCs/>
                <w:sz w:val="21"/>
                <w:szCs w:val="21"/>
              </w:rPr>
              <w:t>参数值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532" w:type="dxa"/>
            <w:vMerge w:val="restart"/>
            <w:noWrap/>
            <w:vAlign w:val="center"/>
          </w:tcPr>
          <w:p>
            <w:pPr>
              <w:spacing w:line="360" w:lineRule="auto"/>
              <w:jc w:val="center"/>
              <w:rPr>
                <w:rFonts w:ascii="宋体" w:hAnsi="宋体"/>
                <w:sz w:val="21"/>
                <w:szCs w:val="21"/>
              </w:rPr>
            </w:pPr>
            <w:r>
              <w:rPr>
                <w:rFonts w:ascii="宋体" w:hAnsi="宋体"/>
                <w:sz w:val="21"/>
                <w:szCs w:val="21"/>
              </w:rPr>
              <w:t>模场直径</w:t>
            </w:r>
          </w:p>
        </w:tc>
        <w:tc>
          <w:tcPr>
            <w:tcW w:w="3378" w:type="dxa"/>
            <w:noWrap/>
            <w:vAlign w:val="center"/>
          </w:tcPr>
          <w:p>
            <w:pPr>
              <w:spacing w:line="360" w:lineRule="auto"/>
              <w:jc w:val="center"/>
              <w:rPr>
                <w:rFonts w:ascii="宋体" w:hAnsi="宋体"/>
                <w:sz w:val="21"/>
                <w:szCs w:val="21"/>
              </w:rPr>
            </w:pPr>
            <w:r>
              <w:rPr>
                <w:rFonts w:ascii="宋体" w:hAnsi="宋体"/>
                <w:sz w:val="21"/>
                <w:szCs w:val="21"/>
              </w:rPr>
              <w:t>波长</w:t>
            </w:r>
          </w:p>
        </w:tc>
        <w:tc>
          <w:tcPr>
            <w:tcW w:w="2046" w:type="dxa"/>
            <w:noWrap/>
            <w:vAlign w:val="center"/>
          </w:tcPr>
          <w:p>
            <w:pPr>
              <w:spacing w:line="360" w:lineRule="auto"/>
              <w:jc w:val="center"/>
              <w:rPr>
                <w:rFonts w:ascii="宋体" w:hAnsi="宋体"/>
                <w:sz w:val="21"/>
                <w:szCs w:val="21"/>
              </w:rPr>
            </w:pPr>
            <w:r>
              <w:rPr>
                <w:rFonts w:ascii="宋体" w:hAnsi="宋体"/>
                <w:sz w:val="21"/>
                <w:szCs w:val="21"/>
              </w:rPr>
              <w:t>1310nm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532" w:type="dxa"/>
            <w:vMerge w:val="continue"/>
            <w:vAlign w:val="center"/>
          </w:tcPr>
          <w:p>
            <w:pPr>
              <w:spacing w:line="360" w:lineRule="auto"/>
              <w:jc w:val="center"/>
              <w:rPr>
                <w:rFonts w:ascii="宋体" w:hAnsi="宋体"/>
                <w:sz w:val="21"/>
                <w:szCs w:val="21"/>
              </w:rPr>
            </w:pPr>
          </w:p>
        </w:tc>
        <w:tc>
          <w:tcPr>
            <w:tcW w:w="3378" w:type="dxa"/>
            <w:noWrap/>
            <w:vAlign w:val="center"/>
          </w:tcPr>
          <w:p>
            <w:pPr>
              <w:spacing w:line="360" w:lineRule="auto"/>
              <w:jc w:val="center"/>
              <w:rPr>
                <w:rFonts w:ascii="宋体" w:hAnsi="宋体"/>
                <w:sz w:val="21"/>
                <w:szCs w:val="21"/>
              </w:rPr>
            </w:pPr>
            <w:r>
              <w:rPr>
                <w:rFonts w:ascii="宋体" w:hAnsi="宋体"/>
                <w:sz w:val="21"/>
                <w:szCs w:val="21"/>
              </w:rPr>
              <w:t>标称值范围</w:t>
            </w:r>
          </w:p>
        </w:tc>
        <w:tc>
          <w:tcPr>
            <w:tcW w:w="2046" w:type="dxa"/>
            <w:noWrap/>
            <w:vAlign w:val="center"/>
          </w:tcPr>
          <w:p>
            <w:pPr>
              <w:spacing w:line="360" w:lineRule="auto"/>
              <w:jc w:val="center"/>
              <w:rPr>
                <w:rFonts w:ascii="宋体" w:hAnsi="宋体"/>
                <w:sz w:val="21"/>
                <w:szCs w:val="21"/>
              </w:rPr>
            </w:pPr>
            <w:r>
              <w:rPr>
                <w:rFonts w:ascii="宋体" w:hAnsi="宋体"/>
                <w:sz w:val="21"/>
                <w:szCs w:val="21"/>
              </w:rPr>
              <w:t>8.6～9.5μm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532" w:type="dxa"/>
            <w:vMerge w:val="continue"/>
            <w:vAlign w:val="center"/>
          </w:tcPr>
          <w:p>
            <w:pPr>
              <w:spacing w:line="360" w:lineRule="auto"/>
              <w:jc w:val="center"/>
              <w:rPr>
                <w:rFonts w:ascii="宋体" w:hAnsi="宋体"/>
                <w:sz w:val="21"/>
                <w:szCs w:val="21"/>
              </w:rPr>
            </w:pPr>
          </w:p>
        </w:tc>
        <w:tc>
          <w:tcPr>
            <w:tcW w:w="3378" w:type="dxa"/>
            <w:noWrap/>
            <w:vAlign w:val="center"/>
          </w:tcPr>
          <w:p>
            <w:pPr>
              <w:spacing w:line="360" w:lineRule="auto"/>
              <w:jc w:val="center"/>
              <w:rPr>
                <w:rFonts w:ascii="宋体" w:hAnsi="宋体"/>
                <w:sz w:val="21"/>
                <w:szCs w:val="21"/>
              </w:rPr>
            </w:pPr>
            <w:r>
              <w:rPr>
                <w:rFonts w:ascii="宋体" w:hAnsi="宋体"/>
                <w:sz w:val="21"/>
                <w:szCs w:val="21"/>
              </w:rPr>
              <w:t>容差</w:t>
            </w:r>
          </w:p>
        </w:tc>
        <w:tc>
          <w:tcPr>
            <w:tcW w:w="2046" w:type="dxa"/>
            <w:noWrap/>
            <w:vAlign w:val="center"/>
          </w:tcPr>
          <w:p>
            <w:pPr>
              <w:spacing w:line="360" w:lineRule="auto"/>
              <w:jc w:val="center"/>
              <w:rPr>
                <w:rFonts w:ascii="宋体" w:hAnsi="宋体"/>
                <w:sz w:val="21"/>
                <w:szCs w:val="21"/>
              </w:rPr>
            </w:pPr>
            <w:r>
              <w:rPr>
                <w:rFonts w:ascii="宋体" w:hAnsi="宋体"/>
                <w:sz w:val="21"/>
                <w:szCs w:val="21"/>
              </w:rPr>
              <w:t>±0.6μm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532" w:type="dxa"/>
            <w:vMerge w:val="restart"/>
            <w:noWrap/>
            <w:vAlign w:val="center"/>
          </w:tcPr>
          <w:p>
            <w:pPr>
              <w:spacing w:line="360" w:lineRule="auto"/>
              <w:jc w:val="center"/>
              <w:rPr>
                <w:rFonts w:ascii="宋体" w:hAnsi="宋体"/>
                <w:sz w:val="21"/>
                <w:szCs w:val="21"/>
              </w:rPr>
            </w:pPr>
            <w:r>
              <w:rPr>
                <w:rFonts w:ascii="宋体" w:hAnsi="宋体"/>
                <w:sz w:val="21"/>
                <w:szCs w:val="21"/>
              </w:rPr>
              <w:t>包层直径</w:t>
            </w:r>
          </w:p>
        </w:tc>
        <w:tc>
          <w:tcPr>
            <w:tcW w:w="3378" w:type="dxa"/>
            <w:noWrap/>
            <w:vAlign w:val="center"/>
          </w:tcPr>
          <w:p>
            <w:pPr>
              <w:spacing w:line="360" w:lineRule="auto"/>
              <w:jc w:val="center"/>
              <w:rPr>
                <w:rFonts w:ascii="宋体" w:hAnsi="宋体"/>
                <w:sz w:val="21"/>
                <w:szCs w:val="21"/>
              </w:rPr>
            </w:pPr>
            <w:r>
              <w:rPr>
                <w:rFonts w:ascii="宋体" w:hAnsi="宋体"/>
                <w:sz w:val="21"/>
                <w:szCs w:val="21"/>
              </w:rPr>
              <w:t>标称值</w:t>
            </w:r>
          </w:p>
        </w:tc>
        <w:tc>
          <w:tcPr>
            <w:tcW w:w="2046" w:type="dxa"/>
            <w:noWrap/>
            <w:vAlign w:val="center"/>
          </w:tcPr>
          <w:p>
            <w:pPr>
              <w:spacing w:line="360" w:lineRule="auto"/>
              <w:jc w:val="center"/>
              <w:rPr>
                <w:rFonts w:ascii="宋体" w:hAnsi="宋体"/>
                <w:sz w:val="21"/>
                <w:szCs w:val="21"/>
              </w:rPr>
            </w:pPr>
            <w:r>
              <w:rPr>
                <w:rFonts w:ascii="宋体" w:hAnsi="宋体"/>
                <w:sz w:val="21"/>
                <w:szCs w:val="21"/>
              </w:rPr>
              <w:t>125.0μm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532" w:type="dxa"/>
            <w:vMerge w:val="continue"/>
            <w:vAlign w:val="center"/>
          </w:tcPr>
          <w:p>
            <w:pPr>
              <w:spacing w:line="360" w:lineRule="auto"/>
              <w:jc w:val="center"/>
              <w:rPr>
                <w:rFonts w:ascii="宋体" w:hAnsi="宋体"/>
                <w:sz w:val="21"/>
                <w:szCs w:val="21"/>
              </w:rPr>
            </w:pPr>
          </w:p>
        </w:tc>
        <w:tc>
          <w:tcPr>
            <w:tcW w:w="3378" w:type="dxa"/>
            <w:noWrap/>
            <w:vAlign w:val="center"/>
          </w:tcPr>
          <w:p>
            <w:pPr>
              <w:spacing w:line="360" w:lineRule="auto"/>
              <w:jc w:val="center"/>
              <w:rPr>
                <w:rFonts w:ascii="宋体" w:hAnsi="宋体"/>
                <w:sz w:val="21"/>
                <w:szCs w:val="21"/>
              </w:rPr>
            </w:pPr>
            <w:r>
              <w:rPr>
                <w:rFonts w:ascii="宋体" w:hAnsi="宋体"/>
                <w:sz w:val="21"/>
                <w:szCs w:val="21"/>
              </w:rPr>
              <w:t>容差</w:t>
            </w:r>
          </w:p>
        </w:tc>
        <w:tc>
          <w:tcPr>
            <w:tcW w:w="2046" w:type="dxa"/>
            <w:noWrap/>
            <w:vAlign w:val="center"/>
          </w:tcPr>
          <w:p>
            <w:pPr>
              <w:spacing w:line="360" w:lineRule="auto"/>
              <w:jc w:val="center"/>
              <w:rPr>
                <w:rFonts w:ascii="宋体" w:hAnsi="宋体"/>
                <w:sz w:val="21"/>
                <w:szCs w:val="21"/>
              </w:rPr>
            </w:pPr>
            <w:r>
              <w:rPr>
                <w:rFonts w:ascii="宋体" w:hAnsi="宋体"/>
                <w:sz w:val="21"/>
                <w:szCs w:val="21"/>
              </w:rPr>
              <w:t>±1μm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532" w:type="dxa"/>
            <w:noWrap/>
            <w:vAlign w:val="center"/>
          </w:tcPr>
          <w:p>
            <w:pPr>
              <w:spacing w:line="360" w:lineRule="auto"/>
              <w:jc w:val="center"/>
              <w:rPr>
                <w:rFonts w:ascii="宋体" w:hAnsi="宋体"/>
                <w:sz w:val="21"/>
                <w:szCs w:val="21"/>
              </w:rPr>
            </w:pPr>
            <w:r>
              <w:rPr>
                <w:rFonts w:ascii="宋体" w:hAnsi="宋体"/>
                <w:sz w:val="21"/>
                <w:szCs w:val="21"/>
              </w:rPr>
              <w:t>核壳同心度误差</w:t>
            </w:r>
          </w:p>
        </w:tc>
        <w:tc>
          <w:tcPr>
            <w:tcW w:w="3378" w:type="dxa"/>
            <w:noWrap/>
            <w:vAlign w:val="center"/>
          </w:tcPr>
          <w:p>
            <w:pPr>
              <w:spacing w:line="360" w:lineRule="auto"/>
              <w:jc w:val="center"/>
              <w:rPr>
                <w:rFonts w:ascii="宋体" w:hAnsi="宋体"/>
                <w:sz w:val="21"/>
                <w:szCs w:val="21"/>
              </w:rPr>
            </w:pPr>
            <w:r>
              <w:rPr>
                <w:rFonts w:ascii="宋体" w:hAnsi="宋体"/>
                <w:sz w:val="21"/>
                <w:szCs w:val="21"/>
              </w:rPr>
              <w:t>最大</w:t>
            </w:r>
          </w:p>
        </w:tc>
        <w:tc>
          <w:tcPr>
            <w:tcW w:w="2046" w:type="dxa"/>
            <w:noWrap/>
            <w:vAlign w:val="center"/>
          </w:tcPr>
          <w:p>
            <w:pPr>
              <w:spacing w:line="360" w:lineRule="auto"/>
              <w:jc w:val="center"/>
              <w:rPr>
                <w:rFonts w:ascii="宋体" w:hAnsi="宋体"/>
                <w:sz w:val="21"/>
                <w:szCs w:val="21"/>
              </w:rPr>
            </w:pPr>
            <w:r>
              <w:rPr>
                <w:rFonts w:ascii="宋体" w:hAnsi="宋体"/>
                <w:sz w:val="21"/>
                <w:szCs w:val="21"/>
              </w:rPr>
              <w:t>0.6μm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532" w:type="dxa"/>
            <w:noWrap/>
            <w:vAlign w:val="center"/>
          </w:tcPr>
          <w:p>
            <w:pPr>
              <w:spacing w:line="360" w:lineRule="auto"/>
              <w:jc w:val="center"/>
              <w:rPr>
                <w:rFonts w:ascii="宋体" w:hAnsi="宋体"/>
                <w:sz w:val="21"/>
                <w:szCs w:val="21"/>
              </w:rPr>
            </w:pPr>
            <w:r>
              <w:rPr>
                <w:rFonts w:ascii="宋体" w:hAnsi="宋体"/>
                <w:sz w:val="21"/>
                <w:szCs w:val="21"/>
              </w:rPr>
              <w:t>包层不圆度</w:t>
            </w:r>
          </w:p>
        </w:tc>
        <w:tc>
          <w:tcPr>
            <w:tcW w:w="3378" w:type="dxa"/>
            <w:noWrap/>
            <w:vAlign w:val="center"/>
          </w:tcPr>
          <w:p>
            <w:pPr>
              <w:spacing w:line="360" w:lineRule="auto"/>
              <w:jc w:val="center"/>
              <w:rPr>
                <w:rFonts w:ascii="宋体" w:hAnsi="宋体"/>
                <w:sz w:val="21"/>
                <w:szCs w:val="21"/>
              </w:rPr>
            </w:pPr>
            <w:r>
              <w:rPr>
                <w:rFonts w:ascii="宋体" w:hAnsi="宋体"/>
                <w:sz w:val="21"/>
                <w:szCs w:val="21"/>
              </w:rPr>
              <w:t>最大</w:t>
            </w:r>
          </w:p>
        </w:tc>
        <w:tc>
          <w:tcPr>
            <w:tcW w:w="2046" w:type="dxa"/>
            <w:noWrap/>
            <w:vAlign w:val="center"/>
          </w:tcPr>
          <w:p>
            <w:pPr>
              <w:spacing w:line="360" w:lineRule="auto"/>
              <w:jc w:val="center"/>
              <w:rPr>
                <w:rFonts w:ascii="宋体" w:hAnsi="宋体"/>
                <w:sz w:val="21"/>
                <w:szCs w:val="21"/>
              </w:rPr>
            </w:pPr>
            <w:r>
              <w:rPr>
                <w:rFonts w:ascii="宋体" w:hAnsi="宋体"/>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532" w:type="dxa"/>
            <w:noWrap/>
            <w:vAlign w:val="center"/>
          </w:tcPr>
          <w:p>
            <w:pPr>
              <w:spacing w:line="360" w:lineRule="auto"/>
              <w:jc w:val="center"/>
              <w:rPr>
                <w:rFonts w:ascii="宋体" w:hAnsi="宋体"/>
                <w:sz w:val="21"/>
                <w:szCs w:val="21"/>
              </w:rPr>
            </w:pPr>
            <w:r>
              <w:rPr>
                <w:rFonts w:ascii="宋体" w:hAnsi="宋体"/>
                <w:sz w:val="21"/>
                <w:szCs w:val="21"/>
              </w:rPr>
              <w:t>光缆截止波长</w:t>
            </w:r>
          </w:p>
        </w:tc>
        <w:tc>
          <w:tcPr>
            <w:tcW w:w="3378" w:type="dxa"/>
            <w:noWrap/>
            <w:vAlign w:val="center"/>
          </w:tcPr>
          <w:p>
            <w:pPr>
              <w:spacing w:line="360" w:lineRule="auto"/>
              <w:jc w:val="center"/>
              <w:rPr>
                <w:rFonts w:ascii="宋体" w:hAnsi="宋体"/>
                <w:sz w:val="21"/>
                <w:szCs w:val="21"/>
              </w:rPr>
            </w:pPr>
            <w:r>
              <w:rPr>
                <w:rFonts w:ascii="宋体" w:hAnsi="宋体"/>
                <w:sz w:val="21"/>
                <w:szCs w:val="21"/>
              </w:rPr>
              <w:t>最大</w:t>
            </w:r>
          </w:p>
        </w:tc>
        <w:tc>
          <w:tcPr>
            <w:tcW w:w="2046" w:type="dxa"/>
            <w:noWrap/>
            <w:vAlign w:val="center"/>
          </w:tcPr>
          <w:p>
            <w:pPr>
              <w:spacing w:line="360" w:lineRule="auto"/>
              <w:jc w:val="center"/>
              <w:rPr>
                <w:rFonts w:ascii="宋体" w:hAnsi="宋体"/>
                <w:sz w:val="21"/>
                <w:szCs w:val="21"/>
              </w:rPr>
            </w:pPr>
            <w:r>
              <w:rPr>
                <w:rFonts w:ascii="宋体" w:hAnsi="宋体"/>
                <w:sz w:val="21"/>
                <w:szCs w:val="21"/>
              </w:rPr>
              <w:t>1260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532" w:type="dxa"/>
            <w:vMerge w:val="restart"/>
            <w:noWrap/>
            <w:vAlign w:val="center"/>
          </w:tcPr>
          <w:p>
            <w:pPr>
              <w:spacing w:line="360" w:lineRule="auto"/>
              <w:jc w:val="center"/>
              <w:rPr>
                <w:rFonts w:ascii="宋体" w:hAnsi="宋体"/>
                <w:sz w:val="21"/>
                <w:szCs w:val="21"/>
              </w:rPr>
            </w:pPr>
            <w:r>
              <w:rPr>
                <w:rFonts w:ascii="宋体" w:hAnsi="宋体"/>
                <w:sz w:val="21"/>
                <w:szCs w:val="21"/>
              </w:rPr>
              <w:t>宏弯损耗</w:t>
            </w:r>
          </w:p>
        </w:tc>
        <w:tc>
          <w:tcPr>
            <w:tcW w:w="3378" w:type="dxa"/>
            <w:noWrap/>
            <w:vAlign w:val="center"/>
          </w:tcPr>
          <w:p>
            <w:pPr>
              <w:spacing w:line="360" w:lineRule="auto"/>
              <w:jc w:val="center"/>
              <w:rPr>
                <w:rFonts w:ascii="宋体" w:hAnsi="宋体"/>
                <w:sz w:val="21"/>
                <w:szCs w:val="21"/>
              </w:rPr>
            </w:pPr>
            <w:r>
              <w:rPr>
                <w:rFonts w:ascii="宋体" w:hAnsi="宋体"/>
                <w:sz w:val="21"/>
                <w:szCs w:val="21"/>
              </w:rPr>
              <w:t>半径</w:t>
            </w:r>
          </w:p>
        </w:tc>
        <w:tc>
          <w:tcPr>
            <w:tcW w:w="2046" w:type="dxa"/>
            <w:noWrap/>
            <w:vAlign w:val="center"/>
          </w:tcPr>
          <w:p>
            <w:pPr>
              <w:spacing w:line="360" w:lineRule="auto"/>
              <w:jc w:val="center"/>
              <w:rPr>
                <w:rFonts w:ascii="宋体" w:hAnsi="宋体"/>
                <w:sz w:val="21"/>
                <w:szCs w:val="21"/>
              </w:rPr>
            </w:pPr>
            <w:r>
              <w:rPr>
                <w:rFonts w:ascii="宋体" w:hAnsi="宋体"/>
                <w:sz w:val="21"/>
                <w:szCs w:val="21"/>
              </w:rPr>
              <w:t>30mm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532" w:type="dxa"/>
            <w:vMerge w:val="continue"/>
            <w:vAlign w:val="center"/>
          </w:tcPr>
          <w:p>
            <w:pPr>
              <w:spacing w:line="360" w:lineRule="auto"/>
              <w:jc w:val="center"/>
              <w:rPr>
                <w:rFonts w:ascii="宋体" w:hAnsi="宋体"/>
                <w:sz w:val="21"/>
                <w:szCs w:val="21"/>
              </w:rPr>
            </w:pPr>
          </w:p>
        </w:tc>
        <w:tc>
          <w:tcPr>
            <w:tcW w:w="3378" w:type="dxa"/>
            <w:noWrap/>
            <w:vAlign w:val="center"/>
          </w:tcPr>
          <w:p>
            <w:pPr>
              <w:spacing w:line="360" w:lineRule="auto"/>
              <w:jc w:val="center"/>
              <w:rPr>
                <w:rFonts w:ascii="宋体" w:hAnsi="宋体"/>
                <w:sz w:val="21"/>
                <w:szCs w:val="21"/>
              </w:rPr>
            </w:pPr>
            <w:r>
              <w:rPr>
                <w:rFonts w:ascii="宋体" w:hAnsi="宋体"/>
                <w:sz w:val="21"/>
                <w:szCs w:val="21"/>
              </w:rPr>
              <w:t>圈数</w:t>
            </w:r>
          </w:p>
        </w:tc>
        <w:tc>
          <w:tcPr>
            <w:tcW w:w="2046" w:type="dxa"/>
            <w:noWrap/>
            <w:vAlign w:val="center"/>
          </w:tcPr>
          <w:p>
            <w:pPr>
              <w:spacing w:line="360" w:lineRule="auto"/>
              <w:jc w:val="center"/>
              <w:rPr>
                <w:rFonts w:ascii="宋体" w:hAnsi="宋体"/>
                <w:sz w:val="21"/>
                <w:szCs w:val="21"/>
              </w:rPr>
            </w:pPr>
            <w:r>
              <w:rPr>
                <w:rFonts w:ascii="宋体" w:hAnsi="宋体"/>
                <w:sz w:val="21"/>
                <w:szCs w:val="21"/>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532" w:type="dxa"/>
            <w:vMerge w:val="continue"/>
            <w:vAlign w:val="center"/>
          </w:tcPr>
          <w:p>
            <w:pPr>
              <w:spacing w:line="360" w:lineRule="auto"/>
              <w:jc w:val="center"/>
              <w:rPr>
                <w:rFonts w:ascii="宋体" w:hAnsi="宋体"/>
                <w:sz w:val="21"/>
                <w:szCs w:val="21"/>
              </w:rPr>
            </w:pPr>
          </w:p>
        </w:tc>
        <w:tc>
          <w:tcPr>
            <w:tcW w:w="3378" w:type="dxa"/>
            <w:noWrap/>
            <w:vAlign w:val="center"/>
          </w:tcPr>
          <w:p>
            <w:pPr>
              <w:spacing w:line="360" w:lineRule="auto"/>
              <w:jc w:val="center"/>
              <w:rPr>
                <w:rFonts w:ascii="宋体" w:hAnsi="宋体"/>
                <w:sz w:val="21"/>
                <w:szCs w:val="21"/>
              </w:rPr>
            </w:pPr>
            <w:r>
              <w:rPr>
                <w:rFonts w:ascii="宋体" w:hAnsi="宋体"/>
                <w:sz w:val="21"/>
                <w:szCs w:val="21"/>
              </w:rPr>
              <w:t>在1625nm区域的最大值</w:t>
            </w:r>
          </w:p>
        </w:tc>
        <w:tc>
          <w:tcPr>
            <w:tcW w:w="2046" w:type="dxa"/>
            <w:noWrap/>
            <w:vAlign w:val="center"/>
          </w:tcPr>
          <w:p>
            <w:pPr>
              <w:spacing w:line="360" w:lineRule="auto"/>
              <w:jc w:val="center"/>
              <w:rPr>
                <w:rFonts w:ascii="宋体" w:hAnsi="宋体"/>
                <w:sz w:val="21"/>
                <w:szCs w:val="21"/>
              </w:rPr>
            </w:pPr>
            <w:r>
              <w:rPr>
                <w:rFonts w:ascii="宋体" w:hAnsi="宋体"/>
                <w:sz w:val="21"/>
                <w:szCs w:val="21"/>
              </w:rPr>
              <w:t>0.1dB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532" w:type="dxa"/>
            <w:noWrap/>
            <w:vAlign w:val="center"/>
          </w:tcPr>
          <w:p>
            <w:pPr>
              <w:spacing w:line="360" w:lineRule="auto"/>
              <w:jc w:val="center"/>
              <w:rPr>
                <w:rFonts w:ascii="宋体" w:hAnsi="宋体"/>
                <w:sz w:val="21"/>
                <w:szCs w:val="21"/>
              </w:rPr>
            </w:pPr>
            <w:r>
              <w:rPr>
                <w:rFonts w:ascii="宋体" w:hAnsi="宋体"/>
                <w:sz w:val="21"/>
                <w:szCs w:val="21"/>
              </w:rPr>
              <w:t>表面应力</w:t>
            </w:r>
          </w:p>
        </w:tc>
        <w:tc>
          <w:tcPr>
            <w:tcW w:w="3378" w:type="dxa"/>
            <w:noWrap/>
            <w:vAlign w:val="center"/>
          </w:tcPr>
          <w:p>
            <w:pPr>
              <w:spacing w:line="360" w:lineRule="auto"/>
              <w:jc w:val="center"/>
              <w:rPr>
                <w:rFonts w:ascii="宋体" w:hAnsi="宋体"/>
                <w:sz w:val="21"/>
                <w:szCs w:val="21"/>
              </w:rPr>
            </w:pPr>
            <w:r>
              <w:rPr>
                <w:rFonts w:ascii="宋体" w:hAnsi="宋体"/>
                <w:sz w:val="21"/>
                <w:szCs w:val="21"/>
              </w:rPr>
              <w:t>最小值</w:t>
            </w:r>
          </w:p>
        </w:tc>
        <w:tc>
          <w:tcPr>
            <w:tcW w:w="2046" w:type="dxa"/>
            <w:noWrap/>
            <w:vAlign w:val="center"/>
          </w:tcPr>
          <w:p>
            <w:pPr>
              <w:spacing w:line="360" w:lineRule="auto"/>
              <w:jc w:val="center"/>
              <w:rPr>
                <w:rFonts w:ascii="宋体" w:hAnsi="宋体"/>
                <w:sz w:val="21"/>
                <w:szCs w:val="21"/>
              </w:rPr>
            </w:pPr>
            <w:r>
              <w:rPr>
                <w:rFonts w:ascii="宋体" w:hAnsi="宋体"/>
                <w:sz w:val="21"/>
                <w:szCs w:val="21"/>
              </w:rPr>
              <w:t>0.69GPa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532" w:type="dxa"/>
            <w:vMerge w:val="restart"/>
            <w:noWrap/>
            <w:vAlign w:val="center"/>
          </w:tcPr>
          <w:p>
            <w:pPr>
              <w:spacing w:line="360" w:lineRule="auto"/>
              <w:jc w:val="center"/>
              <w:rPr>
                <w:rFonts w:ascii="宋体" w:hAnsi="宋体"/>
                <w:sz w:val="21"/>
                <w:szCs w:val="21"/>
              </w:rPr>
            </w:pPr>
            <w:r>
              <w:rPr>
                <w:rFonts w:ascii="宋体" w:hAnsi="宋体"/>
                <w:sz w:val="21"/>
                <w:szCs w:val="21"/>
              </w:rPr>
              <w:t>色度色散系数</w:t>
            </w:r>
          </w:p>
        </w:tc>
        <w:tc>
          <w:tcPr>
            <w:tcW w:w="3378" w:type="dxa"/>
            <w:noWrap/>
            <w:vAlign w:val="center"/>
          </w:tcPr>
          <w:p>
            <w:pPr>
              <w:spacing w:line="360" w:lineRule="auto"/>
              <w:jc w:val="center"/>
              <w:rPr>
                <w:rFonts w:ascii="宋体" w:hAnsi="宋体"/>
                <w:sz w:val="21"/>
                <w:szCs w:val="21"/>
              </w:rPr>
            </w:pPr>
            <w:r>
              <w:rPr>
                <w:rFonts w:ascii="宋体" w:hAnsi="宋体"/>
                <w:sz w:val="21"/>
                <w:szCs w:val="21"/>
              </w:rPr>
              <w:t>最小零色散波长λ</w:t>
            </w:r>
            <w:r>
              <w:rPr>
                <w:rFonts w:ascii="宋体" w:hAnsi="宋体"/>
                <w:sz w:val="21"/>
                <w:szCs w:val="21"/>
                <w:vertAlign w:val="subscript"/>
              </w:rPr>
              <w:t>0min</w:t>
            </w:r>
          </w:p>
        </w:tc>
        <w:tc>
          <w:tcPr>
            <w:tcW w:w="2046" w:type="dxa"/>
            <w:noWrap/>
            <w:vAlign w:val="center"/>
          </w:tcPr>
          <w:p>
            <w:pPr>
              <w:spacing w:line="360" w:lineRule="auto"/>
              <w:jc w:val="center"/>
              <w:rPr>
                <w:rFonts w:ascii="宋体" w:hAnsi="宋体"/>
                <w:sz w:val="21"/>
                <w:szCs w:val="21"/>
              </w:rPr>
            </w:pPr>
            <w:r>
              <w:rPr>
                <w:rFonts w:ascii="宋体" w:hAnsi="宋体"/>
                <w:sz w:val="21"/>
                <w:szCs w:val="21"/>
              </w:rPr>
              <w:t>1300nm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532" w:type="dxa"/>
            <w:vMerge w:val="continue"/>
            <w:vAlign w:val="center"/>
          </w:tcPr>
          <w:p>
            <w:pPr>
              <w:spacing w:line="360" w:lineRule="auto"/>
              <w:jc w:val="center"/>
              <w:rPr>
                <w:rFonts w:ascii="宋体" w:hAnsi="宋体"/>
                <w:sz w:val="21"/>
                <w:szCs w:val="21"/>
              </w:rPr>
            </w:pPr>
          </w:p>
        </w:tc>
        <w:tc>
          <w:tcPr>
            <w:tcW w:w="3378" w:type="dxa"/>
            <w:noWrap/>
            <w:vAlign w:val="center"/>
          </w:tcPr>
          <w:p>
            <w:pPr>
              <w:spacing w:line="360" w:lineRule="auto"/>
              <w:jc w:val="center"/>
              <w:rPr>
                <w:rFonts w:ascii="宋体" w:hAnsi="宋体"/>
                <w:sz w:val="21"/>
                <w:szCs w:val="21"/>
              </w:rPr>
            </w:pPr>
            <w:r>
              <w:rPr>
                <w:rFonts w:ascii="宋体" w:hAnsi="宋体"/>
                <w:sz w:val="21"/>
                <w:szCs w:val="21"/>
              </w:rPr>
              <w:t>最大零色散波长λ</w:t>
            </w:r>
            <w:r>
              <w:rPr>
                <w:rFonts w:ascii="宋体" w:hAnsi="宋体"/>
                <w:sz w:val="21"/>
                <w:szCs w:val="21"/>
                <w:vertAlign w:val="subscript"/>
              </w:rPr>
              <w:t>0max</w:t>
            </w:r>
          </w:p>
        </w:tc>
        <w:tc>
          <w:tcPr>
            <w:tcW w:w="2046" w:type="dxa"/>
            <w:noWrap/>
            <w:vAlign w:val="center"/>
          </w:tcPr>
          <w:p>
            <w:pPr>
              <w:spacing w:line="360" w:lineRule="auto"/>
              <w:jc w:val="center"/>
              <w:rPr>
                <w:rFonts w:ascii="宋体" w:hAnsi="宋体"/>
                <w:sz w:val="21"/>
                <w:szCs w:val="21"/>
              </w:rPr>
            </w:pPr>
            <w:r>
              <w:rPr>
                <w:rFonts w:ascii="宋体" w:hAnsi="宋体"/>
                <w:sz w:val="21"/>
                <w:szCs w:val="21"/>
              </w:rPr>
              <w:t>1324nm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532" w:type="dxa"/>
            <w:vMerge w:val="continue"/>
            <w:vAlign w:val="center"/>
          </w:tcPr>
          <w:p>
            <w:pPr>
              <w:spacing w:line="360" w:lineRule="auto"/>
              <w:jc w:val="center"/>
              <w:rPr>
                <w:rFonts w:ascii="宋体" w:hAnsi="宋体"/>
                <w:sz w:val="21"/>
                <w:szCs w:val="21"/>
              </w:rPr>
            </w:pPr>
          </w:p>
        </w:tc>
        <w:tc>
          <w:tcPr>
            <w:tcW w:w="3378" w:type="dxa"/>
            <w:noWrap/>
            <w:vAlign w:val="center"/>
          </w:tcPr>
          <w:p>
            <w:pPr>
              <w:spacing w:line="360" w:lineRule="auto"/>
              <w:jc w:val="center"/>
              <w:rPr>
                <w:rFonts w:ascii="宋体" w:hAnsi="宋体"/>
                <w:sz w:val="21"/>
                <w:szCs w:val="21"/>
              </w:rPr>
            </w:pPr>
            <w:r>
              <w:rPr>
                <w:rFonts w:ascii="宋体" w:hAnsi="宋体"/>
                <w:sz w:val="21"/>
                <w:szCs w:val="21"/>
              </w:rPr>
              <w:t>零色散波长最大斜率S</w:t>
            </w:r>
            <w:r>
              <w:rPr>
                <w:rFonts w:ascii="宋体" w:hAnsi="宋体"/>
                <w:sz w:val="21"/>
                <w:szCs w:val="21"/>
                <w:vertAlign w:val="subscript"/>
              </w:rPr>
              <w:t>0max</w:t>
            </w:r>
          </w:p>
        </w:tc>
        <w:tc>
          <w:tcPr>
            <w:tcW w:w="2046" w:type="dxa"/>
            <w:noWrap/>
            <w:vAlign w:val="center"/>
          </w:tcPr>
          <w:p>
            <w:pPr>
              <w:spacing w:line="360" w:lineRule="auto"/>
              <w:jc w:val="center"/>
              <w:rPr>
                <w:rFonts w:ascii="宋体" w:hAnsi="宋体"/>
                <w:sz w:val="21"/>
                <w:szCs w:val="21"/>
              </w:rPr>
            </w:pPr>
            <w:r>
              <w:rPr>
                <w:rFonts w:ascii="宋体" w:hAnsi="宋体"/>
                <w:sz w:val="21"/>
                <w:szCs w:val="21"/>
              </w:rPr>
              <w:t>0.092ps/nm</w:t>
            </w:r>
            <w:r>
              <w:rPr>
                <w:rFonts w:ascii="宋体" w:hAnsi="宋体"/>
                <w:sz w:val="21"/>
                <w:szCs w:val="21"/>
                <w:vertAlign w:val="superscript"/>
              </w:rPr>
              <w:t>2</w:t>
            </w:r>
            <w:r>
              <w:rPr>
                <w:rFonts w:ascii="宋体" w:hAnsi="宋体"/>
                <w:sz w:val="21"/>
                <w:szCs w:val="21"/>
              </w:rPr>
              <w:t>·km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532" w:type="dxa"/>
            <w:vAlign w:val="center"/>
          </w:tcPr>
          <w:p>
            <w:pPr>
              <w:spacing w:line="360" w:lineRule="auto"/>
              <w:jc w:val="center"/>
              <w:rPr>
                <w:rFonts w:ascii="宋体" w:hAnsi="宋体"/>
                <w:sz w:val="21"/>
                <w:szCs w:val="21"/>
              </w:rPr>
            </w:pPr>
            <w:r>
              <w:rPr>
                <w:rFonts w:ascii="宋体" w:hAnsi="宋体"/>
                <w:sz w:val="21"/>
                <w:szCs w:val="21"/>
              </w:rPr>
              <w:t>未成缆光纤PMD</w:t>
            </w:r>
            <w:r>
              <w:rPr>
                <w:rFonts w:ascii="宋体" w:hAnsi="宋体"/>
                <w:sz w:val="21"/>
                <w:szCs w:val="21"/>
                <w:vertAlign w:val="subscript"/>
              </w:rPr>
              <w:t>Q</w:t>
            </w:r>
          </w:p>
        </w:tc>
        <w:tc>
          <w:tcPr>
            <w:tcW w:w="3378" w:type="dxa"/>
            <w:noWrap/>
            <w:vAlign w:val="center"/>
          </w:tcPr>
          <w:p>
            <w:pPr>
              <w:spacing w:line="360" w:lineRule="auto"/>
              <w:jc w:val="center"/>
              <w:rPr>
                <w:rFonts w:ascii="宋体" w:hAnsi="宋体"/>
                <w:sz w:val="21"/>
                <w:szCs w:val="21"/>
              </w:rPr>
            </w:pPr>
            <w:r>
              <w:rPr>
                <w:rFonts w:ascii="宋体" w:hAnsi="宋体"/>
                <w:sz w:val="21"/>
                <w:szCs w:val="21"/>
              </w:rPr>
              <w:t>最大</w:t>
            </w:r>
          </w:p>
        </w:tc>
        <w:tc>
          <w:tcPr>
            <w:tcW w:w="2046" w:type="dxa"/>
            <w:noWrap/>
            <w:vAlign w:val="center"/>
          </w:tcPr>
          <w:p>
            <w:pPr>
              <w:spacing w:line="360" w:lineRule="auto"/>
              <w:jc w:val="center"/>
              <w:rPr>
                <w:rFonts w:ascii="宋体" w:hAnsi="宋体"/>
                <w:sz w:val="21"/>
                <w:szCs w:val="21"/>
              </w:rPr>
            </w:pPr>
            <w:r>
              <w:rPr>
                <w:rFonts w:ascii="宋体" w:hAnsi="宋体"/>
                <w:sz w:val="21"/>
                <w:szCs w:val="21"/>
              </w:rPr>
              <w:t>（注1）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532" w:type="dxa"/>
            <w:vMerge w:val="restart"/>
            <w:noWrap/>
            <w:vAlign w:val="center"/>
          </w:tcPr>
          <w:p>
            <w:pPr>
              <w:spacing w:line="360" w:lineRule="auto"/>
              <w:jc w:val="center"/>
              <w:rPr>
                <w:rFonts w:ascii="宋体" w:hAnsi="宋体"/>
                <w:sz w:val="21"/>
                <w:szCs w:val="21"/>
              </w:rPr>
            </w:pPr>
            <w:r>
              <w:rPr>
                <w:rFonts w:ascii="宋体" w:hAnsi="宋体"/>
                <w:sz w:val="21"/>
                <w:szCs w:val="21"/>
              </w:rPr>
              <w:t>衰减系数</w:t>
            </w:r>
          </w:p>
        </w:tc>
        <w:tc>
          <w:tcPr>
            <w:tcW w:w="3378" w:type="dxa"/>
            <w:noWrap/>
            <w:vAlign w:val="center"/>
          </w:tcPr>
          <w:p>
            <w:pPr>
              <w:spacing w:line="360" w:lineRule="auto"/>
              <w:jc w:val="center"/>
              <w:rPr>
                <w:rFonts w:ascii="宋体" w:hAnsi="宋体"/>
                <w:sz w:val="21"/>
                <w:szCs w:val="21"/>
              </w:rPr>
            </w:pPr>
            <w:r>
              <w:rPr>
                <w:rFonts w:ascii="宋体" w:hAnsi="宋体"/>
                <w:sz w:val="21"/>
                <w:szCs w:val="21"/>
              </w:rPr>
              <w:t>1310nm～1625nm区域最大值</w:t>
            </w:r>
          </w:p>
        </w:tc>
        <w:tc>
          <w:tcPr>
            <w:tcW w:w="2046" w:type="dxa"/>
            <w:noWrap/>
            <w:vAlign w:val="center"/>
          </w:tcPr>
          <w:p>
            <w:pPr>
              <w:spacing w:line="360" w:lineRule="auto"/>
              <w:jc w:val="center"/>
              <w:rPr>
                <w:rFonts w:ascii="宋体" w:hAnsi="宋体"/>
                <w:sz w:val="21"/>
                <w:szCs w:val="21"/>
              </w:rPr>
            </w:pPr>
            <w:r>
              <w:rPr>
                <w:rFonts w:ascii="宋体" w:hAnsi="宋体"/>
                <w:sz w:val="21"/>
                <w:szCs w:val="21"/>
              </w:rPr>
              <w:t>0.36dB/km（注2）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532" w:type="dxa"/>
            <w:vMerge w:val="continue"/>
            <w:vAlign w:val="center"/>
          </w:tcPr>
          <w:p>
            <w:pPr>
              <w:spacing w:line="360" w:lineRule="auto"/>
              <w:jc w:val="center"/>
              <w:rPr>
                <w:rFonts w:ascii="宋体" w:hAnsi="宋体"/>
                <w:sz w:val="21"/>
                <w:szCs w:val="21"/>
              </w:rPr>
            </w:pPr>
          </w:p>
        </w:tc>
        <w:tc>
          <w:tcPr>
            <w:tcW w:w="3378" w:type="dxa"/>
            <w:noWrap/>
            <w:vAlign w:val="center"/>
          </w:tcPr>
          <w:p>
            <w:pPr>
              <w:spacing w:line="360" w:lineRule="auto"/>
              <w:jc w:val="center"/>
              <w:rPr>
                <w:rFonts w:ascii="宋体" w:hAnsi="宋体"/>
                <w:sz w:val="21"/>
                <w:szCs w:val="21"/>
              </w:rPr>
            </w:pPr>
            <w:r>
              <w:rPr>
                <w:rFonts w:ascii="宋体" w:hAnsi="宋体"/>
                <w:sz w:val="21"/>
                <w:szCs w:val="21"/>
              </w:rPr>
              <w:t>1383nm±3nm区域的最大值</w:t>
            </w:r>
          </w:p>
        </w:tc>
        <w:tc>
          <w:tcPr>
            <w:tcW w:w="2046" w:type="dxa"/>
            <w:noWrap/>
            <w:vAlign w:val="center"/>
          </w:tcPr>
          <w:p>
            <w:pPr>
              <w:spacing w:line="360" w:lineRule="auto"/>
              <w:jc w:val="center"/>
              <w:rPr>
                <w:rFonts w:ascii="宋体" w:hAnsi="宋体"/>
                <w:sz w:val="21"/>
                <w:szCs w:val="21"/>
              </w:rPr>
            </w:pPr>
            <w:r>
              <w:rPr>
                <w:rFonts w:ascii="宋体" w:hAnsi="宋体"/>
                <w:sz w:val="21"/>
                <w:szCs w:val="21"/>
              </w:rPr>
              <w:t>（注3）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532" w:type="dxa"/>
            <w:vMerge w:val="continue"/>
            <w:vAlign w:val="center"/>
          </w:tcPr>
          <w:p>
            <w:pPr>
              <w:spacing w:line="360" w:lineRule="auto"/>
              <w:jc w:val="center"/>
              <w:rPr>
                <w:rFonts w:ascii="宋体" w:hAnsi="宋体"/>
                <w:sz w:val="21"/>
                <w:szCs w:val="21"/>
              </w:rPr>
            </w:pPr>
          </w:p>
        </w:tc>
        <w:tc>
          <w:tcPr>
            <w:tcW w:w="3378" w:type="dxa"/>
            <w:noWrap/>
            <w:vAlign w:val="center"/>
          </w:tcPr>
          <w:p>
            <w:pPr>
              <w:spacing w:line="360" w:lineRule="auto"/>
              <w:jc w:val="center"/>
              <w:rPr>
                <w:rFonts w:ascii="宋体" w:hAnsi="宋体"/>
                <w:sz w:val="21"/>
                <w:szCs w:val="21"/>
              </w:rPr>
            </w:pPr>
            <w:r>
              <w:rPr>
                <w:rFonts w:ascii="宋体" w:hAnsi="宋体"/>
                <w:sz w:val="21"/>
                <w:szCs w:val="21"/>
              </w:rPr>
              <w:t>1550nm区域的最大值</w:t>
            </w:r>
          </w:p>
        </w:tc>
        <w:tc>
          <w:tcPr>
            <w:tcW w:w="2046" w:type="dxa"/>
            <w:noWrap/>
            <w:vAlign w:val="center"/>
          </w:tcPr>
          <w:p>
            <w:pPr>
              <w:spacing w:line="360" w:lineRule="auto"/>
              <w:jc w:val="center"/>
              <w:rPr>
                <w:rFonts w:ascii="宋体" w:hAnsi="宋体"/>
                <w:sz w:val="21"/>
                <w:szCs w:val="21"/>
              </w:rPr>
            </w:pPr>
            <w:r>
              <w:rPr>
                <w:rFonts w:ascii="宋体" w:hAnsi="宋体"/>
                <w:sz w:val="21"/>
                <w:szCs w:val="21"/>
              </w:rPr>
              <w:t>0.21dB/km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532" w:type="dxa"/>
            <w:vMerge w:val="restart"/>
            <w:noWrap/>
            <w:vAlign w:val="center"/>
          </w:tcPr>
          <w:p>
            <w:pPr>
              <w:spacing w:line="360" w:lineRule="auto"/>
              <w:jc w:val="center"/>
              <w:rPr>
                <w:rFonts w:ascii="宋体" w:hAnsi="宋体"/>
                <w:sz w:val="21"/>
                <w:szCs w:val="21"/>
              </w:rPr>
            </w:pPr>
            <w:r>
              <w:rPr>
                <w:rFonts w:ascii="宋体" w:hAnsi="宋体"/>
                <w:sz w:val="21"/>
                <w:szCs w:val="21"/>
              </w:rPr>
              <w:t>PMD</w:t>
            </w:r>
            <w:r>
              <w:rPr>
                <w:rFonts w:ascii="宋体" w:hAnsi="宋体"/>
                <w:sz w:val="21"/>
                <w:szCs w:val="21"/>
                <w:vertAlign w:val="subscript"/>
              </w:rPr>
              <w:t>Q</w:t>
            </w:r>
          </w:p>
        </w:tc>
        <w:tc>
          <w:tcPr>
            <w:tcW w:w="3378" w:type="dxa"/>
            <w:noWrap/>
            <w:vAlign w:val="center"/>
          </w:tcPr>
          <w:p>
            <w:pPr>
              <w:spacing w:line="360" w:lineRule="auto"/>
              <w:jc w:val="center"/>
              <w:rPr>
                <w:rFonts w:ascii="宋体" w:hAnsi="宋体"/>
                <w:sz w:val="21"/>
                <w:szCs w:val="21"/>
              </w:rPr>
            </w:pPr>
            <w:r>
              <w:rPr>
                <w:rFonts w:ascii="宋体" w:hAnsi="宋体"/>
                <w:sz w:val="21"/>
                <w:szCs w:val="21"/>
              </w:rPr>
              <w:t>M</w:t>
            </w:r>
          </w:p>
        </w:tc>
        <w:tc>
          <w:tcPr>
            <w:tcW w:w="2046" w:type="dxa"/>
            <w:noWrap/>
            <w:vAlign w:val="center"/>
          </w:tcPr>
          <w:p>
            <w:pPr>
              <w:spacing w:line="360" w:lineRule="auto"/>
              <w:jc w:val="center"/>
              <w:rPr>
                <w:rFonts w:ascii="宋体" w:hAnsi="宋体"/>
                <w:sz w:val="21"/>
                <w:szCs w:val="21"/>
              </w:rPr>
            </w:pPr>
            <w:r>
              <w:rPr>
                <w:rFonts w:ascii="宋体" w:hAnsi="宋体"/>
                <w:sz w:val="21"/>
                <w:szCs w:val="21"/>
              </w:rPr>
              <w:t>20段光缆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532" w:type="dxa"/>
            <w:vMerge w:val="continue"/>
            <w:vAlign w:val="center"/>
          </w:tcPr>
          <w:p>
            <w:pPr>
              <w:spacing w:line="360" w:lineRule="auto"/>
              <w:jc w:val="center"/>
              <w:rPr>
                <w:rFonts w:ascii="宋体" w:hAnsi="宋体"/>
                <w:sz w:val="21"/>
                <w:szCs w:val="21"/>
              </w:rPr>
            </w:pPr>
          </w:p>
        </w:tc>
        <w:tc>
          <w:tcPr>
            <w:tcW w:w="3378" w:type="dxa"/>
            <w:noWrap/>
            <w:vAlign w:val="center"/>
          </w:tcPr>
          <w:p>
            <w:pPr>
              <w:spacing w:line="360" w:lineRule="auto"/>
              <w:jc w:val="center"/>
              <w:rPr>
                <w:rFonts w:ascii="宋体" w:hAnsi="宋体"/>
                <w:sz w:val="21"/>
                <w:szCs w:val="21"/>
              </w:rPr>
            </w:pPr>
            <w:r>
              <w:rPr>
                <w:rFonts w:ascii="宋体" w:hAnsi="宋体"/>
                <w:sz w:val="21"/>
                <w:szCs w:val="21"/>
              </w:rPr>
              <w:t>Q</w:t>
            </w:r>
          </w:p>
        </w:tc>
        <w:tc>
          <w:tcPr>
            <w:tcW w:w="2046" w:type="dxa"/>
            <w:noWrap/>
            <w:vAlign w:val="center"/>
          </w:tcPr>
          <w:p>
            <w:pPr>
              <w:spacing w:line="360" w:lineRule="auto"/>
              <w:jc w:val="center"/>
              <w:rPr>
                <w:rFonts w:ascii="宋体" w:hAnsi="宋体"/>
                <w:sz w:val="21"/>
                <w:szCs w:val="21"/>
              </w:rPr>
            </w:pPr>
            <w:r>
              <w:rPr>
                <w:rFonts w:ascii="宋体" w:hAnsi="宋体"/>
                <w:sz w:val="21"/>
                <w:szCs w:val="21"/>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532" w:type="dxa"/>
            <w:vMerge w:val="continue"/>
            <w:vAlign w:val="center"/>
          </w:tcPr>
          <w:p>
            <w:pPr>
              <w:spacing w:line="360" w:lineRule="auto"/>
              <w:jc w:val="center"/>
              <w:rPr>
                <w:rFonts w:ascii="宋体" w:hAnsi="宋体"/>
                <w:sz w:val="21"/>
                <w:szCs w:val="21"/>
              </w:rPr>
            </w:pPr>
          </w:p>
        </w:tc>
        <w:tc>
          <w:tcPr>
            <w:tcW w:w="3378" w:type="dxa"/>
            <w:noWrap/>
            <w:vAlign w:val="center"/>
          </w:tcPr>
          <w:p>
            <w:pPr>
              <w:spacing w:line="360" w:lineRule="auto"/>
              <w:jc w:val="center"/>
              <w:rPr>
                <w:rFonts w:ascii="宋体" w:hAnsi="宋体"/>
                <w:sz w:val="21"/>
                <w:szCs w:val="21"/>
              </w:rPr>
            </w:pPr>
            <w:r>
              <w:rPr>
                <w:rFonts w:ascii="宋体" w:hAnsi="宋体"/>
                <w:sz w:val="21"/>
                <w:szCs w:val="21"/>
              </w:rPr>
              <w:t>最大PMD</w:t>
            </w:r>
            <w:r>
              <w:rPr>
                <w:rFonts w:ascii="宋体" w:hAnsi="宋体"/>
                <w:sz w:val="21"/>
                <w:szCs w:val="21"/>
                <w:vertAlign w:val="subscript"/>
              </w:rPr>
              <w:t>Q</w:t>
            </w:r>
          </w:p>
        </w:tc>
        <w:tc>
          <w:tcPr>
            <w:tcW w:w="2046" w:type="dxa"/>
            <w:noWrap/>
            <w:vAlign w:val="center"/>
          </w:tcPr>
          <w:p>
            <w:pPr>
              <w:spacing w:line="360" w:lineRule="auto"/>
              <w:jc w:val="center"/>
              <w:rPr>
                <w:rFonts w:ascii="宋体" w:hAnsi="宋体"/>
                <w:sz w:val="21"/>
                <w:szCs w:val="21"/>
              </w:rPr>
            </w:pPr>
            <w:r>
              <w:rPr>
                <w:rFonts w:ascii="宋体" w:hAnsi="宋体"/>
                <w:sz w:val="21"/>
                <w:szCs w:val="21"/>
              </w:rPr>
              <w:t>0.20ps/(km)</w:t>
            </w:r>
            <w:r>
              <w:rPr>
                <w:rFonts w:ascii="宋体" w:hAnsi="宋体"/>
                <w:sz w:val="21"/>
                <w:szCs w:val="21"/>
                <w:vertAlign w:val="superscript"/>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7956" w:type="dxa"/>
            <w:gridSpan w:val="3"/>
            <w:vAlign w:val="center"/>
          </w:tcPr>
          <w:p>
            <w:pPr>
              <w:spacing w:line="360" w:lineRule="auto"/>
              <w:ind w:firstLine="420" w:firstLineChars="200"/>
              <w:rPr>
                <w:rFonts w:ascii="宋体" w:hAnsi="宋体"/>
                <w:sz w:val="21"/>
                <w:szCs w:val="21"/>
                <w:lang w:eastAsia="zh-CN"/>
              </w:rPr>
            </w:pPr>
            <w:r>
              <w:rPr>
                <w:rFonts w:ascii="宋体" w:hAnsi="宋体"/>
                <w:sz w:val="21"/>
                <w:szCs w:val="21"/>
                <w:lang w:eastAsia="zh-CN"/>
              </w:rPr>
              <w:t>注1：如果对于特定的光缆结构已经知道能支持对光缆PMD</w:t>
            </w:r>
            <w:r>
              <w:rPr>
                <w:rFonts w:ascii="宋体" w:hAnsi="宋体"/>
                <w:sz w:val="21"/>
                <w:szCs w:val="21"/>
                <w:vertAlign w:val="subscript"/>
                <w:lang w:eastAsia="zh-CN"/>
              </w:rPr>
              <w:t>Q</w:t>
            </w:r>
            <w:r>
              <w:rPr>
                <w:rFonts w:ascii="宋体" w:hAnsi="宋体"/>
                <w:sz w:val="21"/>
                <w:szCs w:val="21"/>
                <w:lang w:eastAsia="zh-CN"/>
              </w:rPr>
              <w:t>要求的最大PMD系数，则可以由成缆者来规定可选用的最大PMD系数。</w:t>
            </w:r>
          </w:p>
          <w:p>
            <w:pPr>
              <w:spacing w:line="360" w:lineRule="auto"/>
              <w:ind w:firstLine="420" w:firstLineChars="200"/>
              <w:rPr>
                <w:rFonts w:ascii="宋体" w:hAnsi="宋体"/>
                <w:sz w:val="21"/>
                <w:szCs w:val="21"/>
                <w:lang w:eastAsia="zh-CN"/>
              </w:rPr>
            </w:pPr>
            <w:r>
              <w:rPr>
                <w:rFonts w:ascii="宋体" w:hAnsi="宋体"/>
                <w:sz w:val="21"/>
                <w:szCs w:val="21"/>
                <w:lang w:eastAsia="zh-CN"/>
              </w:rPr>
              <w:t>注2：通过将0.07dB/km的感生瑞利散射损耗加到1310nm的衰减值上，该波长范围可以扩大到1260nm。在这种情况下，光缆截止波长不应超过1250nm。</w:t>
            </w:r>
          </w:p>
          <w:p>
            <w:pPr>
              <w:spacing w:line="360" w:lineRule="auto"/>
              <w:ind w:firstLine="420" w:firstLineChars="200"/>
              <w:rPr>
                <w:rFonts w:ascii="宋体" w:hAnsi="宋体"/>
                <w:sz w:val="21"/>
                <w:szCs w:val="21"/>
                <w:lang w:eastAsia="zh-CN"/>
              </w:rPr>
            </w:pPr>
            <w:r>
              <w:rPr>
                <w:rFonts w:ascii="宋体" w:hAnsi="宋体"/>
                <w:sz w:val="21"/>
                <w:szCs w:val="21"/>
                <w:lang w:eastAsia="zh-CN"/>
              </w:rPr>
              <w:t>注3：在氢老化以后在此波长上的抽样衰减平均值应小于或等于为1310nm～1625nm范围规定的最大值。</w:t>
            </w:r>
          </w:p>
        </w:tc>
      </w:tr>
    </w:tbl>
    <w:p>
      <w:pPr>
        <w:autoSpaceDE w:val="0"/>
        <w:autoSpaceDN w:val="0"/>
        <w:adjustRightInd w:val="0"/>
        <w:spacing w:before="240" w:beforeLines="100" w:line="360" w:lineRule="auto"/>
        <w:ind w:firstLine="0"/>
        <w:rPr>
          <w:rFonts w:ascii="宋体" w:hAnsi="宋体"/>
          <w:b/>
          <w:lang w:eastAsia="zh-CN"/>
        </w:rPr>
      </w:pPr>
      <w:bookmarkStart w:id="22" w:name="_Toc239147487"/>
      <w:bookmarkStart w:id="23" w:name="_Toc240708832"/>
      <w:r>
        <w:rPr>
          <w:rFonts w:hint="eastAsia" w:ascii="宋体" w:hAnsi="宋体"/>
          <w:b/>
          <w:szCs w:val="21"/>
          <w:lang w:eastAsia="zh-CN"/>
        </w:rPr>
        <w:t xml:space="preserve">4.3 </w:t>
      </w:r>
      <w:r>
        <w:rPr>
          <w:rFonts w:ascii="宋体" w:hAnsi="宋体"/>
          <w:b/>
          <w:lang w:eastAsia="zh-CN"/>
        </w:rPr>
        <w:t>OPGW的特性</w:t>
      </w:r>
      <w:r>
        <w:rPr>
          <w:rFonts w:hint="eastAsia" w:ascii="宋体" w:hAnsi="宋体"/>
          <w:b/>
          <w:lang w:eastAsia="zh-CN"/>
        </w:rPr>
        <w:t>参数</w:t>
      </w:r>
      <w:bookmarkEnd w:id="22"/>
      <w:bookmarkEnd w:id="23"/>
    </w:p>
    <w:p>
      <w:pPr>
        <w:autoSpaceDE w:val="0"/>
        <w:autoSpaceDN w:val="0"/>
        <w:adjustRightInd w:val="0"/>
        <w:spacing w:line="360" w:lineRule="auto"/>
        <w:ind w:firstLine="480" w:firstLineChars="200"/>
        <w:rPr>
          <w:rFonts w:ascii="宋体" w:hAnsi="宋体"/>
          <w:lang w:eastAsia="zh-CN"/>
        </w:rPr>
      </w:pPr>
      <w:r>
        <w:rPr>
          <w:rFonts w:ascii="宋体" w:hAnsi="宋体"/>
          <w:lang w:eastAsia="zh-CN"/>
        </w:rPr>
        <w:t>OPGW总外径、总截面、额定拉断力、单位重量等特性参数参见附表3。</w:t>
      </w:r>
    </w:p>
    <w:p>
      <w:pPr>
        <w:numPr>
          <w:ilvl w:val="0"/>
          <w:numId w:val="1"/>
        </w:numPr>
        <w:adjustRightInd w:val="0"/>
        <w:snapToGrid w:val="0"/>
        <w:spacing w:before="240" w:beforeLines="100" w:line="360" w:lineRule="auto"/>
        <w:textAlignment w:val="baseline"/>
        <w:outlineLvl w:val="0"/>
        <w:rPr>
          <w:rFonts w:ascii="宋体" w:hAnsi="宋体"/>
          <w:b/>
        </w:rPr>
      </w:pPr>
      <w:bookmarkStart w:id="24" w:name="_Toc346270638"/>
      <w:bookmarkStart w:id="25" w:name="_Toc96010208"/>
      <w:r>
        <w:rPr>
          <w:rFonts w:ascii="宋体" w:hAnsi="宋体"/>
          <w:b/>
        </w:rPr>
        <w:t>试验</w:t>
      </w:r>
      <w:r>
        <w:rPr>
          <w:rFonts w:hint="eastAsia" w:ascii="宋体" w:hAnsi="宋体"/>
          <w:b/>
        </w:rPr>
        <w:t>与</w:t>
      </w:r>
      <w:r>
        <w:rPr>
          <w:rFonts w:ascii="宋体" w:hAnsi="宋体"/>
          <w:b/>
        </w:rPr>
        <w:t>验收</w:t>
      </w:r>
      <w:bookmarkEnd w:id="24"/>
      <w:bookmarkEnd w:id="25"/>
      <w:bookmarkStart w:id="26" w:name="_Toc351688256"/>
      <w:bookmarkEnd w:id="26"/>
    </w:p>
    <w:p>
      <w:pPr>
        <w:tabs>
          <w:tab w:val="left" w:pos="993"/>
        </w:tabs>
        <w:adjustRightInd w:val="0"/>
        <w:snapToGrid w:val="0"/>
        <w:spacing w:line="360" w:lineRule="auto"/>
        <w:ind w:firstLine="0"/>
        <w:rPr>
          <w:rFonts w:ascii="宋体" w:hAnsi="宋体"/>
          <w:b/>
          <w:lang w:eastAsia="zh-CN"/>
        </w:rPr>
      </w:pPr>
      <w:bookmarkStart w:id="27" w:name="_Toc240708835"/>
      <w:bookmarkStart w:id="28" w:name="_Toc320827877"/>
      <w:bookmarkStart w:id="29" w:name="_Toc239147490"/>
      <w:r>
        <w:rPr>
          <w:rFonts w:hint="eastAsia" w:ascii="宋体" w:hAnsi="宋体"/>
          <w:b/>
          <w:lang w:eastAsia="zh-CN"/>
        </w:rPr>
        <w:t>5.1</w:t>
      </w:r>
      <w:r>
        <w:rPr>
          <w:rFonts w:ascii="宋体" w:hAnsi="宋体"/>
          <w:b/>
          <w:lang w:eastAsia="zh-CN"/>
        </w:rPr>
        <w:t>概述</w:t>
      </w:r>
      <w:bookmarkEnd w:id="27"/>
      <w:bookmarkEnd w:id="28"/>
      <w:bookmarkEnd w:id="29"/>
    </w:p>
    <w:p>
      <w:pPr>
        <w:autoSpaceDE w:val="0"/>
        <w:autoSpaceDN w:val="0"/>
        <w:adjustRightInd w:val="0"/>
        <w:spacing w:line="360" w:lineRule="auto"/>
        <w:ind w:firstLine="0"/>
        <w:rPr>
          <w:rFonts w:ascii="宋体" w:hAnsi="宋体"/>
          <w:lang w:eastAsia="zh-CN"/>
        </w:rPr>
      </w:pPr>
      <w:r>
        <w:rPr>
          <w:rFonts w:hint="eastAsia" w:ascii="宋体" w:hAnsi="宋体"/>
          <w:lang w:eastAsia="zh-CN"/>
        </w:rPr>
        <w:t xml:space="preserve">5.1.1 </w:t>
      </w:r>
      <w:r>
        <w:rPr>
          <w:rFonts w:ascii="宋体" w:hAnsi="宋体"/>
          <w:lang w:eastAsia="zh-CN"/>
        </w:rPr>
        <w:t>OPGW 产品由制造厂检验合格后方能出厂。每件出厂的产品均应附有产品质量检验合格证。</w:t>
      </w:r>
    </w:p>
    <w:p>
      <w:pPr>
        <w:autoSpaceDE w:val="0"/>
        <w:autoSpaceDN w:val="0"/>
        <w:adjustRightInd w:val="0"/>
        <w:spacing w:line="360" w:lineRule="auto"/>
        <w:ind w:firstLine="0"/>
        <w:rPr>
          <w:rFonts w:ascii="宋体" w:hAnsi="宋体"/>
          <w:lang w:eastAsia="zh-CN"/>
        </w:rPr>
      </w:pPr>
      <w:r>
        <w:rPr>
          <w:rFonts w:hint="eastAsia" w:ascii="宋体" w:hAnsi="宋体"/>
          <w:lang w:eastAsia="zh-CN"/>
        </w:rPr>
        <w:t xml:space="preserve">5.1.2 </w:t>
      </w:r>
      <w:r>
        <w:rPr>
          <w:rFonts w:ascii="宋体" w:hAnsi="宋体"/>
          <w:lang w:eastAsia="zh-CN"/>
        </w:rPr>
        <w:t>OPGW 的抽样试验和型式试验的项目、试样数量、试样长度和试验方法等均应符合相关规定要求。</w:t>
      </w:r>
    </w:p>
    <w:p>
      <w:pPr>
        <w:tabs>
          <w:tab w:val="left" w:pos="993"/>
        </w:tabs>
        <w:adjustRightInd w:val="0"/>
        <w:snapToGrid w:val="0"/>
        <w:spacing w:line="360" w:lineRule="auto"/>
        <w:ind w:firstLine="0"/>
        <w:rPr>
          <w:rFonts w:ascii="宋体" w:hAnsi="宋体"/>
          <w:b/>
          <w:lang w:eastAsia="zh-CN"/>
        </w:rPr>
      </w:pPr>
      <w:bookmarkStart w:id="30" w:name="_Toc239147491"/>
      <w:bookmarkStart w:id="31" w:name="_Toc240708836"/>
      <w:bookmarkStart w:id="32" w:name="_Toc320827878"/>
      <w:r>
        <w:rPr>
          <w:rFonts w:hint="eastAsia" w:ascii="宋体" w:hAnsi="宋体"/>
          <w:b/>
          <w:lang w:eastAsia="zh-CN"/>
        </w:rPr>
        <w:t xml:space="preserve">5.2 </w:t>
      </w:r>
      <w:r>
        <w:rPr>
          <w:rFonts w:ascii="宋体" w:hAnsi="宋体"/>
          <w:b/>
          <w:lang w:eastAsia="zh-CN"/>
        </w:rPr>
        <w:t>型式试验</w:t>
      </w:r>
      <w:bookmarkEnd w:id="30"/>
      <w:bookmarkEnd w:id="31"/>
      <w:bookmarkEnd w:id="32"/>
    </w:p>
    <w:p>
      <w:pPr>
        <w:autoSpaceDE w:val="0"/>
        <w:autoSpaceDN w:val="0"/>
        <w:adjustRightInd w:val="0"/>
        <w:spacing w:line="360" w:lineRule="auto"/>
        <w:ind w:firstLine="480" w:firstLineChars="200"/>
        <w:rPr>
          <w:rFonts w:ascii="宋体" w:hAnsi="宋体"/>
          <w:lang w:eastAsia="zh-CN"/>
        </w:rPr>
      </w:pPr>
      <w:r>
        <w:rPr>
          <w:rFonts w:ascii="宋体" w:hAnsi="宋体"/>
          <w:lang w:eastAsia="zh-CN"/>
        </w:rPr>
        <w:t>型式试验是为了证实OPGW 的设计性能。型式试验应在抽样试验全部合格的样品上进行。</w:t>
      </w:r>
    </w:p>
    <w:p>
      <w:pPr>
        <w:autoSpaceDE w:val="0"/>
        <w:autoSpaceDN w:val="0"/>
        <w:adjustRightInd w:val="0"/>
        <w:spacing w:line="360" w:lineRule="auto"/>
        <w:ind w:firstLine="0"/>
        <w:rPr>
          <w:rFonts w:ascii="宋体" w:hAnsi="宋体"/>
          <w:lang w:eastAsia="zh-CN"/>
        </w:rPr>
      </w:pPr>
      <w:r>
        <w:rPr>
          <w:rFonts w:hint="eastAsia" w:ascii="宋体" w:hAnsi="宋体"/>
          <w:lang w:eastAsia="zh-CN"/>
        </w:rPr>
        <w:t>5.2.1 光纤的型式试验</w:t>
      </w:r>
    </w:p>
    <w:p>
      <w:pPr>
        <w:spacing w:line="360" w:lineRule="auto"/>
        <w:ind w:firstLine="480" w:firstLineChars="200"/>
        <w:rPr>
          <w:rFonts w:ascii="宋体" w:hAnsi="宋体"/>
          <w:lang w:eastAsia="zh-CN"/>
        </w:rPr>
      </w:pPr>
      <w:r>
        <w:rPr>
          <w:rFonts w:ascii="宋体" w:hAnsi="宋体"/>
          <w:lang w:eastAsia="zh-CN"/>
        </w:rPr>
        <w:t>OPGW 成品中光纤的各项性能试验应按GB/T 15972.2、GB/T 15972.3、GB/T 15972.4、GB/T 15972.5 规定的试验方法进行。</w:t>
      </w:r>
    </w:p>
    <w:p>
      <w:pPr>
        <w:numPr>
          <w:ilvl w:val="2"/>
          <w:numId w:val="3"/>
        </w:numPr>
        <w:autoSpaceDE w:val="0"/>
        <w:autoSpaceDN w:val="0"/>
        <w:adjustRightInd w:val="0"/>
        <w:spacing w:line="360" w:lineRule="auto"/>
        <w:rPr>
          <w:rFonts w:ascii="宋体" w:hAnsi="宋体"/>
          <w:lang w:eastAsia="zh-CN"/>
        </w:rPr>
      </w:pPr>
      <w:r>
        <w:rPr>
          <w:rFonts w:ascii="宋体" w:hAnsi="宋体"/>
          <w:lang w:eastAsia="zh-CN"/>
        </w:rPr>
        <w:t>OPGW 成品的型式试验</w:t>
      </w:r>
    </w:p>
    <w:p>
      <w:pPr>
        <w:autoSpaceDE w:val="0"/>
        <w:autoSpaceDN w:val="0"/>
        <w:adjustRightInd w:val="0"/>
        <w:spacing w:line="360" w:lineRule="auto"/>
        <w:ind w:firstLine="480" w:firstLineChars="200"/>
        <w:rPr>
          <w:rFonts w:ascii="宋体" w:hAnsi="宋体"/>
          <w:lang w:eastAsia="zh-CN"/>
        </w:rPr>
      </w:pPr>
      <w:r>
        <w:rPr>
          <w:rFonts w:hint="eastAsia" w:ascii="宋体" w:hAnsi="宋体"/>
          <w:lang w:eastAsia="zh-CN"/>
        </w:rPr>
        <w:t>1）</w:t>
      </w:r>
      <w:r>
        <w:rPr>
          <w:rFonts w:ascii="宋体" w:hAnsi="宋体"/>
          <w:lang w:eastAsia="zh-CN"/>
        </w:rPr>
        <w:t>应力——应变试验</w:t>
      </w:r>
    </w:p>
    <w:p>
      <w:pPr>
        <w:autoSpaceDE w:val="0"/>
        <w:autoSpaceDN w:val="0"/>
        <w:adjustRightInd w:val="0"/>
        <w:spacing w:line="360" w:lineRule="auto"/>
        <w:ind w:firstLine="480" w:firstLineChars="200"/>
        <w:rPr>
          <w:rFonts w:ascii="宋体" w:hAnsi="宋体"/>
          <w:lang w:eastAsia="zh-CN"/>
        </w:rPr>
      </w:pPr>
      <w:r>
        <w:rPr>
          <w:rFonts w:ascii="宋体" w:hAnsi="宋体"/>
          <w:lang w:eastAsia="zh-CN"/>
        </w:rPr>
        <w:t>试验方法按GB/T 1179附录B 方法进行。试样长度应大于10m，试验过程中OPGW 绞线应无明显损伤。试验结果可得出典型的应力—应变曲线。</w:t>
      </w:r>
    </w:p>
    <w:p>
      <w:pPr>
        <w:autoSpaceDE w:val="0"/>
        <w:autoSpaceDN w:val="0"/>
        <w:adjustRightInd w:val="0"/>
        <w:spacing w:line="360" w:lineRule="auto"/>
        <w:ind w:firstLine="480" w:firstLineChars="200"/>
        <w:rPr>
          <w:rFonts w:ascii="宋体" w:hAnsi="宋体"/>
          <w:lang w:eastAsia="zh-CN"/>
        </w:rPr>
      </w:pPr>
      <w:r>
        <w:rPr>
          <w:rFonts w:hint="eastAsia" w:ascii="宋体" w:hAnsi="宋体"/>
          <w:lang w:eastAsia="zh-CN"/>
        </w:rPr>
        <w:t>2）</w:t>
      </w:r>
      <w:r>
        <w:rPr>
          <w:rFonts w:ascii="宋体" w:hAnsi="宋体"/>
          <w:lang w:eastAsia="zh-CN"/>
        </w:rPr>
        <w:t>抗拉性能和抗拉强度试验</w:t>
      </w:r>
    </w:p>
    <w:p>
      <w:pPr>
        <w:autoSpaceDE w:val="0"/>
        <w:autoSpaceDN w:val="0"/>
        <w:adjustRightInd w:val="0"/>
        <w:spacing w:line="360" w:lineRule="auto"/>
        <w:ind w:firstLine="480" w:firstLineChars="200"/>
        <w:rPr>
          <w:rFonts w:ascii="宋体" w:hAnsi="宋体"/>
          <w:lang w:eastAsia="zh-CN"/>
        </w:rPr>
      </w:pPr>
      <w:r>
        <w:rPr>
          <w:rFonts w:ascii="宋体" w:hAnsi="宋体"/>
          <w:lang w:eastAsia="zh-CN"/>
        </w:rPr>
        <w:t>抗拉性能试验是确定光单元在受到拉力时光衰减变化、光纤应变、应变限量等性能。试验负荷按GB/T 1179 附录B，OPGW 试样长度不小于10m，作光纤衰减测试的光纤样品应不小于100m，光纤应变的测试长度不小于30m。光衰减应采用连接在试验光纤一端的光功率计测试，也可采用光时域反射计（OTDR）测试。但试验光纤的最小长度由OTDR 的特性确定。试验结果的判断，按DL/T 832 进行。在进行抗拉强度试验时，OPGW 应能承受不小于95%的额定拉断力而无任何单线破断。</w:t>
      </w:r>
    </w:p>
    <w:p>
      <w:pPr>
        <w:autoSpaceDE w:val="0"/>
        <w:autoSpaceDN w:val="0"/>
        <w:adjustRightInd w:val="0"/>
        <w:spacing w:line="360" w:lineRule="auto"/>
        <w:ind w:firstLine="480" w:firstLineChars="200"/>
        <w:rPr>
          <w:rFonts w:ascii="宋体" w:hAnsi="宋体"/>
          <w:lang w:eastAsia="zh-CN"/>
        </w:rPr>
      </w:pPr>
      <w:r>
        <w:rPr>
          <w:rFonts w:hint="eastAsia" w:ascii="宋体" w:hAnsi="宋体"/>
          <w:lang w:eastAsia="zh-CN"/>
        </w:rPr>
        <w:t>3）</w:t>
      </w:r>
      <w:r>
        <w:rPr>
          <w:rFonts w:ascii="宋体" w:hAnsi="宋体"/>
          <w:lang w:eastAsia="zh-CN"/>
        </w:rPr>
        <w:t>滑轮试验</w:t>
      </w:r>
    </w:p>
    <w:p>
      <w:pPr>
        <w:autoSpaceDE w:val="0"/>
        <w:autoSpaceDN w:val="0"/>
        <w:adjustRightInd w:val="0"/>
        <w:spacing w:line="360" w:lineRule="auto"/>
        <w:ind w:firstLine="480" w:firstLineChars="200"/>
        <w:rPr>
          <w:rFonts w:ascii="宋体" w:hAnsi="宋体"/>
          <w:lang w:eastAsia="zh-CN"/>
        </w:rPr>
      </w:pPr>
      <w:r>
        <w:rPr>
          <w:rFonts w:ascii="宋体" w:hAnsi="宋体"/>
          <w:lang w:eastAsia="zh-CN"/>
        </w:rPr>
        <w:t>应进行滑轮试验以证明OPGW 在安装架设时不会受损害或降低其性能。试验要求和试验方法按DL/T 832 进行。</w:t>
      </w:r>
    </w:p>
    <w:p>
      <w:pPr>
        <w:autoSpaceDE w:val="0"/>
        <w:autoSpaceDN w:val="0"/>
        <w:adjustRightInd w:val="0"/>
        <w:spacing w:line="360" w:lineRule="auto"/>
        <w:ind w:firstLine="480" w:firstLineChars="200"/>
        <w:rPr>
          <w:rFonts w:ascii="宋体" w:hAnsi="宋体"/>
          <w:lang w:eastAsia="zh-CN"/>
        </w:rPr>
      </w:pPr>
      <w:r>
        <w:rPr>
          <w:rFonts w:hint="eastAsia" w:ascii="宋体" w:hAnsi="宋体"/>
          <w:lang w:eastAsia="zh-CN"/>
        </w:rPr>
        <w:t>4）</w:t>
      </w:r>
      <w:r>
        <w:rPr>
          <w:rFonts w:ascii="宋体" w:hAnsi="宋体"/>
          <w:lang w:eastAsia="zh-CN"/>
        </w:rPr>
        <w:t>微风振动试验</w:t>
      </w:r>
    </w:p>
    <w:p>
      <w:pPr>
        <w:autoSpaceDE w:val="0"/>
        <w:autoSpaceDN w:val="0"/>
        <w:adjustRightInd w:val="0"/>
        <w:spacing w:line="360" w:lineRule="auto"/>
        <w:ind w:firstLine="480" w:firstLineChars="200"/>
        <w:rPr>
          <w:rFonts w:ascii="宋体" w:hAnsi="宋体"/>
          <w:lang w:eastAsia="zh-CN"/>
        </w:rPr>
      </w:pPr>
      <w:r>
        <w:rPr>
          <w:rFonts w:ascii="宋体" w:hAnsi="宋体"/>
          <w:lang w:eastAsia="zh-CN"/>
        </w:rPr>
        <w:t>微风振动试验用以评定</w:t>
      </w:r>
      <w:r>
        <w:rPr>
          <w:rFonts w:hint="eastAsia" w:ascii="宋体" w:hAnsi="宋体"/>
          <w:lang w:eastAsia="zh-CN"/>
        </w:rPr>
        <w:t xml:space="preserve"> </w:t>
      </w:r>
      <w:r>
        <w:rPr>
          <w:rFonts w:ascii="宋体" w:hAnsi="宋体"/>
          <w:lang w:eastAsia="zh-CN"/>
        </w:rPr>
        <w:t>OPGW 的疲劳性能和光纤在典型微风振动下的光学特性。试验方法和要求按DL/T 832进行，但试验条件中的</w:t>
      </w:r>
      <w:r>
        <w:rPr>
          <w:rFonts w:hint="eastAsia" w:ascii="宋体" w:hAnsi="宋体"/>
          <w:lang w:eastAsia="zh-CN"/>
        </w:rPr>
        <w:t xml:space="preserve"> </w:t>
      </w:r>
      <w:r>
        <w:rPr>
          <w:rFonts w:ascii="宋体" w:hAnsi="宋体"/>
          <w:lang w:eastAsia="zh-CN"/>
        </w:rPr>
        <w:t>OPGW 拉力负荷要求为</w:t>
      </w:r>
      <w:r>
        <w:rPr>
          <w:rFonts w:hint="eastAsia" w:ascii="宋体" w:hAnsi="宋体"/>
          <w:lang w:eastAsia="zh-CN"/>
        </w:rPr>
        <w:t xml:space="preserve"> </w:t>
      </w:r>
      <w:r>
        <w:rPr>
          <w:rFonts w:ascii="宋体" w:hAnsi="宋体"/>
          <w:lang w:eastAsia="zh-CN"/>
        </w:rPr>
        <w:t>25%RTS，振动次数要求不小于3×107 次。</w:t>
      </w:r>
    </w:p>
    <w:p>
      <w:pPr>
        <w:autoSpaceDE w:val="0"/>
        <w:autoSpaceDN w:val="0"/>
        <w:adjustRightInd w:val="0"/>
        <w:spacing w:line="360" w:lineRule="auto"/>
        <w:ind w:firstLine="480" w:firstLineChars="200"/>
        <w:rPr>
          <w:rFonts w:ascii="宋体" w:hAnsi="宋体"/>
          <w:lang w:eastAsia="zh-CN"/>
        </w:rPr>
      </w:pPr>
      <w:r>
        <w:rPr>
          <w:rFonts w:hint="eastAsia" w:ascii="宋体" w:hAnsi="宋体"/>
          <w:lang w:eastAsia="zh-CN"/>
        </w:rPr>
        <w:t>5）</w:t>
      </w:r>
      <w:r>
        <w:rPr>
          <w:rFonts w:ascii="宋体" w:hAnsi="宋体"/>
          <w:lang w:eastAsia="zh-CN"/>
        </w:rPr>
        <w:t>舞动试验</w:t>
      </w:r>
    </w:p>
    <w:p>
      <w:pPr>
        <w:autoSpaceDE w:val="0"/>
        <w:autoSpaceDN w:val="0"/>
        <w:adjustRightInd w:val="0"/>
        <w:spacing w:line="360" w:lineRule="auto"/>
        <w:ind w:firstLine="480" w:firstLineChars="200"/>
        <w:rPr>
          <w:rFonts w:ascii="宋体" w:hAnsi="宋体"/>
          <w:lang w:eastAsia="zh-CN"/>
        </w:rPr>
      </w:pPr>
      <w:r>
        <w:rPr>
          <w:rFonts w:ascii="宋体" w:hAnsi="宋体"/>
          <w:lang w:eastAsia="zh-CN"/>
        </w:rPr>
        <w:t>舞动试验用以测定OPGW 的疲劳性能和光纤在典型舞动状态下的光学特性。试验方法和要求按DL/T 832进行。</w:t>
      </w:r>
    </w:p>
    <w:p>
      <w:pPr>
        <w:autoSpaceDE w:val="0"/>
        <w:autoSpaceDN w:val="0"/>
        <w:adjustRightInd w:val="0"/>
        <w:spacing w:line="360" w:lineRule="auto"/>
        <w:ind w:firstLine="480" w:firstLineChars="200"/>
        <w:rPr>
          <w:rFonts w:ascii="宋体" w:hAnsi="宋体"/>
          <w:lang w:eastAsia="zh-CN"/>
        </w:rPr>
      </w:pPr>
      <w:r>
        <w:rPr>
          <w:rFonts w:hint="eastAsia" w:ascii="宋体" w:hAnsi="宋体"/>
          <w:lang w:eastAsia="zh-CN"/>
        </w:rPr>
        <w:t>6）</w:t>
      </w:r>
      <w:r>
        <w:rPr>
          <w:rFonts w:ascii="宋体" w:hAnsi="宋体"/>
          <w:lang w:eastAsia="zh-CN"/>
        </w:rPr>
        <w:t>蠕变试验</w:t>
      </w:r>
    </w:p>
    <w:p>
      <w:pPr>
        <w:autoSpaceDE w:val="0"/>
        <w:autoSpaceDN w:val="0"/>
        <w:adjustRightInd w:val="0"/>
        <w:spacing w:line="360" w:lineRule="auto"/>
        <w:ind w:firstLine="480" w:firstLineChars="200"/>
        <w:rPr>
          <w:rFonts w:ascii="宋体" w:hAnsi="宋体"/>
          <w:lang w:eastAsia="zh-CN"/>
        </w:rPr>
      </w:pPr>
      <w:r>
        <w:rPr>
          <w:rFonts w:ascii="宋体" w:hAnsi="宋体"/>
          <w:lang w:eastAsia="zh-CN"/>
        </w:rPr>
        <w:t>蠕变试验按IEC 61395 进行。试样长度约10m，试样两端用适宜夹具夹住，施加25%RTS 的拉力持续至少1000h，应在合适的时间间隔内测量和记录OPGW 长度相对于时间变化的伸长量。</w:t>
      </w:r>
    </w:p>
    <w:p>
      <w:pPr>
        <w:autoSpaceDE w:val="0"/>
        <w:autoSpaceDN w:val="0"/>
        <w:adjustRightInd w:val="0"/>
        <w:spacing w:line="360" w:lineRule="auto"/>
        <w:ind w:firstLine="480" w:firstLineChars="200"/>
        <w:rPr>
          <w:rFonts w:ascii="宋体" w:hAnsi="宋体"/>
          <w:lang w:eastAsia="zh-CN"/>
        </w:rPr>
      </w:pPr>
      <w:r>
        <w:rPr>
          <w:rFonts w:hint="eastAsia" w:ascii="宋体" w:hAnsi="宋体"/>
          <w:lang w:eastAsia="zh-CN"/>
        </w:rPr>
        <w:t>7）</w:t>
      </w:r>
      <w:r>
        <w:rPr>
          <w:rFonts w:ascii="宋体" w:hAnsi="宋体"/>
          <w:lang w:eastAsia="zh-CN"/>
        </w:rPr>
        <w:t>温度循环试验</w:t>
      </w:r>
    </w:p>
    <w:p>
      <w:pPr>
        <w:autoSpaceDE w:val="0"/>
        <w:autoSpaceDN w:val="0"/>
        <w:adjustRightInd w:val="0"/>
        <w:spacing w:line="360" w:lineRule="auto"/>
        <w:ind w:firstLine="480" w:firstLineChars="200"/>
        <w:rPr>
          <w:rFonts w:ascii="宋体" w:hAnsi="宋体"/>
          <w:lang w:eastAsia="zh-CN"/>
        </w:rPr>
      </w:pPr>
      <w:r>
        <w:rPr>
          <w:rFonts w:ascii="宋体" w:hAnsi="宋体"/>
          <w:lang w:eastAsia="zh-CN"/>
        </w:rPr>
        <w:t>试验方法和要求按DL/T 832 和GB/T 7424.1 规定进行。</w:t>
      </w:r>
    </w:p>
    <w:p>
      <w:pPr>
        <w:autoSpaceDE w:val="0"/>
        <w:autoSpaceDN w:val="0"/>
        <w:adjustRightInd w:val="0"/>
        <w:spacing w:line="360" w:lineRule="auto"/>
        <w:ind w:firstLine="480" w:firstLineChars="200"/>
        <w:rPr>
          <w:rFonts w:ascii="宋体" w:hAnsi="宋体"/>
          <w:lang w:eastAsia="zh-CN"/>
        </w:rPr>
      </w:pPr>
      <w:r>
        <w:rPr>
          <w:rFonts w:hint="eastAsia" w:ascii="宋体" w:hAnsi="宋体"/>
          <w:lang w:eastAsia="zh-CN"/>
        </w:rPr>
        <w:t>8）</w:t>
      </w:r>
      <w:r>
        <w:rPr>
          <w:rFonts w:ascii="宋体" w:hAnsi="宋体"/>
          <w:lang w:eastAsia="zh-CN"/>
        </w:rPr>
        <w:t>渗水试验</w:t>
      </w:r>
    </w:p>
    <w:p>
      <w:pPr>
        <w:autoSpaceDE w:val="0"/>
        <w:autoSpaceDN w:val="0"/>
        <w:adjustRightInd w:val="0"/>
        <w:spacing w:line="360" w:lineRule="auto"/>
        <w:ind w:firstLine="480" w:firstLineChars="200"/>
        <w:rPr>
          <w:rFonts w:ascii="宋体" w:hAnsi="宋体"/>
          <w:lang w:eastAsia="zh-CN"/>
        </w:rPr>
      </w:pPr>
      <w:r>
        <w:rPr>
          <w:rFonts w:ascii="宋体" w:hAnsi="宋体"/>
          <w:lang w:eastAsia="zh-CN"/>
        </w:rPr>
        <w:t>应只对含有合适阻水材料的光单元（有或无金属管）按照GB/T 7424.1 进行渗水试验，试验要求按DL/T 832有关规定。</w:t>
      </w:r>
    </w:p>
    <w:p>
      <w:pPr>
        <w:autoSpaceDE w:val="0"/>
        <w:autoSpaceDN w:val="0"/>
        <w:adjustRightInd w:val="0"/>
        <w:spacing w:line="360" w:lineRule="auto"/>
        <w:ind w:firstLine="480" w:firstLineChars="200"/>
        <w:rPr>
          <w:rFonts w:ascii="宋体" w:hAnsi="宋体"/>
          <w:lang w:eastAsia="zh-CN"/>
        </w:rPr>
      </w:pPr>
      <w:r>
        <w:rPr>
          <w:rFonts w:hint="eastAsia" w:ascii="宋体" w:hAnsi="宋体"/>
          <w:lang w:eastAsia="zh-CN"/>
        </w:rPr>
        <w:t>9）</w:t>
      </w:r>
      <w:r>
        <w:rPr>
          <w:rFonts w:ascii="宋体" w:hAnsi="宋体"/>
          <w:lang w:eastAsia="zh-CN"/>
        </w:rPr>
        <w:t>短路试验</w:t>
      </w:r>
    </w:p>
    <w:p>
      <w:pPr>
        <w:autoSpaceDE w:val="0"/>
        <w:autoSpaceDN w:val="0"/>
        <w:adjustRightInd w:val="0"/>
        <w:spacing w:line="360" w:lineRule="auto"/>
        <w:ind w:firstLine="480" w:firstLineChars="200"/>
        <w:rPr>
          <w:rFonts w:ascii="宋体" w:hAnsi="宋体"/>
          <w:lang w:eastAsia="zh-CN"/>
        </w:rPr>
      </w:pPr>
      <w:r>
        <w:rPr>
          <w:rFonts w:ascii="宋体" w:hAnsi="宋体"/>
          <w:lang w:eastAsia="zh-CN"/>
        </w:rPr>
        <w:t>短路试验用以评定在典型短路条件下OPGW 的性能和光纤的光学特性。试验方法和要求按DL/T 832 规定。</w:t>
      </w:r>
    </w:p>
    <w:p>
      <w:pPr>
        <w:autoSpaceDE w:val="0"/>
        <w:autoSpaceDN w:val="0"/>
        <w:adjustRightInd w:val="0"/>
        <w:spacing w:line="360" w:lineRule="auto"/>
        <w:ind w:firstLine="480" w:firstLineChars="200"/>
        <w:rPr>
          <w:rFonts w:ascii="宋体" w:hAnsi="宋体"/>
          <w:lang w:eastAsia="zh-CN"/>
        </w:rPr>
      </w:pPr>
      <w:r>
        <w:rPr>
          <w:rFonts w:hint="eastAsia" w:ascii="宋体" w:hAnsi="宋体"/>
          <w:lang w:eastAsia="zh-CN"/>
        </w:rPr>
        <w:t>10）</w:t>
      </w:r>
      <w:r>
        <w:rPr>
          <w:rFonts w:ascii="宋体" w:hAnsi="宋体"/>
          <w:lang w:eastAsia="zh-CN"/>
        </w:rPr>
        <w:t>雷击试验</w:t>
      </w:r>
    </w:p>
    <w:p>
      <w:pPr>
        <w:autoSpaceDE w:val="0"/>
        <w:autoSpaceDN w:val="0"/>
        <w:adjustRightInd w:val="0"/>
        <w:spacing w:line="360" w:lineRule="auto"/>
        <w:ind w:firstLine="480" w:firstLineChars="200"/>
        <w:rPr>
          <w:rFonts w:ascii="宋体" w:hAnsi="宋体"/>
          <w:lang w:eastAsia="zh-CN"/>
        </w:rPr>
      </w:pPr>
      <w:r>
        <w:rPr>
          <w:rFonts w:ascii="宋体" w:hAnsi="宋体"/>
          <w:lang w:eastAsia="zh-CN"/>
        </w:rPr>
        <w:t>雷击试验有两种可供选择的试验方法：即规定雷击条件的验证试验及与相当的地线比较确定OPGW 承受雷击能力的评定试验，由用户和供货商协商选择一种方法。试验方法和要求按DL/T 832规定进行。</w:t>
      </w:r>
    </w:p>
    <w:p>
      <w:pPr>
        <w:autoSpaceDE w:val="0"/>
        <w:autoSpaceDN w:val="0"/>
        <w:adjustRightInd w:val="0"/>
        <w:spacing w:line="360" w:lineRule="auto"/>
        <w:ind w:firstLine="480" w:firstLineChars="200"/>
        <w:rPr>
          <w:rFonts w:ascii="宋体" w:hAnsi="宋体"/>
          <w:lang w:eastAsia="zh-CN"/>
        </w:rPr>
      </w:pPr>
      <w:r>
        <w:rPr>
          <w:rFonts w:hint="eastAsia" w:ascii="宋体" w:hAnsi="宋体"/>
          <w:lang w:eastAsia="zh-CN"/>
        </w:rPr>
        <w:t>11）</w:t>
      </w:r>
      <w:r>
        <w:rPr>
          <w:rFonts w:ascii="宋体" w:hAnsi="宋体"/>
          <w:lang w:eastAsia="zh-CN"/>
        </w:rPr>
        <w:t>滴流试验</w:t>
      </w:r>
    </w:p>
    <w:p>
      <w:pPr>
        <w:autoSpaceDE w:val="0"/>
        <w:autoSpaceDN w:val="0"/>
        <w:adjustRightInd w:val="0"/>
        <w:spacing w:line="360" w:lineRule="auto"/>
        <w:ind w:firstLine="480" w:firstLineChars="200"/>
        <w:rPr>
          <w:rFonts w:ascii="宋体" w:hAnsi="宋体"/>
          <w:lang w:eastAsia="zh-CN"/>
        </w:rPr>
      </w:pPr>
      <w:r>
        <w:rPr>
          <w:rFonts w:ascii="宋体" w:hAnsi="宋体"/>
          <w:lang w:eastAsia="zh-CN"/>
        </w:rPr>
        <w:t>在温度为70℃ 环境下，OPGW 中的光单元应无填充化合物和涂覆化合物滴出。试验方法按GB/T7424.1 的F8 规定进行。</w:t>
      </w:r>
    </w:p>
    <w:p>
      <w:pPr>
        <w:autoSpaceDE w:val="0"/>
        <w:autoSpaceDN w:val="0"/>
        <w:adjustRightInd w:val="0"/>
        <w:spacing w:line="360" w:lineRule="auto"/>
        <w:ind w:firstLine="480" w:firstLineChars="200"/>
        <w:rPr>
          <w:rFonts w:ascii="宋体" w:hAnsi="宋体"/>
          <w:lang w:eastAsia="zh-CN"/>
        </w:rPr>
      </w:pPr>
      <w:r>
        <w:rPr>
          <w:rFonts w:hint="eastAsia" w:ascii="宋体" w:hAnsi="宋体"/>
          <w:lang w:eastAsia="zh-CN"/>
        </w:rPr>
        <w:t>12）</w:t>
      </w:r>
      <w:r>
        <w:rPr>
          <w:rFonts w:ascii="宋体" w:hAnsi="宋体"/>
          <w:lang w:eastAsia="zh-CN"/>
        </w:rPr>
        <w:t>冲击试验</w:t>
      </w:r>
    </w:p>
    <w:p>
      <w:pPr>
        <w:autoSpaceDE w:val="0"/>
        <w:autoSpaceDN w:val="0"/>
        <w:adjustRightInd w:val="0"/>
        <w:spacing w:line="360" w:lineRule="auto"/>
        <w:ind w:firstLine="480" w:firstLineChars="200"/>
        <w:rPr>
          <w:rFonts w:ascii="宋体" w:hAnsi="宋体"/>
          <w:lang w:eastAsia="zh-CN"/>
        </w:rPr>
      </w:pPr>
      <w:r>
        <w:rPr>
          <w:rFonts w:ascii="宋体" w:hAnsi="宋体"/>
          <w:lang w:eastAsia="zh-CN"/>
        </w:rPr>
        <w:t>按IEC794—1—E4 规定进行，经过试验，所有光纤和构件完好，光纤衰减无变化。</w:t>
      </w:r>
    </w:p>
    <w:p>
      <w:pPr>
        <w:autoSpaceDE w:val="0"/>
        <w:autoSpaceDN w:val="0"/>
        <w:adjustRightInd w:val="0"/>
        <w:spacing w:line="360" w:lineRule="auto"/>
        <w:ind w:firstLine="480" w:firstLineChars="200"/>
        <w:rPr>
          <w:rFonts w:ascii="宋体" w:hAnsi="宋体"/>
          <w:lang w:eastAsia="zh-CN"/>
        </w:rPr>
      </w:pPr>
      <w:r>
        <w:rPr>
          <w:rFonts w:hint="eastAsia" w:ascii="宋体" w:hAnsi="宋体"/>
          <w:lang w:eastAsia="zh-CN"/>
        </w:rPr>
        <w:t>13）压扁试验</w:t>
      </w:r>
    </w:p>
    <w:p>
      <w:pPr>
        <w:autoSpaceDE w:val="0"/>
        <w:autoSpaceDN w:val="0"/>
        <w:adjustRightInd w:val="0"/>
        <w:spacing w:line="360" w:lineRule="auto"/>
        <w:ind w:firstLine="480" w:firstLineChars="200"/>
        <w:rPr>
          <w:rFonts w:ascii="宋体" w:hAnsi="宋体"/>
          <w:lang w:eastAsia="zh-CN"/>
        </w:rPr>
      </w:pPr>
      <w:r>
        <w:rPr>
          <w:rFonts w:ascii="宋体" w:hAnsi="宋体"/>
          <w:lang w:eastAsia="zh-CN"/>
        </w:rPr>
        <w:t>按IEC794—1—E3 规定进行，经过试验，所有光纤和构件完好，光纤衰减无变化</w:t>
      </w:r>
      <w:r>
        <w:rPr>
          <w:rFonts w:hint="eastAsia" w:ascii="宋体" w:hAnsi="宋体"/>
          <w:lang w:eastAsia="zh-CN"/>
        </w:rPr>
        <w:t>。</w:t>
      </w:r>
    </w:p>
    <w:p>
      <w:pPr>
        <w:tabs>
          <w:tab w:val="left" w:pos="993"/>
        </w:tabs>
        <w:adjustRightInd w:val="0"/>
        <w:snapToGrid w:val="0"/>
        <w:spacing w:line="360" w:lineRule="auto"/>
        <w:ind w:firstLine="0"/>
        <w:rPr>
          <w:rFonts w:ascii="宋体" w:hAnsi="宋体"/>
          <w:b/>
          <w:lang w:eastAsia="zh-CN"/>
        </w:rPr>
      </w:pPr>
      <w:bookmarkStart w:id="33" w:name="_Toc240708837"/>
      <w:bookmarkStart w:id="34" w:name="_Toc320827879"/>
      <w:bookmarkStart w:id="35" w:name="_Toc239147492"/>
      <w:r>
        <w:rPr>
          <w:rFonts w:hint="eastAsia" w:ascii="宋体" w:hAnsi="宋体"/>
          <w:b/>
          <w:lang w:eastAsia="zh-CN"/>
        </w:rPr>
        <w:t>5.3</w:t>
      </w:r>
      <w:r>
        <w:rPr>
          <w:rFonts w:ascii="宋体" w:hAnsi="宋体"/>
          <w:b/>
          <w:lang w:eastAsia="zh-CN"/>
        </w:rPr>
        <w:t>抽样试验</w:t>
      </w:r>
      <w:bookmarkEnd w:id="33"/>
      <w:bookmarkEnd w:id="34"/>
      <w:bookmarkEnd w:id="35"/>
    </w:p>
    <w:p>
      <w:pPr>
        <w:autoSpaceDE w:val="0"/>
        <w:autoSpaceDN w:val="0"/>
        <w:adjustRightInd w:val="0"/>
        <w:spacing w:line="360" w:lineRule="auto"/>
        <w:rPr>
          <w:rFonts w:ascii="宋体" w:hAnsi="宋体"/>
          <w:lang w:eastAsia="zh-CN"/>
        </w:rPr>
      </w:pPr>
      <w:r>
        <w:rPr>
          <w:rFonts w:ascii="宋体" w:hAnsi="宋体"/>
          <w:lang w:eastAsia="zh-CN"/>
        </w:rPr>
        <w:t>货到现场后如买方认为有需要，则有权对到货产品进行抽样试验。</w:t>
      </w:r>
    </w:p>
    <w:p>
      <w:pPr>
        <w:autoSpaceDE w:val="0"/>
        <w:autoSpaceDN w:val="0"/>
        <w:adjustRightInd w:val="0"/>
        <w:spacing w:line="360" w:lineRule="auto"/>
        <w:ind w:firstLine="0"/>
        <w:rPr>
          <w:rFonts w:ascii="宋体" w:hAnsi="宋体"/>
          <w:lang w:eastAsia="zh-CN"/>
        </w:rPr>
      </w:pPr>
      <w:r>
        <w:rPr>
          <w:rFonts w:hint="eastAsia" w:ascii="宋体" w:hAnsi="宋体"/>
          <w:lang w:eastAsia="zh-CN"/>
        </w:rPr>
        <w:t xml:space="preserve">5.3.1 </w:t>
      </w:r>
      <w:r>
        <w:rPr>
          <w:rFonts w:ascii="宋体" w:hAnsi="宋体"/>
          <w:lang w:eastAsia="zh-CN"/>
        </w:rPr>
        <w:t>光纤的抽样试验</w:t>
      </w:r>
    </w:p>
    <w:p>
      <w:pPr>
        <w:autoSpaceDE w:val="0"/>
        <w:autoSpaceDN w:val="0"/>
        <w:adjustRightInd w:val="0"/>
        <w:spacing w:line="360" w:lineRule="auto"/>
        <w:ind w:firstLine="480" w:firstLineChars="200"/>
        <w:rPr>
          <w:rFonts w:ascii="宋体" w:hAnsi="宋体"/>
          <w:lang w:eastAsia="zh-CN"/>
        </w:rPr>
      </w:pPr>
      <w:r>
        <w:rPr>
          <w:rFonts w:ascii="宋体" w:hAnsi="宋体"/>
          <w:lang w:eastAsia="zh-CN"/>
        </w:rPr>
        <w:t>应对100%的光纤进行光衰减试验，试验方法按GB/T 15972.4 规定进行。对光纤其它光学特性抽样的试验项目和抽检率由用户和供货商协商确定，试验方法GB/T15972.2、GB/T 15972.3、GB/T 15972.4、GB/T 15972.5 规定进行。</w:t>
      </w:r>
    </w:p>
    <w:p>
      <w:pPr>
        <w:autoSpaceDE w:val="0"/>
        <w:autoSpaceDN w:val="0"/>
        <w:adjustRightInd w:val="0"/>
        <w:spacing w:line="360" w:lineRule="auto"/>
        <w:ind w:firstLine="0"/>
        <w:rPr>
          <w:rFonts w:ascii="宋体" w:hAnsi="宋体"/>
          <w:lang w:eastAsia="zh-CN"/>
        </w:rPr>
      </w:pPr>
      <w:r>
        <w:rPr>
          <w:rFonts w:hint="eastAsia" w:ascii="宋体" w:hAnsi="宋体"/>
          <w:lang w:eastAsia="zh-CN"/>
        </w:rPr>
        <w:t xml:space="preserve">5.3.2 </w:t>
      </w:r>
      <w:r>
        <w:rPr>
          <w:rFonts w:ascii="宋体" w:hAnsi="宋体"/>
          <w:lang w:eastAsia="zh-CN"/>
        </w:rPr>
        <w:t>光单元的抽样试验</w:t>
      </w:r>
    </w:p>
    <w:p>
      <w:pPr>
        <w:autoSpaceDE w:val="0"/>
        <w:autoSpaceDN w:val="0"/>
        <w:adjustRightInd w:val="0"/>
        <w:spacing w:line="360" w:lineRule="auto"/>
        <w:ind w:firstLine="480" w:firstLineChars="200"/>
        <w:rPr>
          <w:rFonts w:ascii="宋体" w:hAnsi="宋体"/>
          <w:lang w:eastAsia="zh-CN"/>
        </w:rPr>
      </w:pPr>
      <w:r>
        <w:rPr>
          <w:rFonts w:ascii="宋体" w:hAnsi="宋体"/>
          <w:lang w:eastAsia="zh-CN"/>
        </w:rPr>
        <w:t>应对光单元的铝管或不锈钢管或骨架材料的机械和电气性能进行抽样试验，其抽检率为10%。光单元抽样试验的试验项目包括尺寸、电阻、抗拉强度和伸长率。光单元的机械和电气性能试验应按照GB/T 3048.1、GB/T 3048.2 和GB/T 4909 等规定的试验方法进行。</w:t>
      </w:r>
    </w:p>
    <w:p>
      <w:pPr>
        <w:autoSpaceDE w:val="0"/>
        <w:autoSpaceDN w:val="0"/>
        <w:adjustRightInd w:val="0"/>
        <w:spacing w:line="360" w:lineRule="auto"/>
        <w:ind w:firstLine="0"/>
        <w:rPr>
          <w:rFonts w:ascii="宋体" w:hAnsi="宋体"/>
          <w:lang w:eastAsia="zh-CN"/>
        </w:rPr>
      </w:pPr>
      <w:r>
        <w:rPr>
          <w:rFonts w:hint="eastAsia" w:ascii="宋体" w:hAnsi="宋体"/>
          <w:lang w:eastAsia="zh-CN"/>
        </w:rPr>
        <w:t xml:space="preserve">5.3.3 </w:t>
      </w:r>
      <w:r>
        <w:rPr>
          <w:rFonts w:ascii="宋体" w:hAnsi="宋体"/>
          <w:lang w:eastAsia="zh-CN"/>
        </w:rPr>
        <w:t>绞合前单线的抽样试验</w:t>
      </w:r>
    </w:p>
    <w:p>
      <w:pPr>
        <w:autoSpaceDE w:val="0"/>
        <w:autoSpaceDN w:val="0"/>
        <w:adjustRightInd w:val="0"/>
        <w:spacing w:line="360" w:lineRule="auto"/>
        <w:ind w:firstLine="480" w:firstLineChars="200"/>
        <w:rPr>
          <w:rFonts w:ascii="宋体" w:hAnsi="宋体"/>
          <w:lang w:eastAsia="zh-CN"/>
        </w:rPr>
      </w:pPr>
      <w:r>
        <w:rPr>
          <w:rFonts w:ascii="宋体" w:hAnsi="宋体"/>
          <w:lang w:eastAsia="zh-CN"/>
        </w:rPr>
        <w:t>在成品绞合前应进行单线的机械和电气性能抽样试验，其抽检率为10%。绞合前单线抽样试验的试验项目包括抗拉强度、伸长率、直径、电阻、铝层厚度（适用于铝包钢线）和扭转次数（适用于铝包钢线）。各项试验应按照GB/T 17048、JB/T 8134和GB/T 17937 规定的试验方法进行。</w:t>
      </w:r>
    </w:p>
    <w:p>
      <w:pPr>
        <w:autoSpaceDE w:val="0"/>
        <w:autoSpaceDN w:val="0"/>
        <w:adjustRightInd w:val="0"/>
        <w:spacing w:line="360" w:lineRule="auto"/>
        <w:ind w:firstLine="0"/>
        <w:rPr>
          <w:rFonts w:ascii="宋体" w:hAnsi="宋体"/>
          <w:lang w:eastAsia="zh-CN"/>
        </w:rPr>
      </w:pPr>
      <w:r>
        <w:rPr>
          <w:rFonts w:hint="eastAsia" w:ascii="宋体" w:hAnsi="宋体"/>
          <w:lang w:eastAsia="zh-CN"/>
        </w:rPr>
        <w:t xml:space="preserve">5.3.4 </w:t>
      </w:r>
      <w:r>
        <w:rPr>
          <w:rFonts w:ascii="宋体" w:hAnsi="宋体"/>
          <w:lang w:eastAsia="zh-CN"/>
        </w:rPr>
        <w:t>OPGW 成品的抽样试验（即出厂验收试验）</w:t>
      </w:r>
    </w:p>
    <w:p>
      <w:pPr>
        <w:spacing w:line="360" w:lineRule="auto"/>
        <w:ind w:firstLine="480" w:firstLineChars="200"/>
        <w:rPr>
          <w:rFonts w:ascii="宋体" w:hAnsi="宋体"/>
          <w:lang w:eastAsia="zh-CN"/>
        </w:rPr>
      </w:pPr>
      <w:r>
        <w:rPr>
          <w:rFonts w:ascii="宋体" w:hAnsi="宋体"/>
          <w:lang w:eastAsia="zh-CN"/>
        </w:rPr>
        <w:t>OPGW 成品应完成下列抽样</w:t>
      </w:r>
      <w:r>
        <w:rPr>
          <w:rFonts w:hint="eastAsia" w:ascii="宋体" w:hAnsi="宋体"/>
          <w:lang w:eastAsia="zh-CN"/>
        </w:rPr>
        <w:t>：</w:t>
      </w:r>
    </w:p>
    <w:p>
      <w:pPr>
        <w:autoSpaceDE w:val="0"/>
        <w:autoSpaceDN w:val="0"/>
        <w:adjustRightInd w:val="0"/>
        <w:spacing w:line="360" w:lineRule="auto"/>
        <w:ind w:firstLine="480" w:firstLineChars="200"/>
        <w:rPr>
          <w:rFonts w:ascii="宋体" w:hAnsi="宋体"/>
          <w:lang w:eastAsia="zh-CN"/>
        </w:rPr>
      </w:pPr>
      <w:r>
        <w:rPr>
          <w:rFonts w:ascii="宋体" w:hAnsi="宋体"/>
          <w:lang w:eastAsia="zh-CN"/>
        </w:rPr>
        <w:t>1）OPGW 的直径；</w:t>
      </w:r>
    </w:p>
    <w:p>
      <w:pPr>
        <w:autoSpaceDE w:val="0"/>
        <w:autoSpaceDN w:val="0"/>
        <w:adjustRightInd w:val="0"/>
        <w:spacing w:line="360" w:lineRule="auto"/>
        <w:ind w:firstLine="480" w:firstLineChars="200"/>
        <w:rPr>
          <w:rFonts w:ascii="宋体" w:hAnsi="宋体"/>
          <w:lang w:eastAsia="zh-CN"/>
        </w:rPr>
      </w:pPr>
      <w:r>
        <w:rPr>
          <w:rFonts w:ascii="宋体" w:hAnsi="宋体"/>
          <w:lang w:eastAsia="zh-CN"/>
        </w:rPr>
        <w:t>2）OPGW 的截面积；</w:t>
      </w:r>
    </w:p>
    <w:p>
      <w:pPr>
        <w:autoSpaceDE w:val="0"/>
        <w:autoSpaceDN w:val="0"/>
        <w:adjustRightInd w:val="0"/>
        <w:spacing w:line="360" w:lineRule="auto"/>
        <w:ind w:firstLine="480" w:firstLineChars="200"/>
        <w:rPr>
          <w:rFonts w:ascii="宋体" w:hAnsi="宋体"/>
          <w:lang w:eastAsia="zh-CN"/>
        </w:rPr>
      </w:pPr>
      <w:r>
        <w:rPr>
          <w:rFonts w:ascii="宋体" w:hAnsi="宋体"/>
          <w:lang w:eastAsia="zh-CN"/>
        </w:rPr>
        <w:t>3）OPGW 的单位重量；</w:t>
      </w:r>
    </w:p>
    <w:p>
      <w:pPr>
        <w:autoSpaceDE w:val="0"/>
        <w:autoSpaceDN w:val="0"/>
        <w:adjustRightInd w:val="0"/>
        <w:spacing w:line="360" w:lineRule="auto"/>
        <w:ind w:firstLine="480" w:firstLineChars="200"/>
        <w:rPr>
          <w:rFonts w:ascii="宋体" w:hAnsi="宋体"/>
          <w:lang w:eastAsia="zh-CN"/>
        </w:rPr>
      </w:pPr>
      <w:r>
        <w:rPr>
          <w:rFonts w:ascii="宋体" w:hAnsi="宋体"/>
          <w:lang w:eastAsia="zh-CN"/>
        </w:rPr>
        <w:t>4）OPGW 的绞合节距；</w:t>
      </w:r>
    </w:p>
    <w:p>
      <w:pPr>
        <w:autoSpaceDE w:val="0"/>
        <w:autoSpaceDN w:val="0"/>
        <w:adjustRightInd w:val="0"/>
        <w:spacing w:line="360" w:lineRule="auto"/>
        <w:ind w:firstLine="480" w:firstLineChars="200"/>
        <w:rPr>
          <w:rFonts w:ascii="宋体" w:hAnsi="宋体"/>
          <w:lang w:eastAsia="zh-CN"/>
        </w:rPr>
      </w:pPr>
      <w:r>
        <w:rPr>
          <w:rFonts w:ascii="宋体" w:hAnsi="宋体"/>
          <w:lang w:eastAsia="zh-CN"/>
        </w:rPr>
        <w:t>5）OPGW 的外层绞合方向；</w:t>
      </w:r>
    </w:p>
    <w:p>
      <w:pPr>
        <w:autoSpaceDE w:val="0"/>
        <w:autoSpaceDN w:val="0"/>
        <w:adjustRightInd w:val="0"/>
        <w:spacing w:line="360" w:lineRule="auto"/>
        <w:ind w:firstLine="480" w:firstLineChars="200"/>
        <w:rPr>
          <w:rFonts w:ascii="宋体" w:hAnsi="宋体"/>
          <w:lang w:eastAsia="zh-CN"/>
        </w:rPr>
      </w:pPr>
      <w:r>
        <w:rPr>
          <w:rFonts w:ascii="宋体" w:hAnsi="宋体"/>
          <w:lang w:eastAsia="zh-CN"/>
        </w:rPr>
        <w:t>6）每盘OPGW 成品中每根光纤的光衰减；</w:t>
      </w:r>
    </w:p>
    <w:p>
      <w:pPr>
        <w:autoSpaceDE w:val="0"/>
        <w:autoSpaceDN w:val="0"/>
        <w:adjustRightInd w:val="0"/>
        <w:spacing w:line="360" w:lineRule="auto"/>
        <w:ind w:firstLine="480" w:firstLineChars="200"/>
        <w:rPr>
          <w:rFonts w:ascii="宋体" w:hAnsi="宋体"/>
          <w:lang w:eastAsia="zh-CN"/>
        </w:rPr>
      </w:pPr>
      <w:r>
        <w:rPr>
          <w:rFonts w:ascii="宋体" w:hAnsi="宋体"/>
          <w:lang w:eastAsia="zh-CN"/>
        </w:rPr>
        <w:t>7）当用户有要求时，应进行OPGW 的抗拉力试验；</w:t>
      </w:r>
    </w:p>
    <w:p>
      <w:pPr>
        <w:autoSpaceDE w:val="0"/>
        <w:autoSpaceDN w:val="0"/>
        <w:adjustRightInd w:val="0"/>
        <w:spacing w:line="360" w:lineRule="auto"/>
        <w:ind w:firstLine="480" w:firstLineChars="200"/>
        <w:rPr>
          <w:rFonts w:ascii="宋体" w:hAnsi="宋体"/>
          <w:lang w:eastAsia="zh-CN"/>
        </w:rPr>
      </w:pPr>
      <w:r>
        <w:rPr>
          <w:rFonts w:ascii="宋体" w:hAnsi="宋体"/>
          <w:lang w:eastAsia="zh-CN"/>
        </w:rPr>
        <w:t>8）OPGW 表面质量；</w:t>
      </w:r>
    </w:p>
    <w:p>
      <w:pPr>
        <w:autoSpaceDE w:val="0"/>
        <w:autoSpaceDN w:val="0"/>
        <w:adjustRightInd w:val="0"/>
        <w:spacing w:line="360" w:lineRule="auto"/>
        <w:ind w:firstLine="480" w:firstLineChars="200"/>
        <w:rPr>
          <w:rFonts w:ascii="宋体" w:hAnsi="宋体"/>
          <w:lang w:eastAsia="zh-CN"/>
        </w:rPr>
      </w:pPr>
      <w:r>
        <w:rPr>
          <w:rFonts w:ascii="宋体" w:hAnsi="宋体"/>
          <w:lang w:eastAsia="zh-CN"/>
        </w:rPr>
        <w:t>以上试验项目除（6）和（8）抽检率100%外，其余抽检率为10%。抽样试验方法按DL/T 832 进行。</w:t>
      </w:r>
    </w:p>
    <w:p>
      <w:pPr>
        <w:numPr>
          <w:ilvl w:val="0"/>
          <w:numId w:val="1"/>
        </w:numPr>
        <w:adjustRightInd w:val="0"/>
        <w:snapToGrid w:val="0"/>
        <w:spacing w:line="360" w:lineRule="auto"/>
        <w:ind w:firstLine="482"/>
        <w:textAlignment w:val="baseline"/>
        <w:outlineLvl w:val="0"/>
        <w:rPr>
          <w:rFonts w:ascii="宋体" w:hAnsi="宋体"/>
          <w:b/>
          <w:lang w:eastAsia="zh-CN"/>
        </w:rPr>
      </w:pPr>
      <w:bookmarkStart w:id="36" w:name="_Toc96010209"/>
      <w:r>
        <w:rPr>
          <w:rFonts w:hint="eastAsia" w:ascii="宋体" w:hAnsi="宋体"/>
          <w:b/>
          <w:lang w:eastAsia="zh-CN"/>
        </w:rPr>
        <w:t>包装、运输、贮存和质量保证</w:t>
      </w:r>
      <w:bookmarkEnd w:id="36"/>
    </w:p>
    <w:p>
      <w:pPr>
        <w:tabs>
          <w:tab w:val="left" w:pos="993"/>
        </w:tabs>
        <w:adjustRightInd w:val="0"/>
        <w:snapToGrid w:val="0"/>
        <w:spacing w:line="360" w:lineRule="auto"/>
        <w:ind w:firstLine="0"/>
        <w:rPr>
          <w:rFonts w:ascii="宋体" w:hAnsi="宋体"/>
          <w:b/>
          <w:lang w:eastAsia="zh-CN"/>
        </w:rPr>
      </w:pPr>
      <w:bookmarkStart w:id="37" w:name="_Toc351688258"/>
      <w:bookmarkEnd w:id="37"/>
      <w:bookmarkStart w:id="38" w:name="_Toc239147495"/>
      <w:bookmarkStart w:id="39" w:name="_Toc240708839"/>
      <w:bookmarkStart w:id="40" w:name="_Toc320827881"/>
      <w:r>
        <w:rPr>
          <w:rFonts w:hint="eastAsia" w:ascii="宋体" w:hAnsi="宋体"/>
          <w:b/>
          <w:lang w:eastAsia="zh-CN"/>
        </w:rPr>
        <w:t>6.1</w:t>
      </w:r>
      <w:r>
        <w:rPr>
          <w:rFonts w:ascii="宋体" w:hAnsi="宋体"/>
          <w:b/>
          <w:lang w:eastAsia="zh-CN"/>
        </w:rPr>
        <w:t>缆盘</w:t>
      </w:r>
      <w:bookmarkEnd w:id="38"/>
      <w:r>
        <w:rPr>
          <w:rFonts w:ascii="宋体" w:hAnsi="宋体"/>
          <w:b/>
          <w:lang w:eastAsia="zh-CN"/>
        </w:rPr>
        <w:t>要求</w:t>
      </w:r>
      <w:bookmarkEnd w:id="39"/>
      <w:bookmarkEnd w:id="40"/>
    </w:p>
    <w:p>
      <w:pPr>
        <w:spacing w:line="360" w:lineRule="auto"/>
        <w:ind w:firstLine="480" w:firstLineChars="200"/>
        <w:rPr>
          <w:rFonts w:ascii="宋体" w:hAnsi="宋体"/>
          <w:lang w:eastAsia="zh-CN"/>
        </w:rPr>
      </w:pPr>
      <w:r>
        <w:rPr>
          <w:rFonts w:ascii="宋体" w:hAnsi="宋体"/>
          <w:lang w:eastAsia="zh-CN"/>
        </w:rPr>
        <w:t>为防止光缆在运输、储存及安装过程中出现破损，光缆盘应采用钢龙骨木盘，整个缆盘应用木条牢固封装，封装用木条厚度应大于2cm。木材水份含量应小于18%，枯朽的木材不能用于光缆盘上。缆盘两外侧应标注缆盘旋转方向</w:t>
      </w:r>
      <w:r>
        <w:rPr>
          <w:rFonts w:hint="eastAsia" w:ascii="宋体" w:hAnsi="宋体"/>
          <w:lang w:eastAsia="zh-CN"/>
        </w:rPr>
        <w:t>及保证贮存安全的其它标记</w:t>
      </w:r>
      <w:r>
        <w:rPr>
          <w:rFonts w:ascii="宋体" w:hAnsi="宋体"/>
          <w:lang w:eastAsia="zh-CN"/>
        </w:rPr>
        <w:t>，应采用防晒、防雨覆盖物包装最外层光缆，最外层光缆与缆盘侧板边缘的距离应不小于30mm。</w:t>
      </w:r>
      <w:r>
        <w:rPr>
          <w:rFonts w:hint="eastAsia" w:ascii="宋体" w:hAnsi="宋体"/>
          <w:lang w:eastAsia="zh-CN"/>
        </w:rPr>
        <w:t>缆盘应符合JB/T 8137的规定。</w:t>
      </w:r>
    </w:p>
    <w:p>
      <w:pPr>
        <w:tabs>
          <w:tab w:val="left" w:pos="993"/>
        </w:tabs>
        <w:adjustRightInd w:val="0"/>
        <w:snapToGrid w:val="0"/>
        <w:spacing w:line="360" w:lineRule="auto"/>
        <w:ind w:firstLine="0"/>
        <w:rPr>
          <w:rFonts w:ascii="宋体" w:hAnsi="宋体"/>
          <w:b/>
          <w:lang w:eastAsia="zh-CN"/>
        </w:rPr>
      </w:pPr>
      <w:bookmarkStart w:id="41" w:name="_Toc239147496"/>
      <w:bookmarkStart w:id="42" w:name="_Toc240708840"/>
      <w:bookmarkStart w:id="43" w:name="_Toc320827882"/>
      <w:r>
        <w:rPr>
          <w:rFonts w:hint="eastAsia" w:ascii="宋体" w:hAnsi="宋体"/>
          <w:b/>
          <w:lang w:eastAsia="zh-CN"/>
        </w:rPr>
        <w:t xml:space="preserve">6.2 </w:t>
      </w:r>
      <w:r>
        <w:rPr>
          <w:rFonts w:ascii="宋体" w:hAnsi="宋体"/>
          <w:b/>
          <w:lang w:eastAsia="zh-CN"/>
        </w:rPr>
        <w:t>缆端</w:t>
      </w:r>
      <w:bookmarkEnd w:id="41"/>
      <w:r>
        <w:rPr>
          <w:rFonts w:ascii="宋体" w:hAnsi="宋体"/>
          <w:b/>
          <w:lang w:eastAsia="zh-CN"/>
        </w:rPr>
        <w:t>要求</w:t>
      </w:r>
      <w:bookmarkEnd w:id="42"/>
      <w:bookmarkEnd w:id="43"/>
    </w:p>
    <w:p>
      <w:pPr>
        <w:spacing w:line="360" w:lineRule="auto"/>
        <w:ind w:firstLine="480" w:firstLineChars="200"/>
        <w:rPr>
          <w:rFonts w:ascii="宋体" w:hAnsi="宋体"/>
          <w:lang w:eastAsia="zh-CN"/>
        </w:rPr>
      </w:pPr>
      <w:r>
        <w:rPr>
          <w:rFonts w:ascii="宋体" w:hAnsi="宋体"/>
          <w:lang w:eastAsia="zh-CN"/>
        </w:rPr>
        <w:t>光缆</w:t>
      </w:r>
      <w:r>
        <w:rPr>
          <w:rFonts w:hint="eastAsia" w:ascii="宋体" w:hAnsi="宋体"/>
          <w:lang w:eastAsia="zh-CN"/>
        </w:rPr>
        <w:t>的外端</w:t>
      </w:r>
      <w:r>
        <w:rPr>
          <w:rFonts w:ascii="宋体" w:hAnsi="宋体"/>
          <w:lang w:eastAsia="zh-CN"/>
        </w:rPr>
        <w:t>应牢固地固定在缆盘</w:t>
      </w:r>
      <w:r>
        <w:rPr>
          <w:rFonts w:hint="eastAsia" w:ascii="宋体" w:hAnsi="宋体"/>
          <w:lang w:eastAsia="zh-CN"/>
        </w:rPr>
        <w:t>侧板内表面</w:t>
      </w:r>
      <w:r>
        <w:rPr>
          <w:rFonts w:ascii="宋体" w:hAnsi="宋体"/>
          <w:lang w:eastAsia="zh-CN"/>
        </w:rPr>
        <w:t>，防止光缆在运输和储存期间因缆盘转动使光缆松动</w:t>
      </w:r>
      <w:r>
        <w:rPr>
          <w:rFonts w:hint="eastAsia" w:ascii="宋体" w:hAnsi="宋体"/>
          <w:lang w:eastAsia="zh-CN"/>
        </w:rPr>
        <w:t>；OPGW和管道最外层与缆盘侧板边缘的距离应不小于30mm；</w:t>
      </w:r>
      <w:r>
        <w:rPr>
          <w:rFonts w:ascii="宋体" w:hAnsi="宋体"/>
          <w:lang w:eastAsia="zh-CN"/>
        </w:rPr>
        <w:t>光缆每端应有缆端护套以保护光缆不被湿潮气体侵入</w:t>
      </w:r>
      <w:r>
        <w:rPr>
          <w:rFonts w:hint="eastAsia" w:ascii="宋体" w:hAnsi="宋体"/>
          <w:lang w:eastAsia="zh-CN"/>
        </w:rPr>
        <w:t>，</w:t>
      </w:r>
      <w:r>
        <w:rPr>
          <w:rFonts w:ascii="宋体" w:hAnsi="宋体"/>
          <w:lang w:eastAsia="zh-CN"/>
        </w:rPr>
        <w:t>光缆</w:t>
      </w:r>
      <w:r>
        <w:rPr>
          <w:rFonts w:hint="eastAsia" w:ascii="宋体" w:hAnsi="宋体"/>
          <w:lang w:eastAsia="zh-CN"/>
        </w:rPr>
        <w:t>两端应具有表示端别的颜色标志，始端A为红色、末端B为绿色</w:t>
      </w:r>
      <w:r>
        <w:rPr>
          <w:rFonts w:ascii="宋体" w:hAnsi="宋体"/>
          <w:lang w:eastAsia="zh-CN"/>
        </w:rPr>
        <w:t>，光缆每端应预留长度为不小于3米的测试端。</w:t>
      </w:r>
    </w:p>
    <w:p>
      <w:pPr>
        <w:tabs>
          <w:tab w:val="left" w:pos="993"/>
        </w:tabs>
        <w:adjustRightInd w:val="0"/>
        <w:snapToGrid w:val="0"/>
        <w:spacing w:line="360" w:lineRule="auto"/>
        <w:ind w:firstLine="0"/>
        <w:rPr>
          <w:rFonts w:ascii="宋体" w:hAnsi="宋体"/>
          <w:b/>
          <w:lang w:eastAsia="zh-CN"/>
        </w:rPr>
      </w:pPr>
      <w:bookmarkStart w:id="44" w:name="_Toc239147497"/>
      <w:bookmarkStart w:id="45" w:name="_Toc320827883"/>
      <w:bookmarkStart w:id="46" w:name="_Toc240708841"/>
      <w:r>
        <w:rPr>
          <w:rFonts w:hint="eastAsia" w:ascii="宋体" w:hAnsi="宋体"/>
          <w:b/>
          <w:lang w:eastAsia="zh-CN"/>
        </w:rPr>
        <w:t>6.3</w:t>
      </w:r>
      <w:r>
        <w:rPr>
          <w:rFonts w:ascii="宋体" w:hAnsi="宋体"/>
          <w:b/>
          <w:lang w:eastAsia="zh-CN"/>
        </w:rPr>
        <w:t>铭牌</w:t>
      </w:r>
      <w:bookmarkEnd w:id="44"/>
      <w:r>
        <w:rPr>
          <w:rFonts w:ascii="宋体" w:hAnsi="宋体"/>
          <w:b/>
          <w:lang w:eastAsia="zh-CN"/>
        </w:rPr>
        <w:t>要求</w:t>
      </w:r>
      <w:bookmarkEnd w:id="45"/>
      <w:bookmarkEnd w:id="46"/>
    </w:p>
    <w:p>
      <w:pPr>
        <w:spacing w:line="360" w:lineRule="auto"/>
        <w:ind w:firstLine="480" w:firstLineChars="200"/>
        <w:rPr>
          <w:rFonts w:ascii="宋体" w:hAnsi="宋体"/>
          <w:lang w:eastAsia="zh-CN"/>
        </w:rPr>
      </w:pPr>
      <w:r>
        <w:rPr>
          <w:rFonts w:hint="eastAsia" w:ascii="宋体" w:hAnsi="宋体"/>
          <w:lang w:eastAsia="zh-CN"/>
        </w:rPr>
        <w:t>每盘光缆上应附有合格证书，合格证书上应标明：盘号、产品标记、每根光纤的光衰减实测值；</w:t>
      </w:r>
      <w:r>
        <w:rPr>
          <w:rFonts w:ascii="宋体" w:hAnsi="宋体"/>
          <w:lang w:eastAsia="zh-CN"/>
        </w:rPr>
        <w:t>在光缆盘两外侧均应牢固设置交货铭牌，交货铭牌用普通纸打印并过塑密封。</w:t>
      </w:r>
    </w:p>
    <w:p>
      <w:pPr>
        <w:spacing w:line="360" w:lineRule="auto"/>
        <w:ind w:firstLine="480" w:firstLineChars="200"/>
        <w:rPr>
          <w:rFonts w:ascii="宋体" w:hAnsi="宋体"/>
          <w:lang w:eastAsia="zh-CN"/>
        </w:rPr>
      </w:pPr>
      <w:r>
        <w:rPr>
          <w:rFonts w:ascii="宋体" w:hAnsi="宋体"/>
          <w:lang w:eastAsia="zh-CN"/>
        </w:rPr>
        <w:t>铭牌所包含内容要求如下表所示。</w:t>
      </w:r>
    </w:p>
    <w:p>
      <w:pPr>
        <w:spacing w:line="360" w:lineRule="auto"/>
        <w:ind w:firstLine="480" w:firstLineChars="200"/>
        <w:rPr>
          <w:rFonts w:ascii="宋体" w:hAnsi="宋体"/>
          <w:lang w:eastAsia="zh-CN"/>
        </w:rPr>
      </w:pPr>
    </w:p>
    <w:p>
      <w:pPr>
        <w:spacing w:line="360" w:lineRule="auto"/>
        <w:ind w:firstLine="480" w:firstLineChars="200"/>
        <w:rPr>
          <w:rFonts w:ascii="宋体" w:hAnsi="宋体"/>
          <w:lang w:eastAsia="zh-CN"/>
        </w:rPr>
      </w:pPr>
    </w:p>
    <w:p>
      <w:pPr>
        <w:spacing w:line="360" w:lineRule="auto"/>
        <w:ind w:firstLine="0"/>
        <w:jc w:val="center"/>
        <w:rPr>
          <w:rFonts w:ascii="宋体" w:hAnsi="宋体"/>
          <w:snapToGrid w:val="0"/>
        </w:rPr>
      </w:pPr>
      <w:r>
        <w:rPr>
          <w:rFonts w:ascii="宋体" w:hAnsi="宋体"/>
          <w:snapToGrid w:val="0"/>
        </w:rPr>
        <w:t>表</w:t>
      </w:r>
      <w:r>
        <w:rPr>
          <w:rFonts w:hint="eastAsia" w:ascii="宋体" w:hAnsi="宋体"/>
          <w:snapToGrid w:val="0"/>
          <w:lang w:eastAsia="zh-CN"/>
        </w:rPr>
        <w:t>6</w:t>
      </w:r>
      <w:r>
        <w:rPr>
          <w:rFonts w:ascii="宋体" w:hAnsi="宋体"/>
          <w:snapToGrid w:val="0"/>
        </w:rPr>
        <w:t xml:space="preserve">  铭牌交货标准</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0"/>
        <w:gridCol w:w="1180"/>
        <w:gridCol w:w="1181"/>
        <w:gridCol w:w="1181"/>
        <w:gridCol w:w="1369"/>
        <w:gridCol w:w="20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30" w:type="dxa"/>
            <w:gridSpan w:val="6"/>
            <w:vAlign w:val="center"/>
          </w:tcPr>
          <w:p>
            <w:pPr>
              <w:spacing w:line="360" w:lineRule="auto"/>
              <w:jc w:val="center"/>
              <w:rPr>
                <w:rFonts w:ascii="宋体" w:hAnsi="宋体"/>
                <w:sz w:val="21"/>
                <w:szCs w:val="21"/>
              </w:rPr>
            </w:pPr>
            <w:r>
              <w:rPr>
                <w:rFonts w:ascii="宋体" w:hAnsi="宋体"/>
                <w:sz w:val="21"/>
                <w:szCs w:val="21"/>
              </w:rPr>
              <w:t>商标、厂家名称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30" w:type="dxa"/>
            <w:gridSpan w:val="6"/>
            <w:vAlign w:val="center"/>
          </w:tcPr>
          <w:p>
            <w:pPr>
              <w:spacing w:line="360" w:lineRule="auto"/>
              <w:jc w:val="center"/>
              <w:rPr>
                <w:rFonts w:ascii="宋体" w:hAnsi="宋体"/>
                <w:sz w:val="21"/>
                <w:szCs w:val="21"/>
              </w:rPr>
            </w:pPr>
            <w:r>
              <w:rPr>
                <w:rFonts w:ascii="宋体" w:hAnsi="宋体"/>
                <w:sz w:val="21"/>
                <w:szCs w:val="21"/>
              </w:rPr>
              <w:t>地址、邮编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00" w:type="dxa"/>
            <w:vAlign w:val="center"/>
          </w:tcPr>
          <w:p>
            <w:pPr>
              <w:spacing w:line="360" w:lineRule="auto"/>
              <w:jc w:val="center"/>
              <w:rPr>
                <w:rFonts w:ascii="宋体" w:hAnsi="宋体"/>
                <w:sz w:val="21"/>
                <w:szCs w:val="21"/>
              </w:rPr>
            </w:pPr>
            <w:r>
              <w:rPr>
                <w:rFonts w:ascii="宋体" w:hAnsi="宋体"/>
                <w:sz w:val="21"/>
                <w:szCs w:val="21"/>
              </w:rPr>
              <w:t>产品名称</w:t>
            </w:r>
          </w:p>
        </w:tc>
        <w:tc>
          <w:tcPr>
            <w:tcW w:w="6930" w:type="dxa"/>
            <w:gridSpan w:val="5"/>
            <w:vAlign w:val="center"/>
          </w:tcPr>
          <w:p>
            <w:pPr>
              <w:spacing w:line="360" w:lineRule="auto"/>
              <w:jc w:val="center"/>
              <w:rPr>
                <w:rFonts w:ascii="宋体" w:hAnsi="宋体"/>
                <w:sz w:val="21"/>
                <w:szCs w:val="21"/>
                <w:lang w:eastAsia="zh-CN"/>
              </w:rPr>
            </w:pPr>
            <w:r>
              <w:rPr>
                <w:rFonts w:ascii="宋体" w:hAnsi="宋体"/>
                <w:sz w:val="21"/>
                <w:szCs w:val="21"/>
                <w:lang w:eastAsia="zh-CN"/>
              </w:rPr>
              <w:t>光纤复合架空地线光缆（OPGW）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00" w:type="dxa"/>
            <w:vAlign w:val="center"/>
          </w:tcPr>
          <w:p>
            <w:pPr>
              <w:spacing w:line="360" w:lineRule="auto"/>
              <w:jc w:val="center"/>
              <w:rPr>
                <w:rFonts w:ascii="宋体" w:hAnsi="宋体"/>
                <w:sz w:val="21"/>
                <w:szCs w:val="21"/>
              </w:rPr>
            </w:pPr>
            <w:r>
              <w:rPr>
                <w:rFonts w:ascii="宋体" w:hAnsi="宋体"/>
                <w:sz w:val="21"/>
                <w:szCs w:val="21"/>
              </w:rPr>
              <w:t>型号规格</w:t>
            </w:r>
          </w:p>
        </w:tc>
        <w:tc>
          <w:tcPr>
            <w:tcW w:w="6930" w:type="dxa"/>
            <w:gridSpan w:val="5"/>
            <w:vAlign w:val="center"/>
          </w:tcPr>
          <w:p>
            <w:pPr>
              <w:spacing w:line="360" w:lineRule="auto"/>
              <w:jc w:val="center"/>
              <w:rPr>
                <w:rFonts w:ascii="宋体" w:hAnsi="宋体"/>
                <w:sz w:val="21"/>
                <w:szCs w:val="21"/>
                <w:lang w:eastAsia="zh-CN"/>
              </w:rPr>
            </w:pPr>
            <w:r>
              <w:rPr>
                <w:rFonts w:ascii="宋体" w:hAnsi="宋体"/>
                <w:sz w:val="21"/>
                <w:szCs w:val="21"/>
                <w:lang w:eastAsia="zh-CN"/>
              </w:rPr>
              <w:t>OPGW产品：钢管数（1/2S）、光纤芯数及种类（36B1）、光缆外径、标称抗拉强度、短路电流热容。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00" w:type="dxa"/>
            <w:vAlign w:val="center"/>
          </w:tcPr>
          <w:p>
            <w:pPr>
              <w:spacing w:line="360" w:lineRule="auto"/>
              <w:jc w:val="center"/>
              <w:rPr>
                <w:rFonts w:ascii="宋体" w:hAnsi="宋体"/>
                <w:sz w:val="21"/>
                <w:szCs w:val="21"/>
              </w:rPr>
            </w:pPr>
            <w:r>
              <w:rPr>
                <w:rFonts w:ascii="宋体" w:hAnsi="宋体"/>
                <w:sz w:val="21"/>
                <w:szCs w:val="21"/>
              </w:rPr>
              <w:t>盘号</w:t>
            </w:r>
          </w:p>
        </w:tc>
        <w:tc>
          <w:tcPr>
            <w:tcW w:w="6930" w:type="dxa"/>
            <w:gridSpan w:val="5"/>
            <w:vAlign w:val="center"/>
          </w:tcPr>
          <w:p>
            <w:pPr>
              <w:spacing w:line="360" w:lineRule="auto"/>
              <w:jc w:val="center"/>
              <w:rPr>
                <w:rFonts w:ascii="宋体" w:hAnsi="宋体"/>
                <w:sz w:val="21"/>
                <w:szCs w:val="21"/>
                <w:lang w:eastAsia="zh-CN"/>
              </w:rPr>
            </w:pPr>
            <w:r>
              <w:rPr>
                <w:rFonts w:ascii="宋体" w:hAnsi="宋体"/>
                <w:sz w:val="21"/>
                <w:szCs w:val="21"/>
                <w:lang w:eastAsia="zh-CN"/>
              </w:rPr>
              <w:t>厂家自定义号、技术协议定义盘号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00" w:type="dxa"/>
            <w:vAlign w:val="center"/>
          </w:tcPr>
          <w:p>
            <w:pPr>
              <w:spacing w:line="360" w:lineRule="auto"/>
              <w:jc w:val="center"/>
              <w:rPr>
                <w:rFonts w:ascii="宋体" w:hAnsi="宋体"/>
                <w:sz w:val="21"/>
                <w:szCs w:val="21"/>
              </w:rPr>
            </w:pPr>
            <w:r>
              <w:rPr>
                <w:rFonts w:ascii="宋体" w:hAnsi="宋体"/>
                <w:sz w:val="21"/>
                <w:szCs w:val="21"/>
              </w:rPr>
              <w:t>执行标准</w:t>
            </w:r>
          </w:p>
        </w:tc>
        <w:tc>
          <w:tcPr>
            <w:tcW w:w="6930" w:type="dxa"/>
            <w:gridSpan w:val="5"/>
            <w:vAlign w:val="center"/>
          </w:tcPr>
          <w:p>
            <w:pPr>
              <w:spacing w:line="360" w:lineRule="auto"/>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00" w:type="dxa"/>
            <w:vAlign w:val="center"/>
          </w:tcPr>
          <w:p>
            <w:pPr>
              <w:spacing w:line="360" w:lineRule="auto"/>
              <w:jc w:val="center"/>
              <w:rPr>
                <w:rFonts w:ascii="宋体" w:hAnsi="宋体"/>
                <w:sz w:val="21"/>
                <w:szCs w:val="21"/>
              </w:rPr>
            </w:pPr>
            <w:r>
              <w:rPr>
                <w:rFonts w:ascii="宋体" w:hAnsi="宋体"/>
                <w:sz w:val="21"/>
                <w:szCs w:val="21"/>
              </w:rPr>
              <w:t>长度</w:t>
            </w:r>
            <w:r>
              <w:rPr>
                <w:rFonts w:hint="eastAsia" w:ascii="宋体" w:hAnsi="宋体"/>
                <w:sz w:val="21"/>
                <w:szCs w:val="21"/>
              </w:rPr>
              <w:t>/m</w:t>
            </w:r>
          </w:p>
        </w:tc>
        <w:tc>
          <w:tcPr>
            <w:tcW w:w="1180" w:type="dxa"/>
            <w:vAlign w:val="center"/>
          </w:tcPr>
          <w:p>
            <w:pPr>
              <w:spacing w:line="360" w:lineRule="auto"/>
              <w:jc w:val="center"/>
              <w:rPr>
                <w:rFonts w:ascii="宋体" w:hAnsi="宋体"/>
                <w:sz w:val="21"/>
                <w:szCs w:val="21"/>
              </w:rPr>
            </w:pPr>
          </w:p>
        </w:tc>
        <w:tc>
          <w:tcPr>
            <w:tcW w:w="1181" w:type="dxa"/>
            <w:vAlign w:val="center"/>
          </w:tcPr>
          <w:p>
            <w:pPr>
              <w:spacing w:line="360" w:lineRule="auto"/>
              <w:ind w:firstLine="0"/>
              <w:rPr>
                <w:rFonts w:ascii="宋体" w:hAnsi="宋体"/>
                <w:sz w:val="21"/>
                <w:szCs w:val="21"/>
              </w:rPr>
            </w:pPr>
            <w:r>
              <w:rPr>
                <w:rFonts w:ascii="宋体" w:hAnsi="宋体"/>
                <w:sz w:val="21"/>
                <w:szCs w:val="21"/>
              </w:rPr>
              <w:t>净重</w:t>
            </w:r>
            <w:r>
              <w:rPr>
                <w:rFonts w:hint="eastAsia" w:ascii="宋体" w:hAnsi="宋体"/>
                <w:sz w:val="21"/>
                <w:szCs w:val="21"/>
              </w:rPr>
              <w:t>/kg</w:t>
            </w:r>
          </w:p>
        </w:tc>
        <w:tc>
          <w:tcPr>
            <w:tcW w:w="1181" w:type="dxa"/>
            <w:vAlign w:val="center"/>
          </w:tcPr>
          <w:p>
            <w:pPr>
              <w:spacing w:line="360" w:lineRule="auto"/>
              <w:jc w:val="center"/>
              <w:rPr>
                <w:rFonts w:ascii="宋体" w:hAnsi="宋体"/>
                <w:sz w:val="21"/>
                <w:szCs w:val="21"/>
              </w:rPr>
            </w:pPr>
          </w:p>
        </w:tc>
        <w:tc>
          <w:tcPr>
            <w:tcW w:w="1369" w:type="dxa"/>
            <w:vAlign w:val="center"/>
          </w:tcPr>
          <w:p>
            <w:pPr>
              <w:spacing w:line="360" w:lineRule="auto"/>
              <w:ind w:firstLine="0"/>
              <w:rPr>
                <w:rFonts w:ascii="宋体" w:hAnsi="宋体"/>
                <w:sz w:val="21"/>
                <w:szCs w:val="21"/>
              </w:rPr>
            </w:pPr>
            <w:r>
              <w:rPr>
                <w:rFonts w:ascii="宋体" w:hAnsi="宋体"/>
                <w:sz w:val="21"/>
                <w:szCs w:val="21"/>
              </w:rPr>
              <w:t>生产日期</w:t>
            </w:r>
          </w:p>
        </w:tc>
        <w:tc>
          <w:tcPr>
            <w:tcW w:w="2019" w:type="dxa"/>
            <w:vAlign w:val="center"/>
          </w:tcPr>
          <w:p>
            <w:pPr>
              <w:spacing w:line="360" w:lineRule="auto"/>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00" w:type="dxa"/>
            <w:vAlign w:val="center"/>
          </w:tcPr>
          <w:p>
            <w:pPr>
              <w:spacing w:line="360" w:lineRule="auto"/>
              <w:jc w:val="center"/>
              <w:rPr>
                <w:rFonts w:ascii="宋体" w:hAnsi="宋体"/>
                <w:sz w:val="21"/>
                <w:szCs w:val="21"/>
              </w:rPr>
            </w:pPr>
            <w:r>
              <w:rPr>
                <w:rFonts w:ascii="宋体" w:hAnsi="宋体"/>
                <w:sz w:val="21"/>
                <w:szCs w:val="21"/>
              </w:rPr>
              <w:t>工程线路名称</w:t>
            </w:r>
          </w:p>
        </w:tc>
        <w:tc>
          <w:tcPr>
            <w:tcW w:w="6930" w:type="dxa"/>
            <w:gridSpan w:val="5"/>
            <w:vAlign w:val="center"/>
          </w:tcPr>
          <w:p>
            <w:pPr>
              <w:spacing w:line="360" w:lineRule="auto"/>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00" w:type="dxa"/>
            <w:vAlign w:val="center"/>
          </w:tcPr>
          <w:p>
            <w:pPr>
              <w:spacing w:line="360" w:lineRule="auto"/>
              <w:jc w:val="center"/>
              <w:rPr>
                <w:rFonts w:ascii="宋体" w:hAnsi="宋体"/>
                <w:sz w:val="21"/>
                <w:szCs w:val="21"/>
              </w:rPr>
            </w:pPr>
            <w:r>
              <w:rPr>
                <w:rFonts w:ascii="宋体" w:hAnsi="宋体"/>
                <w:sz w:val="21"/>
                <w:szCs w:val="21"/>
              </w:rPr>
              <w:t>工程范围</w:t>
            </w:r>
          </w:p>
        </w:tc>
        <w:tc>
          <w:tcPr>
            <w:tcW w:w="3542" w:type="dxa"/>
            <w:gridSpan w:val="3"/>
            <w:vAlign w:val="center"/>
          </w:tcPr>
          <w:p>
            <w:pPr>
              <w:spacing w:line="360" w:lineRule="auto"/>
              <w:jc w:val="center"/>
              <w:rPr>
                <w:rFonts w:ascii="宋体" w:hAnsi="宋体"/>
                <w:sz w:val="21"/>
                <w:szCs w:val="21"/>
              </w:rPr>
            </w:pPr>
            <w:r>
              <w:rPr>
                <w:rFonts w:ascii="宋体" w:hAnsi="宋体"/>
                <w:sz w:val="21"/>
                <w:szCs w:val="21"/>
              </w:rPr>
              <w:t>塔---塔</w:t>
            </w:r>
          </w:p>
        </w:tc>
        <w:tc>
          <w:tcPr>
            <w:tcW w:w="1369" w:type="dxa"/>
            <w:vAlign w:val="center"/>
          </w:tcPr>
          <w:p>
            <w:pPr>
              <w:spacing w:line="360" w:lineRule="auto"/>
              <w:jc w:val="center"/>
              <w:rPr>
                <w:rFonts w:ascii="宋体" w:hAnsi="宋体"/>
                <w:sz w:val="21"/>
                <w:szCs w:val="21"/>
              </w:rPr>
            </w:pPr>
            <w:r>
              <w:rPr>
                <w:rFonts w:ascii="宋体" w:hAnsi="宋体"/>
                <w:sz w:val="21"/>
                <w:szCs w:val="21"/>
              </w:rPr>
              <w:t>端别</w:t>
            </w:r>
          </w:p>
        </w:tc>
        <w:tc>
          <w:tcPr>
            <w:tcW w:w="2019" w:type="dxa"/>
            <w:vAlign w:val="center"/>
          </w:tcPr>
          <w:p>
            <w:pPr>
              <w:spacing w:line="360" w:lineRule="auto"/>
              <w:jc w:val="center"/>
              <w:rPr>
                <w:rFonts w:ascii="宋体" w:hAnsi="宋体"/>
                <w:sz w:val="21"/>
                <w:szCs w:val="21"/>
              </w:rPr>
            </w:pPr>
            <w:r>
              <w:rPr>
                <w:rFonts w:ascii="宋体" w:hAnsi="宋体"/>
                <w:sz w:val="21"/>
                <w:szCs w:val="21"/>
              </w:rPr>
              <w:t>A   外端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00" w:type="dxa"/>
            <w:vAlign w:val="center"/>
          </w:tcPr>
          <w:p>
            <w:pPr>
              <w:spacing w:line="360" w:lineRule="auto"/>
              <w:jc w:val="center"/>
              <w:rPr>
                <w:rFonts w:ascii="宋体" w:hAnsi="宋体"/>
                <w:sz w:val="21"/>
                <w:szCs w:val="21"/>
              </w:rPr>
            </w:pPr>
            <w:r>
              <w:rPr>
                <w:rFonts w:ascii="宋体" w:hAnsi="宋体"/>
                <w:sz w:val="21"/>
                <w:szCs w:val="21"/>
              </w:rPr>
              <w:t>用户名称</w:t>
            </w:r>
          </w:p>
        </w:tc>
        <w:tc>
          <w:tcPr>
            <w:tcW w:w="3542" w:type="dxa"/>
            <w:gridSpan w:val="3"/>
            <w:vAlign w:val="center"/>
          </w:tcPr>
          <w:p>
            <w:pPr>
              <w:spacing w:line="360" w:lineRule="auto"/>
              <w:jc w:val="center"/>
              <w:rPr>
                <w:rFonts w:ascii="宋体" w:hAnsi="宋体"/>
                <w:sz w:val="21"/>
                <w:szCs w:val="21"/>
              </w:rPr>
            </w:pPr>
          </w:p>
        </w:tc>
        <w:tc>
          <w:tcPr>
            <w:tcW w:w="1369" w:type="dxa"/>
            <w:vAlign w:val="center"/>
          </w:tcPr>
          <w:p>
            <w:pPr>
              <w:spacing w:line="360" w:lineRule="auto"/>
              <w:jc w:val="center"/>
              <w:rPr>
                <w:rFonts w:ascii="宋体" w:hAnsi="宋体"/>
                <w:sz w:val="21"/>
                <w:szCs w:val="21"/>
              </w:rPr>
            </w:pPr>
            <w:r>
              <w:rPr>
                <w:rFonts w:ascii="宋体" w:hAnsi="宋体"/>
                <w:sz w:val="21"/>
                <w:szCs w:val="21"/>
              </w:rPr>
              <w:t>合同号</w:t>
            </w:r>
          </w:p>
        </w:tc>
        <w:tc>
          <w:tcPr>
            <w:tcW w:w="2019" w:type="dxa"/>
            <w:vAlign w:val="center"/>
          </w:tcPr>
          <w:p>
            <w:pPr>
              <w:spacing w:line="360" w:lineRule="auto"/>
              <w:jc w:val="center"/>
              <w:rPr>
                <w:rFonts w:ascii="宋体" w:hAnsi="宋体"/>
                <w:sz w:val="21"/>
                <w:szCs w:val="21"/>
              </w:rPr>
            </w:pPr>
          </w:p>
        </w:tc>
      </w:tr>
    </w:tbl>
    <w:p>
      <w:pPr>
        <w:tabs>
          <w:tab w:val="left" w:pos="993"/>
        </w:tabs>
        <w:adjustRightInd w:val="0"/>
        <w:snapToGrid w:val="0"/>
        <w:spacing w:before="100" w:beforeAutospacing="1" w:line="360" w:lineRule="auto"/>
        <w:ind w:firstLine="0"/>
        <w:rPr>
          <w:rFonts w:ascii="宋体" w:hAnsi="宋体"/>
          <w:b/>
        </w:rPr>
      </w:pPr>
      <w:bookmarkStart w:id="47" w:name="_Toc320827884"/>
      <w:bookmarkStart w:id="48" w:name="_Toc240708842"/>
      <w:r>
        <w:rPr>
          <w:rFonts w:hint="eastAsia" w:ascii="宋体" w:hAnsi="宋体"/>
          <w:b/>
          <w:lang w:eastAsia="zh-CN"/>
        </w:rPr>
        <w:t>6.4</w:t>
      </w:r>
      <w:r>
        <w:rPr>
          <w:rFonts w:ascii="宋体" w:hAnsi="宋体"/>
          <w:b/>
        </w:rPr>
        <w:t>运输和贮存</w:t>
      </w:r>
      <w:bookmarkEnd w:id="47"/>
      <w:bookmarkEnd w:id="48"/>
    </w:p>
    <w:p>
      <w:pPr>
        <w:spacing w:line="360" w:lineRule="auto"/>
        <w:ind w:firstLine="0"/>
        <w:rPr>
          <w:rFonts w:ascii="宋体" w:hAnsi="宋体"/>
          <w:lang w:eastAsia="zh-CN"/>
        </w:rPr>
      </w:pPr>
      <w:r>
        <w:rPr>
          <w:rFonts w:ascii="宋体" w:hAnsi="宋体"/>
          <w:lang w:eastAsia="zh-CN"/>
        </w:rPr>
        <w:t>光缆运输及储存时应注意：</w:t>
      </w:r>
    </w:p>
    <w:p>
      <w:pPr>
        <w:numPr>
          <w:ilvl w:val="0"/>
          <w:numId w:val="4"/>
        </w:numPr>
        <w:spacing w:line="360" w:lineRule="auto"/>
        <w:rPr>
          <w:rFonts w:ascii="宋体" w:hAnsi="宋体"/>
          <w:lang w:eastAsia="zh-CN"/>
        </w:rPr>
      </w:pPr>
      <w:r>
        <w:rPr>
          <w:rFonts w:ascii="宋体" w:hAnsi="宋体"/>
          <w:lang w:eastAsia="zh-CN"/>
        </w:rPr>
        <w:t>不得使缆盘处于平放方位，不得堆放；</w:t>
      </w:r>
    </w:p>
    <w:p>
      <w:pPr>
        <w:numPr>
          <w:ilvl w:val="0"/>
          <w:numId w:val="4"/>
        </w:numPr>
        <w:spacing w:line="360" w:lineRule="auto"/>
        <w:rPr>
          <w:rFonts w:ascii="宋体" w:hAnsi="宋体"/>
          <w:lang w:eastAsia="zh-CN"/>
        </w:rPr>
      </w:pPr>
      <w:r>
        <w:rPr>
          <w:rFonts w:ascii="宋体" w:hAnsi="宋体"/>
          <w:lang w:eastAsia="zh-CN"/>
        </w:rPr>
        <w:t>盘装光缆应按缆盘标明的旋转方向转动，但不得做长距离滚动；</w:t>
      </w:r>
    </w:p>
    <w:p>
      <w:pPr>
        <w:numPr>
          <w:ilvl w:val="0"/>
          <w:numId w:val="4"/>
        </w:numPr>
        <w:spacing w:line="360" w:lineRule="auto"/>
        <w:rPr>
          <w:rFonts w:ascii="宋体" w:hAnsi="宋体"/>
          <w:lang w:eastAsia="zh-CN"/>
        </w:rPr>
      </w:pPr>
      <w:r>
        <w:rPr>
          <w:rFonts w:ascii="宋体" w:hAnsi="宋体"/>
          <w:lang w:eastAsia="zh-CN"/>
        </w:rPr>
        <w:t>不得遭受冲撞、挤压和任何机械损伤；</w:t>
      </w:r>
    </w:p>
    <w:p>
      <w:pPr>
        <w:numPr>
          <w:ilvl w:val="0"/>
          <w:numId w:val="4"/>
        </w:numPr>
        <w:spacing w:line="360" w:lineRule="auto"/>
        <w:rPr>
          <w:rFonts w:ascii="宋体" w:hAnsi="宋体"/>
          <w:lang w:eastAsia="zh-CN"/>
        </w:rPr>
      </w:pPr>
      <w:r>
        <w:rPr>
          <w:rFonts w:ascii="宋体" w:hAnsi="宋体"/>
          <w:lang w:eastAsia="zh-CN"/>
        </w:rPr>
        <w:t>防止受潮和长时间曝晒；</w:t>
      </w:r>
    </w:p>
    <w:p>
      <w:pPr>
        <w:numPr>
          <w:ilvl w:val="0"/>
          <w:numId w:val="4"/>
        </w:numPr>
        <w:spacing w:line="360" w:lineRule="auto"/>
        <w:rPr>
          <w:rFonts w:ascii="宋体" w:hAnsi="宋体"/>
          <w:lang w:eastAsia="zh-CN"/>
        </w:rPr>
      </w:pPr>
      <w:r>
        <w:rPr>
          <w:rFonts w:ascii="宋体" w:hAnsi="宋体"/>
          <w:lang w:eastAsia="zh-CN"/>
        </w:rPr>
        <w:t>储运温度应控制在-40℃~+60℃范围内，如果超出这个温度范围，交付使用前应进行复检。</w:t>
      </w:r>
      <w:r>
        <w:rPr>
          <w:rFonts w:hint="eastAsia" w:ascii="宋体" w:hAnsi="宋体"/>
          <w:lang w:eastAsia="zh-CN"/>
        </w:rPr>
        <w:tab/>
      </w:r>
    </w:p>
    <w:p>
      <w:pPr>
        <w:tabs>
          <w:tab w:val="left" w:pos="993"/>
        </w:tabs>
        <w:adjustRightInd w:val="0"/>
        <w:snapToGrid w:val="0"/>
        <w:spacing w:line="360" w:lineRule="auto"/>
        <w:ind w:firstLine="0"/>
        <w:rPr>
          <w:rFonts w:ascii="宋体" w:hAnsi="宋体"/>
          <w:b/>
          <w:lang w:eastAsia="zh-CN"/>
        </w:rPr>
      </w:pPr>
      <w:r>
        <w:rPr>
          <w:rFonts w:hint="eastAsia" w:ascii="宋体" w:hAnsi="宋体"/>
          <w:b/>
          <w:lang w:eastAsia="zh-CN"/>
        </w:rPr>
        <w:t>6.5质量保证</w:t>
      </w:r>
    </w:p>
    <w:p>
      <w:pPr>
        <w:adjustRightInd w:val="0"/>
        <w:snapToGrid w:val="0"/>
        <w:spacing w:line="360" w:lineRule="auto"/>
        <w:ind w:firstLine="486" w:firstLineChars="206"/>
        <w:rPr>
          <w:rFonts w:ascii="宋体" w:hAnsi="宋体"/>
          <w:spacing w:val="-2"/>
          <w:lang w:eastAsia="zh-CN"/>
        </w:rPr>
      </w:pPr>
      <w:r>
        <w:rPr>
          <w:rFonts w:hint="eastAsia" w:ascii="宋体" w:hAnsi="宋体"/>
          <w:spacing w:val="-2"/>
          <w:lang w:eastAsia="zh-CN"/>
        </w:rPr>
        <w:t>a）全部设备必须是全新的, 持久耐用的,应满足作为一个完整产品所能满足的全部要求。投标方应保证设备在规定的使用条件下运行、并按使用说明书进行安装和维护、预期寿命应不少于30年</w:t>
      </w:r>
      <w:r>
        <w:rPr>
          <w:rFonts w:ascii="宋体" w:hAnsi="宋体"/>
          <w:spacing w:val="-2"/>
          <w:lang w:eastAsia="zh-CN"/>
        </w:rPr>
        <w:t>。</w:t>
      </w:r>
    </w:p>
    <w:p>
      <w:pPr>
        <w:adjustRightInd w:val="0"/>
        <w:snapToGrid w:val="0"/>
        <w:spacing w:line="360" w:lineRule="auto"/>
        <w:ind w:firstLine="486" w:firstLineChars="206"/>
        <w:rPr>
          <w:rFonts w:ascii="宋体" w:hAnsi="宋体"/>
          <w:spacing w:val="-2"/>
          <w:lang w:eastAsia="zh-CN"/>
        </w:rPr>
      </w:pPr>
      <w:r>
        <w:rPr>
          <w:rFonts w:hint="eastAsia" w:ascii="宋体" w:hAnsi="宋体"/>
          <w:spacing w:val="-2"/>
          <w:lang w:eastAsia="zh-CN"/>
        </w:rPr>
        <w:t>b）投标方应对其整组设备在到货后提供不少于三年的“三包”质量保证。之后如发生产品损坏，投标方应及时为本组装置提供维修部件，并按最近的投标价提供。</w:t>
      </w:r>
    </w:p>
    <w:p>
      <w:pPr>
        <w:adjustRightInd w:val="0"/>
        <w:snapToGrid w:val="0"/>
        <w:spacing w:line="360" w:lineRule="auto"/>
        <w:ind w:firstLine="486" w:firstLineChars="206"/>
        <w:rPr>
          <w:rFonts w:ascii="宋体" w:hAnsi="宋体"/>
          <w:spacing w:val="-2"/>
          <w:lang w:eastAsia="zh-CN"/>
        </w:rPr>
      </w:pPr>
      <w:r>
        <w:rPr>
          <w:rFonts w:hint="eastAsia" w:ascii="宋体" w:hAnsi="宋体"/>
          <w:spacing w:val="-2"/>
          <w:lang w:eastAsia="zh-CN"/>
        </w:rPr>
        <w:t>c）订购的新型产品除应满足本标准外</w:t>
      </w:r>
      <w:r>
        <w:rPr>
          <w:rFonts w:ascii="宋体" w:hAnsi="宋体"/>
          <w:spacing w:val="-2"/>
          <w:lang w:eastAsia="zh-CN"/>
        </w:rPr>
        <w:t xml:space="preserve">, </w:t>
      </w:r>
      <w:r>
        <w:rPr>
          <w:rFonts w:hint="eastAsia" w:ascii="宋体" w:hAnsi="宋体"/>
          <w:spacing w:val="-2"/>
          <w:lang w:eastAsia="zh-CN"/>
        </w:rPr>
        <w:t>投标方还应提供该产品的鉴定证书。</w:t>
      </w:r>
    </w:p>
    <w:p>
      <w:pPr>
        <w:adjustRightInd w:val="0"/>
        <w:snapToGrid w:val="0"/>
        <w:spacing w:line="360" w:lineRule="auto"/>
        <w:ind w:firstLine="486" w:firstLineChars="206"/>
        <w:rPr>
          <w:rFonts w:ascii="宋体" w:hAnsi="宋体"/>
          <w:spacing w:val="-2"/>
          <w:lang w:eastAsia="zh-CN"/>
        </w:rPr>
      </w:pPr>
      <w:r>
        <w:rPr>
          <w:rFonts w:hint="eastAsia" w:ascii="宋体" w:hAnsi="宋体"/>
          <w:spacing w:val="-2"/>
          <w:lang w:eastAsia="zh-CN"/>
        </w:rPr>
        <w:t>d）投标方应保证制造过程中的所有工艺、材料试验等</w:t>
      </w:r>
      <w:r>
        <w:rPr>
          <w:rFonts w:ascii="宋体" w:hAnsi="宋体"/>
          <w:spacing w:val="-2"/>
          <w:lang w:eastAsia="zh-CN"/>
        </w:rPr>
        <w:t>(</w:t>
      </w:r>
      <w:r>
        <w:rPr>
          <w:rFonts w:hint="eastAsia" w:ascii="宋体" w:hAnsi="宋体"/>
          <w:spacing w:val="-2"/>
          <w:lang w:eastAsia="zh-CN"/>
        </w:rPr>
        <w:t>包括投标方的外购件在内</w:t>
      </w:r>
      <w:r>
        <w:rPr>
          <w:rFonts w:ascii="宋体" w:hAnsi="宋体"/>
          <w:spacing w:val="-2"/>
          <w:lang w:eastAsia="zh-CN"/>
        </w:rPr>
        <w:t>)</w:t>
      </w:r>
      <w:r>
        <w:rPr>
          <w:rFonts w:hint="eastAsia" w:ascii="宋体" w:hAnsi="宋体"/>
          <w:spacing w:val="-2"/>
          <w:lang w:eastAsia="zh-CN"/>
        </w:rPr>
        <w:t>均应符合本标准的规定。若招标方根据运行经验指定投标方提供某种外购零部件</w:t>
      </w:r>
      <w:r>
        <w:rPr>
          <w:rFonts w:ascii="宋体" w:hAnsi="宋体"/>
          <w:spacing w:val="-2"/>
          <w:lang w:eastAsia="zh-CN"/>
        </w:rPr>
        <w:t xml:space="preserve">, </w:t>
      </w:r>
      <w:r>
        <w:rPr>
          <w:rFonts w:hint="eastAsia" w:ascii="宋体" w:hAnsi="宋体"/>
          <w:spacing w:val="-2"/>
          <w:lang w:eastAsia="zh-CN"/>
        </w:rPr>
        <w:t>投标方应积极配合。</w:t>
      </w:r>
    </w:p>
    <w:p>
      <w:pPr>
        <w:adjustRightInd w:val="0"/>
        <w:snapToGrid w:val="0"/>
        <w:spacing w:line="360" w:lineRule="auto"/>
        <w:ind w:firstLine="486" w:firstLineChars="206"/>
        <w:rPr>
          <w:rFonts w:ascii="宋体" w:hAnsi="宋体"/>
          <w:spacing w:val="-2"/>
          <w:lang w:eastAsia="zh-CN"/>
        </w:rPr>
      </w:pPr>
      <w:r>
        <w:rPr>
          <w:rFonts w:hint="eastAsia" w:ascii="宋体" w:hAnsi="宋体"/>
          <w:spacing w:val="-2"/>
          <w:lang w:eastAsia="zh-CN"/>
        </w:rPr>
        <w:t>e）附属及配套设备必须满足有关行业标准的要求</w:t>
      </w:r>
      <w:r>
        <w:rPr>
          <w:rFonts w:ascii="宋体" w:hAnsi="宋体"/>
          <w:spacing w:val="-2"/>
          <w:lang w:eastAsia="zh-CN"/>
        </w:rPr>
        <w:t xml:space="preserve">, </w:t>
      </w:r>
      <w:r>
        <w:rPr>
          <w:rFonts w:hint="eastAsia" w:ascii="宋体" w:hAnsi="宋体"/>
          <w:spacing w:val="-2"/>
          <w:lang w:eastAsia="zh-CN"/>
        </w:rPr>
        <w:t>并提供试验报告和产品合格证。</w:t>
      </w:r>
    </w:p>
    <w:p>
      <w:pPr>
        <w:adjustRightInd w:val="0"/>
        <w:snapToGrid w:val="0"/>
        <w:spacing w:line="360" w:lineRule="auto"/>
        <w:ind w:firstLine="486" w:firstLineChars="206"/>
        <w:rPr>
          <w:rFonts w:ascii="宋体" w:hAnsi="宋体"/>
          <w:spacing w:val="-2"/>
          <w:lang w:eastAsia="zh-CN"/>
        </w:rPr>
      </w:pPr>
      <w:r>
        <w:rPr>
          <w:rFonts w:hint="eastAsia" w:ascii="宋体" w:hAnsi="宋体"/>
          <w:spacing w:val="-2"/>
          <w:lang w:eastAsia="zh-CN"/>
        </w:rPr>
        <w:t>f）投标方应有遵守本标准中各条款和工作项目的</w:t>
      </w:r>
      <w:r>
        <w:rPr>
          <w:rFonts w:ascii="宋体" w:hAnsi="宋体"/>
          <w:spacing w:val="-2"/>
          <w:lang w:eastAsia="zh-CN"/>
        </w:rPr>
        <w:t>ISO900</w:t>
      </w:r>
      <w:r>
        <w:rPr>
          <w:rFonts w:hint="eastAsia" w:ascii="宋体" w:hAnsi="宋体"/>
          <w:spacing w:val="-2"/>
          <w:lang w:eastAsia="zh-CN"/>
        </w:rPr>
        <w:t>0-</w:t>
      </w:r>
      <w:r>
        <w:rPr>
          <w:rFonts w:ascii="宋体" w:hAnsi="宋体"/>
          <w:spacing w:val="-2"/>
          <w:lang w:eastAsia="zh-CN"/>
        </w:rPr>
        <w:t>GB/T1900</w:t>
      </w:r>
      <w:r>
        <w:rPr>
          <w:rFonts w:hint="eastAsia" w:ascii="宋体" w:hAnsi="宋体"/>
          <w:spacing w:val="-2"/>
          <w:lang w:eastAsia="zh-CN"/>
        </w:rPr>
        <w:t>0质量保证体系</w:t>
      </w:r>
      <w:r>
        <w:rPr>
          <w:rFonts w:ascii="宋体" w:hAnsi="宋体"/>
          <w:spacing w:val="-2"/>
          <w:lang w:eastAsia="zh-CN"/>
        </w:rPr>
        <w:t xml:space="preserve">, </w:t>
      </w:r>
      <w:r>
        <w:rPr>
          <w:rFonts w:hint="eastAsia" w:ascii="宋体" w:hAnsi="宋体"/>
          <w:spacing w:val="-2"/>
          <w:lang w:eastAsia="zh-CN"/>
        </w:rPr>
        <w:t>该质量保证体系已经通过国家认证并在正常运转。</w:t>
      </w:r>
    </w:p>
    <w:p>
      <w:pPr>
        <w:numPr>
          <w:ilvl w:val="0"/>
          <w:numId w:val="1"/>
        </w:numPr>
        <w:adjustRightInd w:val="0"/>
        <w:snapToGrid w:val="0"/>
        <w:spacing w:line="360" w:lineRule="auto"/>
        <w:ind w:firstLine="496"/>
        <w:textAlignment w:val="baseline"/>
        <w:outlineLvl w:val="0"/>
        <w:rPr>
          <w:rFonts w:ascii="宋体" w:hAnsi="宋体"/>
          <w:b/>
        </w:rPr>
      </w:pPr>
      <w:bookmarkStart w:id="49" w:name="_Toc96010210"/>
      <w:r>
        <w:rPr>
          <w:rFonts w:hint="eastAsia" w:ascii="宋体" w:hAnsi="宋体"/>
          <w:b/>
        </w:rPr>
        <w:t>双方工作安排</w:t>
      </w:r>
      <w:bookmarkEnd w:id="49"/>
    </w:p>
    <w:bookmarkEnd w:id="19"/>
    <w:bookmarkEnd w:id="20"/>
    <w:bookmarkEnd w:id="21"/>
    <w:p>
      <w:pPr>
        <w:tabs>
          <w:tab w:val="left" w:pos="993"/>
        </w:tabs>
        <w:adjustRightInd w:val="0"/>
        <w:snapToGrid w:val="0"/>
        <w:spacing w:line="360" w:lineRule="auto"/>
        <w:ind w:firstLine="0"/>
        <w:rPr>
          <w:rFonts w:ascii="宋体" w:hAnsi="宋体"/>
          <w:b/>
          <w:lang w:eastAsia="zh-CN"/>
        </w:rPr>
      </w:pPr>
      <w:bookmarkStart w:id="50" w:name="_Toc351688260"/>
      <w:bookmarkEnd w:id="50"/>
      <w:r>
        <w:rPr>
          <w:rFonts w:hint="eastAsia" w:ascii="宋体" w:hAnsi="宋体"/>
          <w:b/>
          <w:lang w:eastAsia="zh-CN"/>
        </w:rPr>
        <w:t>7.1招标方职责</w:t>
      </w:r>
    </w:p>
    <w:p>
      <w:pPr>
        <w:autoSpaceDE w:val="0"/>
        <w:autoSpaceDN w:val="0"/>
        <w:adjustRightInd w:val="0"/>
        <w:spacing w:line="360" w:lineRule="auto"/>
        <w:ind w:firstLine="0"/>
        <w:rPr>
          <w:rFonts w:ascii="宋体" w:hAnsi="宋体"/>
          <w:lang w:eastAsia="zh-CN"/>
        </w:rPr>
      </w:pPr>
      <w:r>
        <w:rPr>
          <w:rFonts w:hint="eastAsia" w:ascii="宋体" w:hAnsi="宋体"/>
          <w:lang w:eastAsia="zh-CN"/>
        </w:rPr>
        <w:t>7.1.1 审查投标方提供的技术文件和图纸，审议并确认工程进度、设计联络会议、验收试验计划等；</w:t>
      </w:r>
    </w:p>
    <w:p>
      <w:pPr>
        <w:numPr>
          <w:ilvl w:val="2"/>
          <w:numId w:val="5"/>
        </w:numPr>
        <w:autoSpaceDE w:val="0"/>
        <w:autoSpaceDN w:val="0"/>
        <w:adjustRightInd w:val="0"/>
        <w:spacing w:line="360" w:lineRule="auto"/>
        <w:rPr>
          <w:rFonts w:ascii="宋体" w:hAnsi="宋体"/>
          <w:lang w:eastAsia="zh-CN"/>
        </w:rPr>
      </w:pPr>
      <w:r>
        <w:rPr>
          <w:rFonts w:hint="eastAsia" w:ascii="宋体" w:hAnsi="宋体"/>
          <w:lang w:eastAsia="zh-CN"/>
        </w:rPr>
        <w:t>提供与其他设备之间连接的接口要求；</w:t>
      </w:r>
    </w:p>
    <w:p>
      <w:pPr>
        <w:numPr>
          <w:ilvl w:val="2"/>
          <w:numId w:val="5"/>
        </w:numPr>
        <w:autoSpaceDE w:val="0"/>
        <w:autoSpaceDN w:val="0"/>
        <w:adjustRightInd w:val="0"/>
        <w:spacing w:line="360" w:lineRule="auto"/>
        <w:rPr>
          <w:rFonts w:ascii="宋体" w:hAnsi="宋体"/>
          <w:lang w:eastAsia="zh-CN"/>
        </w:rPr>
      </w:pPr>
      <w:r>
        <w:rPr>
          <w:rFonts w:hint="eastAsia" w:ascii="宋体" w:hAnsi="宋体"/>
          <w:lang w:eastAsia="zh-CN"/>
        </w:rPr>
        <w:t>确认投标方提供的工厂试验验收（FAT）大纲；</w:t>
      </w:r>
    </w:p>
    <w:p>
      <w:pPr>
        <w:numPr>
          <w:ilvl w:val="2"/>
          <w:numId w:val="5"/>
        </w:numPr>
        <w:autoSpaceDE w:val="0"/>
        <w:autoSpaceDN w:val="0"/>
        <w:adjustRightInd w:val="0"/>
        <w:spacing w:line="360" w:lineRule="auto"/>
        <w:rPr>
          <w:rFonts w:ascii="宋体" w:hAnsi="宋体"/>
          <w:lang w:eastAsia="zh-CN"/>
        </w:rPr>
      </w:pPr>
      <w:r>
        <w:rPr>
          <w:rFonts w:hint="eastAsia" w:ascii="宋体" w:hAnsi="宋体"/>
          <w:lang w:eastAsia="zh-CN"/>
        </w:rPr>
        <w:t>参加工厂验收试验（</w:t>
      </w:r>
      <w:r>
        <w:rPr>
          <w:rFonts w:ascii="宋体" w:hAnsi="宋体"/>
          <w:lang w:eastAsia="zh-CN"/>
        </w:rPr>
        <w:t>F</w:t>
      </w:r>
      <w:r>
        <w:rPr>
          <w:rFonts w:hint="eastAsia" w:ascii="宋体" w:hAnsi="宋体"/>
          <w:lang w:eastAsia="zh-CN"/>
        </w:rPr>
        <w:t>AT）；</w:t>
      </w:r>
    </w:p>
    <w:p>
      <w:pPr>
        <w:numPr>
          <w:ilvl w:val="2"/>
          <w:numId w:val="5"/>
        </w:numPr>
        <w:autoSpaceDE w:val="0"/>
        <w:autoSpaceDN w:val="0"/>
        <w:adjustRightInd w:val="0"/>
        <w:spacing w:line="360" w:lineRule="auto"/>
        <w:rPr>
          <w:rFonts w:ascii="宋体" w:hAnsi="宋体"/>
          <w:lang w:eastAsia="zh-CN"/>
        </w:rPr>
      </w:pPr>
      <w:r>
        <w:rPr>
          <w:rFonts w:hint="eastAsia" w:ascii="宋体" w:hAnsi="宋体"/>
          <w:lang w:eastAsia="zh-CN"/>
        </w:rPr>
        <w:t>组织现场验收试验（SAT）。</w:t>
      </w:r>
    </w:p>
    <w:p>
      <w:pPr>
        <w:tabs>
          <w:tab w:val="left" w:pos="993"/>
        </w:tabs>
        <w:adjustRightInd w:val="0"/>
        <w:snapToGrid w:val="0"/>
        <w:spacing w:line="360" w:lineRule="auto"/>
        <w:ind w:firstLine="0"/>
        <w:rPr>
          <w:rFonts w:ascii="宋体" w:hAnsi="宋体"/>
          <w:b/>
        </w:rPr>
      </w:pPr>
      <w:r>
        <w:rPr>
          <w:rFonts w:hint="eastAsia" w:ascii="宋体" w:hAnsi="宋体"/>
          <w:b/>
          <w:lang w:eastAsia="zh-CN"/>
        </w:rPr>
        <w:t>7.2</w:t>
      </w:r>
      <w:r>
        <w:rPr>
          <w:rFonts w:hint="eastAsia" w:ascii="宋体" w:hAnsi="宋体"/>
          <w:b/>
        </w:rPr>
        <w:t>投标方职责</w:t>
      </w:r>
    </w:p>
    <w:p>
      <w:pPr>
        <w:numPr>
          <w:ilvl w:val="2"/>
          <w:numId w:val="6"/>
        </w:numPr>
        <w:autoSpaceDE w:val="0"/>
        <w:autoSpaceDN w:val="0"/>
        <w:adjustRightInd w:val="0"/>
        <w:spacing w:line="360" w:lineRule="auto"/>
        <w:rPr>
          <w:rFonts w:ascii="宋体" w:hAnsi="宋体"/>
          <w:lang w:eastAsia="zh-CN"/>
        </w:rPr>
      </w:pPr>
      <w:r>
        <w:rPr>
          <w:rFonts w:hint="eastAsia" w:ascii="宋体" w:hAnsi="宋体"/>
          <w:lang w:eastAsia="zh-CN"/>
        </w:rPr>
        <w:t>提供合同范围内的所有设备的连接光缆（包括配件）、专用电缆及其插头插座等。</w:t>
      </w:r>
    </w:p>
    <w:p>
      <w:pPr>
        <w:numPr>
          <w:ilvl w:val="2"/>
          <w:numId w:val="6"/>
        </w:numPr>
        <w:autoSpaceDE w:val="0"/>
        <w:autoSpaceDN w:val="0"/>
        <w:adjustRightInd w:val="0"/>
        <w:spacing w:line="360" w:lineRule="auto"/>
        <w:rPr>
          <w:rFonts w:ascii="宋体" w:hAnsi="宋体"/>
          <w:lang w:eastAsia="zh-CN"/>
        </w:rPr>
      </w:pPr>
      <w:r>
        <w:rPr>
          <w:rFonts w:hint="eastAsia" w:ascii="宋体" w:hAnsi="宋体"/>
          <w:lang w:eastAsia="zh-CN"/>
        </w:rPr>
        <w:t>负责在投标方地点举行的设计联络会。</w:t>
      </w:r>
    </w:p>
    <w:p>
      <w:pPr>
        <w:numPr>
          <w:ilvl w:val="2"/>
          <w:numId w:val="6"/>
        </w:numPr>
        <w:autoSpaceDE w:val="0"/>
        <w:autoSpaceDN w:val="0"/>
        <w:adjustRightInd w:val="0"/>
        <w:spacing w:line="360" w:lineRule="auto"/>
        <w:rPr>
          <w:rFonts w:ascii="宋体" w:hAnsi="宋体"/>
          <w:lang w:eastAsia="zh-CN"/>
        </w:rPr>
      </w:pPr>
      <w:r>
        <w:rPr>
          <w:rFonts w:hint="eastAsia" w:ascii="宋体" w:hAnsi="宋体"/>
          <w:lang w:eastAsia="zh-CN"/>
        </w:rPr>
        <w:t>负责提供工厂验收试验（FAT）大纲，并经招标方确认。</w:t>
      </w:r>
    </w:p>
    <w:p>
      <w:pPr>
        <w:numPr>
          <w:ilvl w:val="2"/>
          <w:numId w:val="6"/>
        </w:numPr>
        <w:autoSpaceDE w:val="0"/>
        <w:autoSpaceDN w:val="0"/>
        <w:adjustRightInd w:val="0"/>
        <w:spacing w:line="360" w:lineRule="auto"/>
        <w:rPr>
          <w:rFonts w:ascii="宋体" w:hAnsi="宋体"/>
          <w:lang w:eastAsia="zh-CN"/>
        </w:rPr>
      </w:pPr>
      <w:r>
        <w:rPr>
          <w:rFonts w:hint="eastAsia" w:ascii="宋体" w:hAnsi="宋体"/>
          <w:lang w:eastAsia="zh-CN"/>
        </w:rPr>
        <w:t>负责工厂验收试验（FAT）。</w:t>
      </w:r>
    </w:p>
    <w:p>
      <w:pPr>
        <w:numPr>
          <w:ilvl w:val="2"/>
          <w:numId w:val="6"/>
        </w:numPr>
        <w:autoSpaceDE w:val="0"/>
        <w:autoSpaceDN w:val="0"/>
        <w:adjustRightInd w:val="0"/>
        <w:spacing w:line="360" w:lineRule="auto"/>
        <w:rPr>
          <w:rFonts w:ascii="宋体" w:hAnsi="宋体"/>
          <w:lang w:eastAsia="zh-CN"/>
        </w:rPr>
      </w:pPr>
      <w:r>
        <w:rPr>
          <w:rFonts w:hint="eastAsia" w:ascii="宋体" w:hAnsi="宋体"/>
          <w:lang w:eastAsia="zh-CN"/>
        </w:rPr>
        <w:t>参加现场验收试验（SAT）。</w:t>
      </w:r>
    </w:p>
    <w:p>
      <w:pPr>
        <w:numPr>
          <w:ilvl w:val="2"/>
          <w:numId w:val="6"/>
        </w:numPr>
        <w:autoSpaceDE w:val="0"/>
        <w:autoSpaceDN w:val="0"/>
        <w:adjustRightInd w:val="0"/>
        <w:spacing w:line="360" w:lineRule="auto"/>
        <w:rPr>
          <w:rFonts w:ascii="宋体" w:hAnsi="宋体"/>
          <w:lang w:eastAsia="zh-CN"/>
        </w:rPr>
      </w:pPr>
      <w:r>
        <w:rPr>
          <w:rFonts w:hint="eastAsia" w:ascii="宋体" w:hAnsi="宋体"/>
          <w:lang w:eastAsia="zh-CN"/>
        </w:rPr>
        <w:t>负责供货范围内设备在投运、试验验收、试运行和保修期内的故障排除。</w:t>
      </w:r>
    </w:p>
    <w:p>
      <w:pPr>
        <w:numPr>
          <w:ilvl w:val="2"/>
          <w:numId w:val="6"/>
        </w:numPr>
        <w:autoSpaceDE w:val="0"/>
        <w:autoSpaceDN w:val="0"/>
        <w:adjustRightInd w:val="0"/>
        <w:spacing w:line="360" w:lineRule="auto"/>
        <w:rPr>
          <w:rFonts w:ascii="宋体" w:hAnsi="宋体"/>
          <w:lang w:eastAsia="zh-CN"/>
        </w:rPr>
      </w:pPr>
      <w:r>
        <w:rPr>
          <w:rFonts w:hint="eastAsia" w:ascii="宋体" w:hAnsi="宋体"/>
          <w:lang w:eastAsia="zh-CN"/>
        </w:rPr>
        <w:t>负责供货范围内所有设备的包装运输。</w:t>
      </w:r>
    </w:p>
    <w:p>
      <w:pPr>
        <w:numPr>
          <w:ilvl w:val="2"/>
          <w:numId w:val="6"/>
        </w:numPr>
        <w:autoSpaceDE w:val="0"/>
        <w:autoSpaceDN w:val="0"/>
        <w:adjustRightInd w:val="0"/>
        <w:spacing w:line="360" w:lineRule="auto"/>
        <w:rPr>
          <w:rFonts w:ascii="宋体" w:hAnsi="宋体"/>
          <w:lang w:eastAsia="zh-CN"/>
        </w:rPr>
      </w:pPr>
      <w:r>
        <w:rPr>
          <w:rFonts w:hint="eastAsia" w:ascii="宋体" w:hAnsi="宋体"/>
          <w:lang w:eastAsia="zh-CN"/>
        </w:rPr>
        <w:t>提供供货范围内所有设备的技术文件、图纸（电子化的CAD图纸）和使用手册。</w:t>
      </w:r>
    </w:p>
    <w:p>
      <w:pPr>
        <w:numPr>
          <w:ilvl w:val="2"/>
          <w:numId w:val="6"/>
        </w:numPr>
        <w:autoSpaceDE w:val="0"/>
        <w:autoSpaceDN w:val="0"/>
        <w:adjustRightInd w:val="0"/>
        <w:spacing w:line="360" w:lineRule="auto"/>
        <w:rPr>
          <w:rFonts w:ascii="宋体" w:hAnsi="宋体"/>
          <w:lang w:eastAsia="zh-CN"/>
        </w:rPr>
      </w:pPr>
      <w:r>
        <w:rPr>
          <w:rFonts w:hint="eastAsia" w:ascii="宋体" w:hAnsi="宋体"/>
          <w:lang w:eastAsia="zh-CN"/>
        </w:rPr>
        <w:t>提供维护时需要的专用工具和试验仪器仪表。</w:t>
      </w:r>
    </w:p>
    <w:p>
      <w:pPr>
        <w:numPr>
          <w:ilvl w:val="2"/>
          <w:numId w:val="6"/>
        </w:numPr>
        <w:autoSpaceDE w:val="0"/>
        <w:autoSpaceDN w:val="0"/>
        <w:adjustRightInd w:val="0"/>
        <w:spacing w:line="360" w:lineRule="auto"/>
        <w:rPr>
          <w:rFonts w:ascii="宋体" w:hAnsi="宋体"/>
          <w:lang w:eastAsia="zh-CN"/>
        </w:rPr>
      </w:pPr>
      <w:r>
        <w:rPr>
          <w:rFonts w:hint="eastAsia" w:ascii="宋体" w:hAnsi="宋体"/>
          <w:lang w:eastAsia="zh-CN"/>
        </w:rPr>
        <w:t>投标方无偿协助招标方按标准检查安装质量, 处理调试投运过程中出现的问题，做好售后服务工作。</w:t>
      </w:r>
    </w:p>
    <w:p>
      <w:pPr>
        <w:numPr>
          <w:ilvl w:val="2"/>
          <w:numId w:val="6"/>
        </w:numPr>
        <w:autoSpaceDE w:val="0"/>
        <w:autoSpaceDN w:val="0"/>
        <w:adjustRightInd w:val="0"/>
        <w:spacing w:line="360" w:lineRule="auto"/>
        <w:rPr>
          <w:rFonts w:ascii="宋体" w:hAnsi="宋体"/>
          <w:lang w:eastAsia="zh-CN"/>
        </w:rPr>
      </w:pPr>
      <w:r>
        <w:rPr>
          <w:rFonts w:hint="eastAsia" w:ascii="宋体" w:hAnsi="宋体"/>
          <w:lang w:eastAsia="zh-CN"/>
        </w:rPr>
        <w:t>投标方应选派有经验的技术人员，提供现场技术督导服务和对安装和运行人员免费培训。</w:t>
      </w:r>
    </w:p>
    <w:p>
      <w:pPr>
        <w:numPr>
          <w:ilvl w:val="1"/>
          <w:numId w:val="6"/>
        </w:numPr>
        <w:tabs>
          <w:tab w:val="left" w:pos="993"/>
        </w:tabs>
        <w:adjustRightInd w:val="0"/>
        <w:snapToGrid w:val="0"/>
        <w:spacing w:line="360" w:lineRule="auto"/>
        <w:ind w:left="993"/>
        <w:rPr>
          <w:rFonts w:ascii="宋体" w:hAnsi="宋体"/>
          <w:b/>
        </w:rPr>
      </w:pPr>
      <w:r>
        <w:rPr>
          <w:rFonts w:hint="eastAsia" w:ascii="宋体" w:hAnsi="宋体"/>
          <w:b/>
        </w:rPr>
        <w:t>文件和图纸</w:t>
      </w:r>
    </w:p>
    <w:p>
      <w:pPr>
        <w:numPr>
          <w:ilvl w:val="2"/>
          <w:numId w:val="6"/>
        </w:numPr>
        <w:autoSpaceDE w:val="0"/>
        <w:autoSpaceDN w:val="0"/>
        <w:adjustRightInd w:val="0"/>
        <w:spacing w:line="360" w:lineRule="auto"/>
        <w:ind w:left="0" w:firstLine="567"/>
        <w:rPr>
          <w:rFonts w:ascii="宋体" w:hAnsi="宋体"/>
          <w:color w:val="000000"/>
          <w:lang w:eastAsia="zh-CN"/>
        </w:rPr>
      </w:pPr>
      <w:r>
        <w:rPr>
          <w:rFonts w:hint="eastAsia" w:ascii="宋体" w:hAnsi="宋体"/>
          <w:color w:val="000000"/>
          <w:lang w:eastAsia="zh-CN"/>
        </w:rPr>
        <w:t>如有必要，工作开始之前，为表明所供应货物的细节，投标方应提供</w:t>
      </w:r>
      <w:r>
        <w:rPr>
          <w:rFonts w:ascii="宋体" w:hAnsi="宋体"/>
          <w:color w:val="000000"/>
          <w:lang w:eastAsia="zh-CN"/>
        </w:rPr>
        <w:t>6</w:t>
      </w:r>
      <w:r>
        <w:rPr>
          <w:rFonts w:hint="eastAsia" w:ascii="宋体" w:hAnsi="宋体"/>
          <w:color w:val="000000"/>
          <w:lang w:eastAsia="zh-CN"/>
        </w:rPr>
        <w:t>份图纸、设计资料和文件给招标方批准。对于招标方为满足技术规范书的要求直接作出的修改，投标方应重新提供修改的文件。</w:t>
      </w:r>
    </w:p>
    <w:p>
      <w:pPr>
        <w:numPr>
          <w:ilvl w:val="2"/>
          <w:numId w:val="6"/>
        </w:numPr>
        <w:autoSpaceDE w:val="0"/>
        <w:autoSpaceDN w:val="0"/>
        <w:adjustRightInd w:val="0"/>
        <w:spacing w:line="360" w:lineRule="auto"/>
        <w:ind w:left="0" w:firstLine="567"/>
        <w:rPr>
          <w:rFonts w:ascii="宋体" w:hAnsi="宋体"/>
          <w:color w:val="000000"/>
          <w:lang w:eastAsia="zh-CN"/>
        </w:rPr>
      </w:pPr>
      <w:r>
        <w:rPr>
          <w:rFonts w:hint="eastAsia" w:ascii="宋体" w:hAnsi="宋体"/>
          <w:color w:val="000000"/>
          <w:lang w:eastAsia="zh-CN"/>
        </w:rPr>
        <w:t>应在试验开始前</w:t>
      </w:r>
      <w:r>
        <w:rPr>
          <w:rFonts w:ascii="宋体" w:hAnsi="宋体"/>
          <w:color w:val="000000"/>
          <w:lang w:eastAsia="zh-CN"/>
        </w:rPr>
        <w:t>2</w:t>
      </w:r>
      <w:r>
        <w:rPr>
          <w:rFonts w:hint="eastAsia" w:ascii="宋体" w:hAnsi="宋体"/>
          <w:color w:val="000000"/>
          <w:lang w:eastAsia="zh-CN"/>
        </w:rPr>
        <w:t>个月提交</w:t>
      </w:r>
      <w:r>
        <w:rPr>
          <w:rFonts w:ascii="宋体" w:hAnsi="宋体"/>
          <w:color w:val="000000"/>
          <w:lang w:eastAsia="zh-CN"/>
        </w:rPr>
        <w:t>6</w:t>
      </w:r>
      <w:r>
        <w:rPr>
          <w:rFonts w:hint="eastAsia" w:ascii="宋体" w:hAnsi="宋体"/>
          <w:color w:val="000000"/>
          <w:lang w:eastAsia="zh-CN"/>
        </w:rPr>
        <w:t>份详细试验安排表以便招标方掌握。</w:t>
      </w:r>
    </w:p>
    <w:p>
      <w:pPr>
        <w:numPr>
          <w:ilvl w:val="2"/>
          <w:numId w:val="6"/>
        </w:numPr>
        <w:autoSpaceDE w:val="0"/>
        <w:autoSpaceDN w:val="0"/>
        <w:adjustRightInd w:val="0"/>
        <w:spacing w:line="360" w:lineRule="auto"/>
        <w:ind w:left="0" w:firstLine="567"/>
        <w:rPr>
          <w:rFonts w:ascii="宋体" w:hAnsi="宋体"/>
          <w:color w:val="000000"/>
          <w:lang w:eastAsia="zh-CN"/>
        </w:rPr>
      </w:pPr>
      <w:r>
        <w:rPr>
          <w:rFonts w:hint="eastAsia" w:ascii="宋体" w:hAnsi="宋体"/>
          <w:color w:val="000000"/>
          <w:lang w:eastAsia="zh-CN"/>
        </w:rPr>
        <w:t>不应因为文件中一些修改而变更合同的价格，如果投标方在没有得到批准文件的情况下着手进行工作，投标方应对必要修改发生的费用承担全部的责任，文件的批准应不会减轻投标方对满足技术规范书的要求或在其文件中进行修改而承担的责任。</w:t>
      </w:r>
    </w:p>
    <w:p>
      <w:pPr>
        <w:numPr>
          <w:ilvl w:val="2"/>
          <w:numId w:val="6"/>
        </w:numPr>
        <w:autoSpaceDE w:val="0"/>
        <w:autoSpaceDN w:val="0"/>
        <w:adjustRightInd w:val="0"/>
        <w:spacing w:line="360" w:lineRule="auto"/>
        <w:ind w:left="0" w:firstLine="567"/>
        <w:rPr>
          <w:rFonts w:ascii="宋体" w:hAnsi="宋体"/>
          <w:color w:val="000000"/>
          <w:lang w:eastAsia="zh-CN"/>
        </w:rPr>
      </w:pPr>
      <w:r>
        <w:rPr>
          <w:rFonts w:hint="eastAsia" w:ascii="宋体" w:hAnsi="宋体"/>
          <w:color w:val="000000"/>
          <w:lang w:eastAsia="zh-CN"/>
        </w:rPr>
        <w:t>所有经批准的文件都应有可对修改内容加标注的专栏，经修改的文件应用红色箭头或其它清楚的形式指出修改的地方，应该在文件的适当地方写上招标方的名称、标题、投标方的专责工程师的签名、准备日期和相应的文件的编号。</w:t>
      </w:r>
    </w:p>
    <w:p>
      <w:pPr>
        <w:numPr>
          <w:ilvl w:val="2"/>
          <w:numId w:val="6"/>
        </w:numPr>
        <w:autoSpaceDE w:val="0"/>
        <w:autoSpaceDN w:val="0"/>
        <w:adjustRightInd w:val="0"/>
        <w:spacing w:line="360" w:lineRule="auto"/>
        <w:ind w:left="0" w:firstLine="567"/>
        <w:rPr>
          <w:rFonts w:ascii="宋体" w:hAnsi="宋体"/>
          <w:color w:val="000000"/>
          <w:lang w:eastAsia="zh-CN"/>
        </w:rPr>
      </w:pPr>
      <w:r>
        <w:rPr>
          <w:rFonts w:hint="eastAsia" w:ascii="宋体" w:hAnsi="宋体"/>
          <w:color w:val="000000"/>
          <w:lang w:eastAsia="zh-CN"/>
        </w:rPr>
        <w:t>所提交的文件和图纸提交纸质版外应提交电子版（光盘）。</w:t>
      </w:r>
    </w:p>
    <w:p>
      <w:pPr>
        <w:numPr>
          <w:ilvl w:val="2"/>
          <w:numId w:val="6"/>
        </w:numPr>
        <w:autoSpaceDE w:val="0"/>
        <w:autoSpaceDN w:val="0"/>
        <w:adjustRightInd w:val="0"/>
        <w:spacing w:line="360" w:lineRule="auto"/>
        <w:ind w:left="0" w:firstLine="567"/>
        <w:rPr>
          <w:rFonts w:ascii="宋体" w:hAnsi="宋体"/>
          <w:color w:val="000000"/>
        </w:rPr>
      </w:pPr>
      <w:r>
        <w:rPr>
          <w:rFonts w:hint="eastAsia" w:ascii="宋体" w:hAnsi="宋体"/>
          <w:color w:val="000000"/>
        </w:rPr>
        <w:t>出厂资料的要求</w:t>
      </w:r>
    </w:p>
    <w:p>
      <w:pPr>
        <w:adjustRightInd w:val="0"/>
        <w:snapToGrid w:val="0"/>
        <w:spacing w:line="360" w:lineRule="auto"/>
        <w:ind w:firstLine="648" w:firstLineChars="270"/>
        <w:rPr>
          <w:rFonts w:ascii="宋体" w:hAnsi="宋体"/>
          <w:lang w:eastAsia="zh-CN"/>
        </w:rPr>
      </w:pPr>
      <w:r>
        <w:rPr>
          <w:rFonts w:hint="eastAsia" w:ascii="宋体" w:hAnsi="宋体"/>
          <w:lang w:eastAsia="zh-CN"/>
        </w:rPr>
        <w:t>a)  关于结构型式的简要概述或型式图；</w:t>
      </w:r>
    </w:p>
    <w:p>
      <w:pPr>
        <w:adjustRightInd w:val="0"/>
        <w:snapToGrid w:val="0"/>
        <w:spacing w:line="360" w:lineRule="auto"/>
        <w:ind w:firstLine="648" w:firstLineChars="270"/>
        <w:rPr>
          <w:rFonts w:ascii="宋体" w:hAnsi="宋体"/>
          <w:lang w:eastAsia="zh-CN"/>
        </w:rPr>
      </w:pPr>
      <w:r>
        <w:rPr>
          <w:rFonts w:hint="eastAsia" w:ascii="宋体" w:hAnsi="宋体"/>
          <w:lang w:eastAsia="zh-CN"/>
        </w:rPr>
        <w:t>b)  说明书应包括下列各项：型号、结构(附结构图)、尺寸、技术参数；</w:t>
      </w:r>
    </w:p>
    <w:p>
      <w:pPr>
        <w:adjustRightInd w:val="0"/>
        <w:snapToGrid w:val="0"/>
        <w:spacing w:line="360" w:lineRule="auto"/>
        <w:ind w:firstLine="648" w:firstLineChars="270"/>
        <w:rPr>
          <w:rFonts w:ascii="宋体" w:hAnsi="宋体"/>
          <w:lang w:eastAsia="zh-CN"/>
        </w:rPr>
      </w:pPr>
      <w:r>
        <w:rPr>
          <w:rFonts w:hint="eastAsia" w:ascii="宋体" w:hAnsi="宋体"/>
          <w:lang w:eastAsia="zh-CN"/>
        </w:rPr>
        <w:t>c)  试验报告。应提供出厂试验、型式试验和特殊试验报告；</w:t>
      </w:r>
    </w:p>
    <w:p>
      <w:pPr>
        <w:adjustRightInd w:val="0"/>
        <w:snapToGrid w:val="0"/>
        <w:spacing w:line="360" w:lineRule="auto"/>
        <w:ind w:firstLine="648" w:firstLineChars="270"/>
        <w:rPr>
          <w:rFonts w:ascii="宋体" w:hAnsi="宋体"/>
          <w:lang w:eastAsia="zh-CN"/>
        </w:rPr>
      </w:pPr>
      <w:r>
        <w:rPr>
          <w:rFonts w:hint="eastAsia" w:ascii="宋体" w:hAnsi="宋体"/>
          <w:lang w:eastAsia="zh-CN"/>
        </w:rPr>
        <w:t>d)  提供详细的装箱清单；</w:t>
      </w:r>
    </w:p>
    <w:p>
      <w:pPr>
        <w:adjustRightInd w:val="0"/>
        <w:snapToGrid w:val="0"/>
        <w:spacing w:line="360" w:lineRule="auto"/>
        <w:ind w:firstLine="648" w:firstLineChars="270"/>
        <w:rPr>
          <w:rFonts w:ascii="宋体" w:hAnsi="宋体"/>
          <w:lang w:eastAsia="zh-CN"/>
        </w:rPr>
      </w:pPr>
      <w:r>
        <w:rPr>
          <w:rFonts w:hint="eastAsia" w:ascii="宋体" w:hAnsi="宋体"/>
          <w:lang w:eastAsia="zh-CN"/>
        </w:rPr>
        <w:t>e)  图纸、说明书、试验报告等资料的交付时间、数量及交付单位见表7。</w:t>
      </w:r>
    </w:p>
    <w:p>
      <w:pPr>
        <w:adjustRightInd w:val="0"/>
        <w:snapToGrid w:val="0"/>
        <w:spacing w:line="360" w:lineRule="auto"/>
        <w:ind w:firstLine="648" w:firstLineChars="270"/>
        <w:rPr>
          <w:rFonts w:ascii="宋体" w:hAnsi="宋体"/>
          <w:snapToGrid w:val="0"/>
          <w:lang w:eastAsia="zh-CN"/>
        </w:rPr>
      </w:pPr>
      <w:r>
        <w:rPr>
          <w:rFonts w:hint="eastAsia" w:ascii="宋体" w:hAnsi="宋体"/>
          <w:snapToGrid w:val="0"/>
          <w:lang w:eastAsia="zh-CN"/>
        </w:rPr>
        <w:t xml:space="preserve">表7 </w:t>
      </w:r>
      <w:r>
        <w:rPr>
          <w:rFonts w:hint="eastAsia" w:ascii="宋体" w:hAnsi="宋体"/>
          <w:snapToGrid w:val="0"/>
          <w:lang w:eastAsia="zh-CN"/>
        </w:rPr>
        <w:tab/>
      </w:r>
      <w:r>
        <w:rPr>
          <w:rFonts w:hint="eastAsia" w:ascii="宋体" w:hAnsi="宋体"/>
          <w:snapToGrid w:val="0"/>
          <w:lang w:eastAsia="zh-CN"/>
        </w:rPr>
        <w:t xml:space="preserve"> 投标方向招标方提供的技术资料、图纸和试验报告（项目单位填写）</w:t>
      </w:r>
    </w:p>
    <w:tbl>
      <w:tblPr>
        <w:tblStyle w:val="7"/>
        <w:tblW w:w="5125"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940"/>
        <w:gridCol w:w="4759"/>
        <w:gridCol w:w="1246"/>
        <w:gridCol w:w="1560"/>
        <w:gridCol w:w="124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82" w:type="pct"/>
            <w:vAlign w:val="center"/>
          </w:tcPr>
          <w:p>
            <w:pPr>
              <w:pStyle w:val="2"/>
              <w:ind w:firstLine="0"/>
              <w:jc w:val="center"/>
              <w:rPr>
                <w:rFonts w:ascii="宋体" w:hAnsi="宋体"/>
                <w:kern w:val="0"/>
                <w:szCs w:val="21"/>
                <w:lang w:eastAsia="zh-CN" w:bidi="en-US"/>
              </w:rPr>
            </w:pPr>
            <w:r>
              <w:rPr>
                <w:rFonts w:hint="eastAsia" w:ascii="宋体" w:hAnsi="宋体"/>
                <w:kern w:val="0"/>
                <w:szCs w:val="21"/>
                <w:lang w:eastAsia="zh-CN" w:bidi="en-US"/>
              </w:rPr>
              <w:t>序号</w:t>
            </w:r>
          </w:p>
        </w:tc>
        <w:tc>
          <w:tcPr>
            <w:tcW w:w="2440" w:type="pct"/>
            <w:vAlign w:val="center"/>
          </w:tcPr>
          <w:p>
            <w:pPr>
              <w:pStyle w:val="2"/>
              <w:jc w:val="center"/>
              <w:rPr>
                <w:rFonts w:ascii="宋体" w:hAnsi="宋体"/>
                <w:kern w:val="0"/>
                <w:szCs w:val="21"/>
                <w:lang w:eastAsia="zh-CN" w:bidi="en-US"/>
              </w:rPr>
            </w:pPr>
            <w:r>
              <w:rPr>
                <w:rFonts w:hint="eastAsia" w:ascii="宋体" w:hAnsi="宋体"/>
                <w:kern w:val="0"/>
                <w:szCs w:val="21"/>
                <w:lang w:eastAsia="zh-CN" w:bidi="en-US"/>
              </w:rPr>
              <w:t>项      目</w:t>
            </w:r>
          </w:p>
        </w:tc>
        <w:tc>
          <w:tcPr>
            <w:tcW w:w="639" w:type="pct"/>
            <w:vAlign w:val="center"/>
          </w:tcPr>
          <w:p>
            <w:pPr>
              <w:pStyle w:val="2"/>
              <w:ind w:firstLine="0"/>
              <w:jc w:val="center"/>
              <w:rPr>
                <w:rFonts w:ascii="宋体" w:hAnsi="宋体"/>
                <w:kern w:val="0"/>
                <w:szCs w:val="21"/>
                <w:lang w:eastAsia="zh-CN" w:bidi="en-US"/>
              </w:rPr>
            </w:pPr>
            <w:r>
              <w:rPr>
                <w:rFonts w:hint="eastAsia" w:ascii="宋体" w:hAnsi="宋体"/>
                <w:kern w:val="0"/>
                <w:szCs w:val="21"/>
                <w:lang w:eastAsia="zh-CN" w:bidi="en-US"/>
              </w:rPr>
              <w:t>提交份数</w:t>
            </w:r>
          </w:p>
        </w:tc>
        <w:tc>
          <w:tcPr>
            <w:tcW w:w="800" w:type="pct"/>
            <w:vAlign w:val="center"/>
          </w:tcPr>
          <w:p>
            <w:pPr>
              <w:pStyle w:val="2"/>
              <w:ind w:firstLine="0"/>
              <w:jc w:val="center"/>
              <w:rPr>
                <w:rFonts w:ascii="宋体" w:hAnsi="宋体"/>
                <w:kern w:val="0"/>
                <w:szCs w:val="21"/>
                <w:lang w:eastAsia="zh-CN" w:bidi="en-US"/>
              </w:rPr>
            </w:pPr>
            <w:r>
              <w:rPr>
                <w:rFonts w:hint="eastAsia" w:ascii="宋体" w:hAnsi="宋体"/>
                <w:kern w:val="0"/>
                <w:szCs w:val="21"/>
                <w:lang w:eastAsia="zh-CN" w:bidi="en-US"/>
              </w:rPr>
              <w:t>提交单位</w:t>
            </w:r>
          </w:p>
        </w:tc>
        <w:tc>
          <w:tcPr>
            <w:tcW w:w="639" w:type="pct"/>
            <w:vAlign w:val="center"/>
          </w:tcPr>
          <w:p>
            <w:pPr>
              <w:pStyle w:val="2"/>
              <w:ind w:firstLine="0"/>
              <w:jc w:val="center"/>
              <w:rPr>
                <w:rFonts w:ascii="宋体" w:hAnsi="宋体"/>
                <w:kern w:val="0"/>
                <w:szCs w:val="21"/>
                <w:lang w:eastAsia="zh-CN" w:bidi="en-US"/>
              </w:rPr>
            </w:pPr>
            <w:r>
              <w:rPr>
                <w:rFonts w:hint="eastAsia" w:ascii="宋体" w:hAnsi="宋体"/>
                <w:kern w:val="0"/>
                <w:szCs w:val="21"/>
                <w:lang w:eastAsia="zh-CN" w:bidi="en-US"/>
              </w:rPr>
              <w:t>交付时间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482" w:type="pct"/>
          </w:tcPr>
          <w:p>
            <w:pPr>
              <w:pStyle w:val="2"/>
              <w:ind w:firstLine="0"/>
              <w:jc w:val="center"/>
              <w:rPr>
                <w:rFonts w:ascii="宋体" w:hAnsi="宋体"/>
                <w:kern w:val="0"/>
                <w:szCs w:val="21"/>
                <w:lang w:eastAsia="zh-CN" w:bidi="en-US"/>
              </w:rPr>
            </w:pPr>
            <w:r>
              <w:rPr>
                <w:rFonts w:ascii="宋体" w:hAnsi="宋体"/>
                <w:kern w:val="0"/>
                <w:szCs w:val="21"/>
                <w:lang w:eastAsia="zh-CN" w:bidi="en-US"/>
              </w:rPr>
              <w:t>1</w:t>
            </w:r>
          </w:p>
        </w:tc>
        <w:tc>
          <w:tcPr>
            <w:tcW w:w="2440" w:type="pct"/>
          </w:tcPr>
          <w:p>
            <w:pPr>
              <w:pStyle w:val="2"/>
              <w:ind w:firstLine="0"/>
              <w:rPr>
                <w:rFonts w:ascii="宋体" w:hAnsi="宋体"/>
                <w:kern w:val="0"/>
                <w:szCs w:val="21"/>
                <w:lang w:eastAsia="zh-CN" w:bidi="en-US"/>
              </w:rPr>
            </w:pPr>
            <w:r>
              <w:rPr>
                <w:rFonts w:hint="eastAsia" w:ascii="宋体" w:hAnsi="宋体"/>
                <w:kern w:val="0"/>
                <w:szCs w:val="21"/>
                <w:lang w:eastAsia="zh-CN" w:bidi="en-US"/>
              </w:rPr>
              <w:t>图纸类</w:t>
            </w:r>
          </w:p>
        </w:tc>
        <w:tc>
          <w:tcPr>
            <w:tcW w:w="639" w:type="pct"/>
            <w:vAlign w:val="center"/>
          </w:tcPr>
          <w:p>
            <w:pPr>
              <w:pStyle w:val="2"/>
              <w:jc w:val="center"/>
              <w:rPr>
                <w:rFonts w:ascii="宋体" w:hAnsi="宋体"/>
                <w:kern w:val="0"/>
                <w:szCs w:val="21"/>
                <w:lang w:eastAsia="zh-CN" w:bidi="en-US"/>
              </w:rPr>
            </w:pPr>
          </w:p>
        </w:tc>
        <w:tc>
          <w:tcPr>
            <w:tcW w:w="800" w:type="pct"/>
            <w:vMerge w:val="restart"/>
            <w:vAlign w:val="center"/>
          </w:tcPr>
          <w:p>
            <w:pPr>
              <w:pStyle w:val="2"/>
              <w:rPr>
                <w:rFonts w:ascii="宋体" w:hAnsi="宋体"/>
                <w:kern w:val="0"/>
                <w:szCs w:val="21"/>
                <w:lang w:eastAsia="zh-CN" w:bidi="en-US"/>
              </w:rPr>
            </w:pPr>
          </w:p>
        </w:tc>
        <w:tc>
          <w:tcPr>
            <w:tcW w:w="639" w:type="pct"/>
            <w:vMerge w:val="restart"/>
            <w:vAlign w:val="center"/>
          </w:tcPr>
          <w:p>
            <w:pPr>
              <w:pStyle w:val="2"/>
              <w:rPr>
                <w:rFonts w:ascii="宋体" w:hAnsi="宋体"/>
                <w:kern w:val="0"/>
                <w:szCs w:val="21"/>
                <w:lang w:eastAsia="zh-CN" w:bidi="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482" w:type="pct"/>
          </w:tcPr>
          <w:p>
            <w:pPr>
              <w:pStyle w:val="2"/>
              <w:ind w:firstLine="0"/>
              <w:jc w:val="center"/>
              <w:rPr>
                <w:rFonts w:ascii="宋体" w:hAnsi="宋体"/>
                <w:kern w:val="0"/>
                <w:szCs w:val="21"/>
                <w:lang w:eastAsia="zh-CN" w:bidi="en-US"/>
              </w:rPr>
            </w:pPr>
            <w:r>
              <w:rPr>
                <w:rFonts w:ascii="宋体" w:hAnsi="宋体"/>
                <w:kern w:val="0"/>
                <w:szCs w:val="21"/>
                <w:lang w:eastAsia="zh-CN" w:bidi="en-US"/>
              </w:rPr>
              <w:t>1.1</w:t>
            </w:r>
          </w:p>
        </w:tc>
        <w:tc>
          <w:tcPr>
            <w:tcW w:w="2440" w:type="pct"/>
          </w:tcPr>
          <w:p>
            <w:pPr>
              <w:pStyle w:val="2"/>
              <w:ind w:firstLine="0"/>
              <w:rPr>
                <w:rFonts w:ascii="宋体" w:hAnsi="宋体"/>
                <w:kern w:val="0"/>
                <w:szCs w:val="21"/>
                <w:lang w:eastAsia="zh-CN" w:bidi="en-US"/>
              </w:rPr>
            </w:pPr>
            <w:r>
              <w:rPr>
                <w:rFonts w:hint="eastAsia" w:ascii="宋体" w:hAnsi="宋体"/>
                <w:kern w:val="0"/>
                <w:szCs w:val="21"/>
                <w:lang w:eastAsia="zh-CN" w:bidi="en-US"/>
              </w:rPr>
              <w:t>产品结构图</w:t>
            </w:r>
          </w:p>
        </w:tc>
        <w:tc>
          <w:tcPr>
            <w:tcW w:w="639" w:type="pct"/>
            <w:vAlign w:val="center"/>
          </w:tcPr>
          <w:p>
            <w:pPr>
              <w:pStyle w:val="2"/>
              <w:ind w:firstLine="0"/>
              <w:jc w:val="center"/>
              <w:rPr>
                <w:rFonts w:ascii="宋体" w:hAnsi="宋体"/>
                <w:kern w:val="0"/>
                <w:szCs w:val="21"/>
                <w:lang w:eastAsia="zh-CN" w:bidi="en-US"/>
              </w:rPr>
            </w:pPr>
            <w:r>
              <w:rPr>
                <w:rFonts w:hint="eastAsia" w:ascii="宋体" w:hAnsi="宋体"/>
                <w:kern w:val="0"/>
                <w:szCs w:val="21"/>
                <w:lang w:eastAsia="zh-CN" w:bidi="en-US"/>
              </w:rPr>
              <w:t>6</w:t>
            </w:r>
          </w:p>
        </w:tc>
        <w:tc>
          <w:tcPr>
            <w:tcW w:w="800" w:type="pct"/>
            <w:vMerge w:val="continue"/>
          </w:tcPr>
          <w:p>
            <w:pPr>
              <w:pStyle w:val="2"/>
              <w:rPr>
                <w:rFonts w:ascii="宋体" w:hAnsi="宋体"/>
                <w:kern w:val="0"/>
                <w:szCs w:val="21"/>
                <w:lang w:eastAsia="zh-CN" w:bidi="en-US"/>
              </w:rPr>
            </w:pPr>
          </w:p>
        </w:tc>
        <w:tc>
          <w:tcPr>
            <w:tcW w:w="639" w:type="pct"/>
            <w:vMerge w:val="continue"/>
          </w:tcPr>
          <w:p>
            <w:pPr>
              <w:pStyle w:val="2"/>
              <w:rPr>
                <w:rFonts w:ascii="宋体" w:hAnsi="宋体"/>
                <w:kern w:val="0"/>
                <w:szCs w:val="21"/>
                <w:lang w:eastAsia="zh-CN" w:bidi="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482" w:type="pct"/>
          </w:tcPr>
          <w:p>
            <w:pPr>
              <w:pStyle w:val="2"/>
              <w:ind w:firstLine="0"/>
              <w:jc w:val="center"/>
              <w:rPr>
                <w:rFonts w:ascii="宋体" w:hAnsi="宋体"/>
                <w:kern w:val="0"/>
                <w:szCs w:val="21"/>
                <w:lang w:eastAsia="zh-CN" w:bidi="en-US"/>
              </w:rPr>
            </w:pPr>
            <w:r>
              <w:rPr>
                <w:rFonts w:ascii="宋体" w:hAnsi="宋体"/>
                <w:kern w:val="0"/>
                <w:szCs w:val="21"/>
                <w:lang w:eastAsia="zh-CN" w:bidi="en-US"/>
              </w:rPr>
              <w:t>1.2</w:t>
            </w:r>
          </w:p>
        </w:tc>
        <w:tc>
          <w:tcPr>
            <w:tcW w:w="2440" w:type="pct"/>
          </w:tcPr>
          <w:p>
            <w:pPr>
              <w:pStyle w:val="2"/>
              <w:ind w:firstLine="0"/>
              <w:rPr>
                <w:rFonts w:ascii="宋体" w:hAnsi="宋体"/>
                <w:kern w:val="0"/>
                <w:szCs w:val="21"/>
                <w:lang w:eastAsia="zh-CN" w:bidi="en-US"/>
              </w:rPr>
            </w:pPr>
            <w:r>
              <w:rPr>
                <w:rFonts w:hint="eastAsia" w:ascii="宋体" w:hAnsi="宋体"/>
                <w:kern w:val="0"/>
                <w:szCs w:val="21"/>
                <w:lang w:eastAsia="zh-CN" w:bidi="en-US"/>
              </w:rPr>
              <w:t>线盘图</w:t>
            </w:r>
          </w:p>
        </w:tc>
        <w:tc>
          <w:tcPr>
            <w:tcW w:w="639" w:type="pct"/>
            <w:vAlign w:val="center"/>
          </w:tcPr>
          <w:p>
            <w:pPr>
              <w:pStyle w:val="2"/>
              <w:ind w:firstLine="0"/>
              <w:jc w:val="center"/>
              <w:rPr>
                <w:rFonts w:ascii="宋体" w:hAnsi="宋体"/>
                <w:kern w:val="0"/>
                <w:szCs w:val="21"/>
                <w:lang w:eastAsia="zh-CN" w:bidi="en-US"/>
              </w:rPr>
            </w:pPr>
            <w:r>
              <w:rPr>
                <w:rFonts w:hint="eastAsia" w:ascii="宋体" w:hAnsi="宋体"/>
                <w:kern w:val="0"/>
                <w:szCs w:val="21"/>
                <w:lang w:eastAsia="zh-CN" w:bidi="en-US"/>
              </w:rPr>
              <w:t>6</w:t>
            </w:r>
          </w:p>
        </w:tc>
        <w:tc>
          <w:tcPr>
            <w:tcW w:w="800" w:type="pct"/>
            <w:vMerge w:val="continue"/>
          </w:tcPr>
          <w:p>
            <w:pPr>
              <w:pStyle w:val="2"/>
              <w:rPr>
                <w:rFonts w:ascii="宋体" w:hAnsi="宋体"/>
                <w:kern w:val="0"/>
                <w:szCs w:val="21"/>
                <w:lang w:eastAsia="zh-CN" w:bidi="en-US"/>
              </w:rPr>
            </w:pPr>
          </w:p>
        </w:tc>
        <w:tc>
          <w:tcPr>
            <w:tcW w:w="639" w:type="pct"/>
            <w:vMerge w:val="continue"/>
          </w:tcPr>
          <w:p>
            <w:pPr>
              <w:pStyle w:val="2"/>
              <w:rPr>
                <w:rFonts w:ascii="宋体" w:hAnsi="宋体"/>
                <w:kern w:val="0"/>
                <w:szCs w:val="21"/>
                <w:lang w:eastAsia="zh-CN" w:bidi="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482" w:type="pct"/>
          </w:tcPr>
          <w:p>
            <w:pPr>
              <w:pStyle w:val="2"/>
              <w:ind w:firstLine="0"/>
              <w:jc w:val="center"/>
              <w:rPr>
                <w:rFonts w:ascii="宋体" w:hAnsi="宋体"/>
                <w:kern w:val="0"/>
                <w:szCs w:val="21"/>
                <w:lang w:eastAsia="zh-CN" w:bidi="en-US"/>
              </w:rPr>
            </w:pPr>
            <w:r>
              <w:rPr>
                <w:rFonts w:ascii="宋体" w:hAnsi="宋体"/>
                <w:kern w:val="0"/>
                <w:szCs w:val="21"/>
                <w:lang w:eastAsia="zh-CN" w:bidi="en-US"/>
              </w:rPr>
              <w:t>1.3</w:t>
            </w:r>
          </w:p>
        </w:tc>
        <w:tc>
          <w:tcPr>
            <w:tcW w:w="2440" w:type="pct"/>
          </w:tcPr>
          <w:p>
            <w:pPr>
              <w:pStyle w:val="2"/>
              <w:ind w:firstLine="0"/>
              <w:rPr>
                <w:rFonts w:ascii="宋体" w:hAnsi="宋体"/>
                <w:kern w:val="0"/>
                <w:szCs w:val="21"/>
                <w:lang w:eastAsia="zh-CN" w:bidi="en-US"/>
              </w:rPr>
            </w:pPr>
            <w:r>
              <w:rPr>
                <w:rFonts w:hint="eastAsia" w:ascii="宋体" w:hAnsi="宋体"/>
                <w:kern w:val="0"/>
                <w:szCs w:val="21"/>
                <w:lang w:eastAsia="zh-CN" w:bidi="en-US"/>
              </w:rPr>
              <w:t>线盘包装图</w:t>
            </w:r>
          </w:p>
        </w:tc>
        <w:tc>
          <w:tcPr>
            <w:tcW w:w="639" w:type="pct"/>
            <w:vAlign w:val="center"/>
          </w:tcPr>
          <w:p>
            <w:pPr>
              <w:pStyle w:val="2"/>
              <w:ind w:firstLine="0"/>
              <w:jc w:val="center"/>
              <w:rPr>
                <w:rFonts w:ascii="宋体" w:hAnsi="宋体"/>
                <w:kern w:val="0"/>
                <w:szCs w:val="21"/>
                <w:lang w:eastAsia="zh-CN" w:bidi="en-US"/>
              </w:rPr>
            </w:pPr>
            <w:r>
              <w:rPr>
                <w:rFonts w:hint="eastAsia" w:ascii="宋体" w:hAnsi="宋体"/>
                <w:kern w:val="0"/>
                <w:szCs w:val="21"/>
                <w:lang w:eastAsia="zh-CN" w:bidi="en-US"/>
              </w:rPr>
              <w:t>6</w:t>
            </w:r>
          </w:p>
        </w:tc>
        <w:tc>
          <w:tcPr>
            <w:tcW w:w="800" w:type="pct"/>
            <w:vMerge w:val="continue"/>
          </w:tcPr>
          <w:p>
            <w:pPr>
              <w:pStyle w:val="2"/>
              <w:rPr>
                <w:rFonts w:ascii="宋体" w:hAnsi="宋体"/>
                <w:kern w:val="0"/>
                <w:szCs w:val="21"/>
                <w:lang w:eastAsia="zh-CN" w:bidi="en-US"/>
              </w:rPr>
            </w:pPr>
          </w:p>
        </w:tc>
        <w:tc>
          <w:tcPr>
            <w:tcW w:w="639" w:type="pct"/>
            <w:vMerge w:val="continue"/>
          </w:tcPr>
          <w:p>
            <w:pPr>
              <w:pStyle w:val="2"/>
              <w:rPr>
                <w:rFonts w:ascii="宋体" w:hAnsi="宋体"/>
                <w:kern w:val="0"/>
                <w:szCs w:val="21"/>
                <w:lang w:eastAsia="zh-CN" w:bidi="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482" w:type="pct"/>
          </w:tcPr>
          <w:p>
            <w:pPr>
              <w:pStyle w:val="2"/>
              <w:ind w:firstLine="0"/>
              <w:jc w:val="center"/>
              <w:rPr>
                <w:rFonts w:ascii="宋体" w:hAnsi="宋体"/>
                <w:kern w:val="0"/>
                <w:szCs w:val="21"/>
                <w:lang w:eastAsia="zh-CN" w:bidi="en-US"/>
              </w:rPr>
            </w:pPr>
            <w:r>
              <w:rPr>
                <w:rFonts w:ascii="宋体" w:hAnsi="宋体"/>
                <w:kern w:val="0"/>
                <w:szCs w:val="21"/>
                <w:lang w:eastAsia="zh-CN" w:bidi="en-US"/>
              </w:rPr>
              <w:t>1.4</w:t>
            </w:r>
          </w:p>
        </w:tc>
        <w:tc>
          <w:tcPr>
            <w:tcW w:w="2440" w:type="pct"/>
          </w:tcPr>
          <w:p>
            <w:pPr>
              <w:pStyle w:val="2"/>
              <w:ind w:firstLine="0"/>
              <w:rPr>
                <w:rFonts w:ascii="宋体" w:hAnsi="宋体"/>
                <w:kern w:val="0"/>
                <w:szCs w:val="21"/>
                <w:lang w:eastAsia="zh-CN" w:bidi="en-US"/>
              </w:rPr>
            </w:pPr>
            <w:r>
              <w:rPr>
                <w:rFonts w:hint="eastAsia" w:ascii="宋体" w:hAnsi="宋体"/>
                <w:kern w:val="0"/>
                <w:szCs w:val="21"/>
                <w:lang w:eastAsia="zh-CN" w:bidi="en-US"/>
              </w:rPr>
              <w:t>线盘起吊尺寸图</w:t>
            </w:r>
          </w:p>
        </w:tc>
        <w:tc>
          <w:tcPr>
            <w:tcW w:w="639" w:type="pct"/>
            <w:vAlign w:val="center"/>
          </w:tcPr>
          <w:p>
            <w:pPr>
              <w:pStyle w:val="2"/>
              <w:ind w:firstLine="0"/>
              <w:jc w:val="center"/>
              <w:rPr>
                <w:rFonts w:ascii="宋体" w:hAnsi="宋体"/>
                <w:kern w:val="0"/>
                <w:szCs w:val="21"/>
                <w:lang w:eastAsia="zh-CN" w:bidi="en-US"/>
              </w:rPr>
            </w:pPr>
            <w:r>
              <w:rPr>
                <w:rFonts w:hint="eastAsia" w:ascii="宋体" w:hAnsi="宋体"/>
                <w:kern w:val="0"/>
                <w:szCs w:val="21"/>
                <w:lang w:eastAsia="zh-CN" w:bidi="en-US"/>
              </w:rPr>
              <w:t>6</w:t>
            </w:r>
          </w:p>
        </w:tc>
        <w:tc>
          <w:tcPr>
            <w:tcW w:w="800" w:type="pct"/>
            <w:vMerge w:val="continue"/>
          </w:tcPr>
          <w:p>
            <w:pPr>
              <w:pStyle w:val="2"/>
              <w:rPr>
                <w:rFonts w:ascii="宋体" w:hAnsi="宋体"/>
                <w:kern w:val="0"/>
                <w:szCs w:val="21"/>
                <w:lang w:eastAsia="zh-CN" w:bidi="en-US"/>
              </w:rPr>
            </w:pPr>
          </w:p>
        </w:tc>
        <w:tc>
          <w:tcPr>
            <w:tcW w:w="639" w:type="pct"/>
            <w:vMerge w:val="continue"/>
          </w:tcPr>
          <w:p>
            <w:pPr>
              <w:pStyle w:val="2"/>
              <w:rPr>
                <w:rFonts w:ascii="宋体" w:hAnsi="宋体"/>
                <w:kern w:val="0"/>
                <w:szCs w:val="21"/>
                <w:lang w:eastAsia="zh-CN" w:bidi="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482" w:type="pct"/>
          </w:tcPr>
          <w:p>
            <w:pPr>
              <w:pStyle w:val="2"/>
              <w:ind w:firstLine="0"/>
              <w:jc w:val="center"/>
              <w:rPr>
                <w:rFonts w:ascii="宋体" w:hAnsi="宋体"/>
                <w:kern w:val="0"/>
                <w:szCs w:val="21"/>
                <w:lang w:eastAsia="zh-CN" w:bidi="en-US"/>
              </w:rPr>
            </w:pPr>
            <w:r>
              <w:rPr>
                <w:rFonts w:ascii="宋体" w:hAnsi="宋体"/>
                <w:kern w:val="0"/>
                <w:szCs w:val="21"/>
                <w:lang w:eastAsia="zh-CN" w:bidi="en-US"/>
              </w:rPr>
              <w:t>2</w:t>
            </w:r>
          </w:p>
        </w:tc>
        <w:tc>
          <w:tcPr>
            <w:tcW w:w="2440" w:type="pct"/>
          </w:tcPr>
          <w:p>
            <w:pPr>
              <w:pStyle w:val="2"/>
              <w:ind w:firstLine="0"/>
              <w:rPr>
                <w:rFonts w:ascii="宋体" w:hAnsi="宋体"/>
                <w:kern w:val="0"/>
                <w:szCs w:val="21"/>
                <w:lang w:eastAsia="zh-CN" w:bidi="en-US"/>
              </w:rPr>
            </w:pPr>
            <w:r>
              <w:rPr>
                <w:rFonts w:hint="eastAsia" w:ascii="宋体" w:hAnsi="宋体"/>
                <w:kern w:val="0"/>
                <w:szCs w:val="21"/>
                <w:lang w:eastAsia="zh-CN" w:bidi="en-US"/>
              </w:rPr>
              <w:t>参数表及说明书</w:t>
            </w:r>
          </w:p>
        </w:tc>
        <w:tc>
          <w:tcPr>
            <w:tcW w:w="639" w:type="pct"/>
            <w:vAlign w:val="center"/>
          </w:tcPr>
          <w:p>
            <w:pPr>
              <w:pStyle w:val="2"/>
              <w:ind w:firstLine="0"/>
              <w:jc w:val="center"/>
              <w:rPr>
                <w:rFonts w:ascii="宋体" w:hAnsi="宋体"/>
                <w:kern w:val="0"/>
                <w:szCs w:val="21"/>
                <w:lang w:eastAsia="zh-CN" w:bidi="en-US"/>
              </w:rPr>
            </w:pPr>
          </w:p>
        </w:tc>
        <w:tc>
          <w:tcPr>
            <w:tcW w:w="800" w:type="pct"/>
            <w:vMerge w:val="continue"/>
          </w:tcPr>
          <w:p>
            <w:pPr>
              <w:pStyle w:val="2"/>
              <w:rPr>
                <w:rFonts w:ascii="宋体" w:hAnsi="宋体"/>
                <w:kern w:val="0"/>
                <w:szCs w:val="21"/>
                <w:lang w:eastAsia="zh-CN" w:bidi="en-US"/>
              </w:rPr>
            </w:pPr>
          </w:p>
        </w:tc>
        <w:tc>
          <w:tcPr>
            <w:tcW w:w="639" w:type="pct"/>
            <w:vMerge w:val="continue"/>
          </w:tcPr>
          <w:p>
            <w:pPr>
              <w:pStyle w:val="2"/>
              <w:rPr>
                <w:rFonts w:ascii="宋体" w:hAnsi="宋体"/>
                <w:kern w:val="0"/>
                <w:szCs w:val="21"/>
                <w:lang w:eastAsia="zh-CN" w:bidi="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482" w:type="pct"/>
          </w:tcPr>
          <w:p>
            <w:pPr>
              <w:pStyle w:val="2"/>
              <w:ind w:firstLine="0"/>
              <w:jc w:val="center"/>
              <w:rPr>
                <w:rFonts w:ascii="宋体" w:hAnsi="宋体"/>
                <w:kern w:val="0"/>
                <w:szCs w:val="21"/>
                <w:lang w:eastAsia="zh-CN" w:bidi="en-US"/>
              </w:rPr>
            </w:pPr>
            <w:r>
              <w:rPr>
                <w:rFonts w:ascii="宋体" w:hAnsi="宋体"/>
                <w:kern w:val="0"/>
                <w:szCs w:val="21"/>
                <w:lang w:eastAsia="zh-CN" w:bidi="en-US"/>
              </w:rPr>
              <w:t>2.1</w:t>
            </w:r>
          </w:p>
        </w:tc>
        <w:tc>
          <w:tcPr>
            <w:tcW w:w="2440" w:type="pct"/>
          </w:tcPr>
          <w:p>
            <w:pPr>
              <w:pStyle w:val="2"/>
              <w:ind w:firstLine="0"/>
              <w:rPr>
                <w:rFonts w:ascii="宋体" w:hAnsi="宋体"/>
                <w:kern w:val="0"/>
                <w:szCs w:val="21"/>
                <w:lang w:eastAsia="zh-CN" w:bidi="en-US"/>
              </w:rPr>
            </w:pPr>
            <w:r>
              <w:rPr>
                <w:rFonts w:hint="eastAsia" w:ascii="宋体" w:hAnsi="宋体"/>
                <w:kern w:val="0"/>
                <w:szCs w:val="21"/>
                <w:lang w:eastAsia="zh-CN" w:bidi="en-US"/>
              </w:rPr>
              <w:t>单丝的技术参数表及说明书</w:t>
            </w:r>
          </w:p>
        </w:tc>
        <w:tc>
          <w:tcPr>
            <w:tcW w:w="639" w:type="pct"/>
            <w:vAlign w:val="center"/>
          </w:tcPr>
          <w:p>
            <w:pPr>
              <w:pStyle w:val="2"/>
              <w:ind w:firstLine="0"/>
              <w:jc w:val="center"/>
              <w:rPr>
                <w:rFonts w:ascii="宋体" w:hAnsi="宋体"/>
                <w:kern w:val="0"/>
                <w:szCs w:val="21"/>
                <w:lang w:eastAsia="zh-CN" w:bidi="en-US"/>
              </w:rPr>
            </w:pPr>
            <w:r>
              <w:rPr>
                <w:rFonts w:hint="eastAsia" w:ascii="宋体" w:hAnsi="宋体"/>
                <w:kern w:val="0"/>
                <w:szCs w:val="21"/>
                <w:lang w:eastAsia="zh-CN" w:bidi="en-US"/>
              </w:rPr>
              <w:t>6</w:t>
            </w:r>
          </w:p>
        </w:tc>
        <w:tc>
          <w:tcPr>
            <w:tcW w:w="800" w:type="pct"/>
            <w:vMerge w:val="continue"/>
          </w:tcPr>
          <w:p>
            <w:pPr>
              <w:pStyle w:val="2"/>
              <w:rPr>
                <w:rFonts w:ascii="宋体" w:hAnsi="宋体"/>
                <w:kern w:val="0"/>
                <w:szCs w:val="21"/>
                <w:lang w:eastAsia="zh-CN" w:bidi="en-US"/>
              </w:rPr>
            </w:pPr>
          </w:p>
        </w:tc>
        <w:tc>
          <w:tcPr>
            <w:tcW w:w="639" w:type="pct"/>
            <w:vMerge w:val="continue"/>
          </w:tcPr>
          <w:p>
            <w:pPr>
              <w:pStyle w:val="2"/>
              <w:rPr>
                <w:rFonts w:ascii="宋体" w:hAnsi="宋体"/>
                <w:kern w:val="0"/>
                <w:szCs w:val="21"/>
                <w:lang w:eastAsia="zh-CN" w:bidi="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482" w:type="pct"/>
          </w:tcPr>
          <w:p>
            <w:pPr>
              <w:pStyle w:val="2"/>
              <w:ind w:firstLine="0"/>
              <w:jc w:val="center"/>
              <w:rPr>
                <w:rFonts w:ascii="宋体" w:hAnsi="宋体"/>
                <w:kern w:val="0"/>
                <w:szCs w:val="21"/>
                <w:lang w:eastAsia="zh-CN" w:bidi="en-US"/>
              </w:rPr>
            </w:pPr>
            <w:r>
              <w:rPr>
                <w:rFonts w:ascii="宋体" w:hAnsi="宋体"/>
                <w:kern w:val="0"/>
                <w:szCs w:val="21"/>
                <w:lang w:eastAsia="zh-CN" w:bidi="en-US"/>
              </w:rPr>
              <w:t>2.2</w:t>
            </w:r>
          </w:p>
        </w:tc>
        <w:tc>
          <w:tcPr>
            <w:tcW w:w="2440" w:type="pct"/>
          </w:tcPr>
          <w:p>
            <w:pPr>
              <w:pStyle w:val="2"/>
              <w:ind w:firstLine="0"/>
              <w:rPr>
                <w:rFonts w:ascii="宋体" w:hAnsi="宋体"/>
                <w:kern w:val="0"/>
                <w:szCs w:val="21"/>
                <w:lang w:eastAsia="zh-CN" w:bidi="en-US"/>
              </w:rPr>
            </w:pPr>
            <w:r>
              <w:rPr>
                <w:rFonts w:hint="eastAsia" w:ascii="宋体" w:hAnsi="宋体"/>
                <w:kern w:val="0"/>
                <w:szCs w:val="21"/>
                <w:lang w:eastAsia="zh-CN" w:bidi="en-US"/>
              </w:rPr>
              <w:t>绞线的技术参数及说明书</w:t>
            </w:r>
          </w:p>
        </w:tc>
        <w:tc>
          <w:tcPr>
            <w:tcW w:w="639" w:type="pct"/>
            <w:vAlign w:val="center"/>
          </w:tcPr>
          <w:p>
            <w:pPr>
              <w:pStyle w:val="2"/>
              <w:ind w:firstLine="0"/>
              <w:jc w:val="center"/>
              <w:rPr>
                <w:rFonts w:ascii="宋体" w:hAnsi="宋体"/>
                <w:kern w:val="0"/>
                <w:szCs w:val="21"/>
                <w:lang w:eastAsia="zh-CN" w:bidi="en-US"/>
              </w:rPr>
            </w:pPr>
            <w:r>
              <w:rPr>
                <w:rFonts w:hint="eastAsia" w:ascii="宋体" w:hAnsi="宋体"/>
                <w:kern w:val="0"/>
                <w:szCs w:val="21"/>
                <w:lang w:eastAsia="zh-CN" w:bidi="en-US"/>
              </w:rPr>
              <w:t>6</w:t>
            </w:r>
          </w:p>
        </w:tc>
        <w:tc>
          <w:tcPr>
            <w:tcW w:w="800" w:type="pct"/>
            <w:vMerge w:val="continue"/>
          </w:tcPr>
          <w:p>
            <w:pPr>
              <w:pStyle w:val="2"/>
              <w:rPr>
                <w:rFonts w:ascii="宋体" w:hAnsi="宋体"/>
                <w:kern w:val="0"/>
                <w:szCs w:val="21"/>
                <w:lang w:eastAsia="zh-CN" w:bidi="en-US"/>
              </w:rPr>
            </w:pPr>
          </w:p>
        </w:tc>
        <w:tc>
          <w:tcPr>
            <w:tcW w:w="639" w:type="pct"/>
            <w:vMerge w:val="continue"/>
          </w:tcPr>
          <w:p>
            <w:pPr>
              <w:pStyle w:val="2"/>
              <w:rPr>
                <w:rFonts w:ascii="宋体" w:hAnsi="宋体"/>
                <w:kern w:val="0"/>
                <w:szCs w:val="21"/>
                <w:lang w:eastAsia="zh-CN" w:bidi="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482" w:type="pct"/>
          </w:tcPr>
          <w:p>
            <w:pPr>
              <w:pStyle w:val="2"/>
              <w:ind w:firstLine="0"/>
              <w:jc w:val="center"/>
              <w:rPr>
                <w:rFonts w:ascii="宋体" w:hAnsi="宋体"/>
                <w:kern w:val="0"/>
                <w:szCs w:val="21"/>
                <w:lang w:eastAsia="zh-CN" w:bidi="en-US"/>
              </w:rPr>
            </w:pPr>
            <w:r>
              <w:rPr>
                <w:rFonts w:ascii="宋体" w:hAnsi="宋体"/>
                <w:kern w:val="0"/>
                <w:szCs w:val="21"/>
                <w:lang w:eastAsia="zh-CN" w:bidi="en-US"/>
              </w:rPr>
              <w:t>3</w:t>
            </w:r>
          </w:p>
        </w:tc>
        <w:tc>
          <w:tcPr>
            <w:tcW w:w="2440" w:type="pct"/>
          </w:tcPr>
          <w:p>
            <w:pPr>
              <w:pStyle w:val="2"/>
              <w:ind w:firstLine="0"/>
              <w:rPr>
                <w:rFonts w:ascii="宋体" w:hAnsi="宋体"/>
                <w:kern w:val="0"/>
                <w:szCs w:val="21"/>
                <w:lang w:eastAsia="zh-CN" w:bidi="en-US"/>
              </w:rPr>
            </w:pPr>
            <w:r>
              <w:rPr>
                <w:rFonts w:hint="eastAsia" w:ascii="宋体" w:hAnsi="宋体"/>
                <w:kern w:val="0"/>
                <w:szCs w:val="21"/>
                <w:lang w:eastAsia="zh-CN" w:bidi="en-US"/>
              </w:rPr>
              <w:t>型式试验报告及出厂试验报告</w:t>
            </w:r>
          </w:p>
        </w:tc>
        <w:tc>
          <w:tcPr>
            <w:tcW w:w="639" w:type="pct"/>
            <w:vAlign w:val="center"/>
          </w:tcPr>
          <w:p>
            <w:pPr>
              <w:pStyle w:val="2"/>
              <w:ind w:firstLine="0"/>
              <w:jc w:val="center"/>
              <w:rPr>
                <w:rFonts w:ascii="宋体" w:hAnsi="宋体"/>
                <w:kern w:val="0"/>
                <w:szCs w:val="21"/>
                <w:lang w:eastAsia="zh-CN" w:bidi="en-US"/>
              </w:rPr>
            </w:pPr>
          </w:p>
        </w:tc>
        <w:tc>
          <w:tcPr>
            <w:tcW w:w="800" w:type="pct"/>
            <w:vMerge w:val="continue"/>
          </w:tcPr>
          <w:p>
            <w:pPr>
              <w:pStyle w:val="2"/>
              <w:rPr>
                <w:rFonts w:ascii="宋体" w:hAnsi="宋体"/>
                <w:kern w:val="0"/>
                <w:szCs w:val="21"/>
                <w:lang w:eastAsia="zh-CN" w:bidi="en-US"/>
              </w:rPr>
            </w:pPr>
          </w:p>
        </w:tc>
        <w:tc>
          <w:tcPr>
            <w:tcW w:w="639" w:type="pct"/>
            <w:vMerge w:val="continue"/>
          </w:tcPr>
          <w:p>
            <w:pPr>
              <w:pStyle w:val="2"/>
              <w:rPr>
                <w:rFonts w:ascii="宋体" w:hAnsi="宋体"/>
                <w:kern w:val="0"/>
                <w:szCs w:val="21"/>
                <w:lang w:eastAsia="zh-CN" w:bidi="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482" w:type="pct"/>
          </w:tcPr>
          <w:p>
            <w:pPr>
              <w:pStyle w:val="2"/>
              <w:ind w:firstLine="0"/>
              <w:jc w:val="center"/>
              <w:rPr>
                <w:rFonts w:ascii="宋体" w:hAnsi="宋体"/>
                <w:kern w:val="0"/>
                <w:szCs w:val="21"/>
                <w:lang w:eastAsia="zh-CN" w:bidi="en-US"/>
              </w:rPr>
            </w:pPr>
            <w:r>
              <w:rPr>
                <w:rFonts w:ascii="宋体" w:hAnsi="宋体"/>
                <w:kern w:val="0"/>
                <w:szCs w:val="21"/>
                <w:lang w:eastAsia="zh-CN" w:bidi="en-US"/>
              </w:rPr>
              <w:t>3.1</w:t>
            </w:r>
          </w:p>
        </w:tc>
        <w:tc>
          <w:tcPr>
            <w:tcW w:w="2440" w:type="pct"/>
          </w:tcPr>
          <w:p>
            <w:pPr>
              <w:pStyle w:val="2"/>
              <w:ind w:firstLine="0"/>
              <w:rPr>
                <w:rFonts w:ascii="宋体" w:hAnsi="宋体"/>
                <w:kern w:val="0"/>
                <w:szCs w:val="21"/>
                <w:lang w:eastAsia="zh-CN" w:bidi="en-US"/>
              </w:rPr>
            </w:pPr>
            <w:r>
              <w:rPr>
                <w:rFonts w:hint="eastAsia" w:ascii="宋体" w:hAnsi="宋体"/>
                <w:kern w:val="0"/>
                <w:szCs w:val="21"/>
                <w:lang w:eastAsia="zh-CN" w:bidi="en-US"/>
              </w:rPr>
              <w:t>单丝及绞线检验报告</w:t>
            </w:r>
          </w:p>
        </w:tc>
        <w:tc>
          <w:tcPr>
            <w:tcW w:w="639" w:type="pct"/>
            <w:vAlign w:val="center"/>
          </w:tcPr>
          <w:p>
            <w:pPr>
              <w:pStyle w:val="2"/>
              <w:ind w:firstLine="0"/>
              <w:jc w:val="center"/>
              <w:rPr>
                <w:rFonts w:ascii="宋体" w:hAnsi="宋体"/>
                <w:kern w:val="0"/>
                <w:szCs w:val="21"/>
                <w:lang w:eastAsia="zh-CN" w:bidi="en-US"/>
              </w:rPr>
            </w:pPr>
            <w:r>
              <w:rPr>
                <w:rFonts w:hint="eastAsia" w:ascii="宋体" w:hAnsi="宋体"/>
                <w:kern w:val="0"/>
                <w:szCs w:val="21"/>
                <w:lang w:eastAsia="zh-CN" w:bidi="en-US"/>
              </w:rPr>
              <w:t>6</w:t>
            </w:r>
          </w:p>
        </w:tc>
        <w:tc>
          <w:tcPr>
            <w:tcW w:w="800" w:type="pct"/>
            <w:vMerge w:val="continue"/>
          </w:tcPr>
          <w:p>
            <w:pPr>
              <w:pStyle w:val="2"/>
              <w:rPr>
                <w:rFonts w:ascii="宋体" w:hAnsi="宋体"/>
                <w:kern w:val="0"/>
                <w:szCs w:val="21"/>
                <w:lang w:eastAsia="zh-CN" w:bidi="en-US"/>
              </w:rPr>
            </w:pPr>
          </w:p>
        </w:tc>
        <w:tc>
          <w:tcPr>
            <w:tcW w:w="639" w:type="pct"/>
            <w:vMerge w:val="continue"/>
          </w:tcPr>
          <w:p>
            <w:pPr>
              <w:pStyle w:val="2"/>
              <w:rPr>
                <w:rFonts w:ascii="宋体" w:hAnsi="宋体"/>
                <w:kern w:val="0"/>
                <w:szCs w:val="21"/>
                <w:lang w:eastAsia="zh-CN" w:bidi="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55" w:hRule="atLeast"/>
          <w:jc w:val="center"/>
        </w:trPr>
        <w:tc>
          <w:tcPr>
            <w:tcW w:w="482" w:type="pct"/>
          </w:tcPr>
          <w:p>
            <w:pPr>
              <w:pStyle w:val="2"/>
              <w:ind w:firstLine="0"/>
              <w:jc w:val="center"/>
              <w:rPr>
                <w:rFonts w:ascii="宋体" w:hAnsi="宋体"/>
                <w:kern w:val="0"/>
                <w:szCs w:val="21"/>
                <w:lang w:eastAsia="zh-CN" w:bidi="en-US"/>
              </w:rPr>
            </w:pPr>
            <w:r>
              <w:rPr>
                <w:rFonts w:ascii="宋体" w:hAnsi="宋体"/>
                <w:kern w:val="0"/>
                <w:szCs w:val="21"/>
                <w:lang w:eastAsia="zh-CN" w:bidi="en-US"/>
              </w:rPr>
              <w:t>3.2</w:t>
            </w:r>
          </w:p>
        </w:tc>
        <w:tc>
          <w:tcPr>
            <w:tcW w:w="2440" w:type="pct"/>
          </w:tcPr>
          <w:p>
            <w:pPr>
              <w:pStyle w:val="2"/>
              <w:ind w:firstLine="0"/>
              <w:rPr>
                <w:rFonts w:ascii="宋体" w:hAnsi="宋体"/>
                <w:kern w:val="0"/>
                <w:szCs w:val="21"/>
                <w:lang w:eastAsia="zh-CN" w:bidi="en-US"/>
              </w:rPr>
            </w:pPr>
            <w:r>
              <w:rPr>
                <w:rFonts w:hint="eastAsia" w:ascii="宋体" w:hAnsi="宋体"/>
                <w:kern w:val="0"/>
                <w:szCs w:val="21"/>
                <w:lang w:eastAsia="zh-CN" w:bidi="en-US"/>
              </w:rPr>
              <w:t>绞线型式试验报告(含：综合拉断力、弹性模量、线膨胀系数、应力</w:t>
            </w:r>
            <w:r>
              <w:rPr>
                <w:rFonts w:ascii="宋体" w:hAnsi="宋体"/>
                <w:kern w:val="0"/>
                <w:szCs w:val="21"/>
                <w:lang w:eastAsia="zh-CN" w:bidi="en-US"/>
              </w:rPr>
              <w:t>-</w:t>
            </w:r>
            <w:r>
              <w:rPr>
                <w:rFonts w:hint="eastAsia" w:ascii="宋体" w:hAnsi="宋体"/>
                <w:kern w:val="0"/>
                <w:szCs w:val="21"/>
                <w:lang w:eastAsia="zh-CN" w:bidi="en-US"/>
              </w:rPr>
              <w:t>应变、疲劳性能、蠕变特性、直流电阻、载流量、电晕及无线电干扰试验)</w:t>
            </w:r>
          </w:p>
        </w:tc>
        <w:tc>
          <w:tcPr>
            <w:tcW w:w="639" w:type="pct"/>
            <w:vAlign w:val="center"/>
          </w:tcPr>
          <w:p>
            <w:pPr>
              <w:pStyle w:val="2"/>
              <w:ind w:firstLine="0"/>
              <w:jc w:val="center"/>
              <w:rPr>
                <w:rFonts w:ascii="宋体" w:hAnsi="宋体"/>
                <w:kern w:val="0"/>
                <w:szCs w:val="21"/>
                <w:lang w:eastAsia="zh-CN" w:bidi="en-US"/>
              </w:rPr>
            </w:pPr>
            <w:r>
              <w:rPr>
                <w:rFonts w:hint="eastAsia" w:ascii="宋体" w:hAnsi="宋体"/>
                <w:kern w:val="0"/>
                <w:szCs w:val="21"/>
                <w:lang w:eastAsia="zh-CN" w:bidi="en-US"/>
              </w:rPr>
              <w:t>6</w:t>
            </w:r>
          </w:p>
        </w:tc>
        <w:tc>
          <w:tcPr>
            <w:tcW w:w="800" w:type="pct"/>
            <w:vMerge w:val="continue"/>
          </w:tcPr>
          <w:p>
            <w:pPr>
              <w:pStyle w:val="2"/>
              <w:rPr>
                <w:rFonts w:ascii="宋体" w:hAnsi="宋体"/>
                <w:kern w:val="0"/>
                <w:szCs w:val="21"/>
                <w:lang w:eastAsia="zh-CN" w:bidi="en-US"/>
              </w:rPr>
            </w:pPr>
          </w:p>
        </w:tc>
        <w:tc>
          <w:tcPr>
            <w:tcW w:w="639" w:type="pct"/>
            <w:vMerge w:val="continue"/>
          </w:tcPr>
          <w:p>
            <w:pPr>
              <w:pStyle w:val="2"/>
              <w:rPr>
                <w:rFonts w:ascii="宋体" w:hAnsi="宋体"/>
                <w:kern w:val="0"/>
                <w:szCs w:val="21"/>
                <w:lang w:eastAsia="zh-CN" w:bidi="en-US"/>
              </w:rPr>
            </w:pPr>
          </w:p>
        </w:tc>
      </w:tr>
    </w:tbl>
    <w:p>
      <w:pPr>
        <w:numPr>
          <w:ilvl w:val="1"/>
          <w:numId w:val="6"/>
        </w:numPr>
        <w:tabs>
          <w:tab w:val="left" w:pos="993"/>
        </w:tabs>
        <w:adjustRightInd w:val="0"/>
        <w:snapToGrid w:val="0"/>
        <w:spacing w:before="100" w:beforeAutospacing="1" w:line="360" w:lineRule="auto"/>
        <w:ind w:left="992" w:hanging="601"/>
        <w:rPr>
          <w:rFonts w:ascii="宋体" w:hAnsi="宋体"/>
          <w:b/>
        </w:rPr>
      </w:pPr>
      <w:r>
        <w:rPr>
          <w:rFonts w:hint="eastAsia" w:ascii="宋体" w:hAnsi="宋体"/>
          <w:b/>
        </w:rPr>
        <w:t>设计联络会</w:t>
      </w:r>
    </w:p>
    <w:p>
      <w:pPr>
        <w:adjustRightInd w:val="0"/>
        <w:snapToGrid w:val="0"/>
        <w:spacing w:line="360" w:lineRule="auto"/>
        <w:ind w:firstLine="480" w:firstLineChars="200"/>
        <w:rPr>
          <w:rFonts w:ascii="宋体" w:hAnsi="宋体"/>
          <w:lang w:eastAsia="zh-CN"/>
        </w:rPr>
      </w:pPr>
      <w:r>
        <w:rPr>
          <w:rFonts w:hint="eastAsia" w:ascii="宋体" w:hAnsi="宋体"/>
          <w:lang w:eastAsia="zh-CN"/>
        </w:rPr>
        <w:t>由投标方负责设计联络会费用，由南方电网公司、建设单位、设计单位、测试单位协商确定。</w:t>
      </w:r>
    </w:p>
    <w:p>
      <w:pPr>
        <w:adjustRightInd w:val="0"/>
        <w:snapToGrid w:val="0"/>
        <w:spacing w:line="360" w:lineRule="auto"/>
        <w:ind w:firstLine="480" w:firstLineChars="200"/>
        <w:rPr>
          <w:rFonts w:ascii="宋体" w:hAnsi="宋体"/>
        </w:rPr>
      </w:pPr>
      <w:r>
        <w:rPr>
          <w:rFonts w:hint="eastAsia" w:ascii="宋体" w:hAnsi="宋体"/>
        </w:rPr>
        <w:t>设计联络会议内容为</w:t>
      </w:r>
      <w:r>
        <w:rPr>
          <w:rFonts w:ascii="宋体" w:hAnsi="宋体"/>
        </w:rPr>
        <w:t>：</w:t>
      </w:r>
    </w:p>
    <w:p>
      <w:pPr>
        <w:numPr>
          <w:ilvl w:val="0"/>
          <w:numId w:val="7"/>
        </w:numPr>
        <w:adjustRightInd w:val="0"/>
        <w:snapToGrid w:val="0"/>
        <w:spacing w:line="360" w:lineRule="auto"/>
        <w:ind w:firstLine="567"/>
        <w:rPr>
          <w:rFonts w:ascii="宋体" w:hAnsi="宋体"/>
          <w:lang w:eastAsia="zh-CN"/>
        </w:rPr>
      </w:pPr>
      <w:r>
        <w:rPr>
          <w:rFonts w:hint="eastAsia" w:ascii="宋体" w:hAnsi="宋体"/>
          <w:lang w:eastAsia="zh-CN"/>
        </w:rPr>
        <w:t>会议将讨论投标方提供的详细设计计划和进度表；</w:t>
      </w:r>
    </w:p>
    <w:p>
      <w:pPr>
        <w:numPr>
          <w:ilvl w:val="0"/>
          <w:numId w:val="7"/>
        </w:numPr>
        <w:adjustRightInd w:val="0"/>
        <w:snapToGrid w:val="0"/>
        <w:spacing w:line="360" w:lineRule="auto"/>
        <w:ind w:firstLine="567"/>
        <w:rPr>
          <w:rFonts w:ascii="宋体" w:hAnsi="宋体"/>
          <w:lang w:eastAsia="zh-CN"/>
        </w:rPr>
      </w:pPr>
      <w:r>
        <w:rPr>
          <w:rFonts w:hint="eastAsia" w:ascii="宋体" w:hAnsi="宋体"/>
          <w:lang w:eastAsia="zh-CN"/>
        </w:rPr>
        <w:t>双方将讨论和澄清合同文件中的技术条款和细节；</w:t>
      </w:r>
    </w:p>
    <w:p>
      <w:pPr>
        <w:numPr>
          <w:ilvl w:val="0"/>
          <w:numId w:val="7"/>
        </w:numPr>
        <w:adjustRightInd w:val="0"/>
        <w:snapToGrid w:val="0"/>
        <w:spacing w:line="360" w:lineRule="auto"/>
        <w:ind w:firstLine="567"/>
        <w:rPr>
          <w:rFonts w:ascii="宋体" w:hAnsi="宋体"/>
          <w:lang w:eastAsia="zh-CN"/>
        </w:rPr>
      </w:pPr>
      <w:r>
        <w:rPr>
          <w:rFonts w:hint="eastAsia" w:ascii="宋体" w:hAnsi="宋体"/>
          <w:lang w:eastAsia="zh-CN"/>
        </w:rPr>
        <w:t>讨论工厂验收（FAT）计划；</w:t>
      </w:r>
    </w:p>
    <w:p>
      <w:pPr>
        <w:numPr>
          <w:ilvl w:val="0"/>
          <w:numId w:val="7"/>
        </w:numPr>
        <w:adjustRightInd w:val="0"/>
        <w:snapToGrid w:val="0"/>
        <w:spacing w:line="360" w:lineRule="auto"/>
        <w:ind w:firstLine="567"/>
        <w:rPr>
          <w:rFonts w:ascii="宋体" w:hAnsi="宋体"/>
          <w:lang w:eastAsia="zh-CN"/>
        </w:rPr>
      </w:pPr>
      <w:r>
        <w:rPr>
          <w:rFonts w:hint="eastAsia" w:ascii="宋体" w:hAnsi="宋体"/>
          <w:lang w:eastAsia="zh-CN"/>
        </w:rPr>
        <w:t>讨论现场安装计划要求；</w:t>
      </w:r>
    </w:p>
    <w:p>
      <w:pPr>
        <w:numPr>
          <w:ilvl w:val="0"/>
          <w:numId w:val="7"/>
        </w:numPr>
        <w:adjustRightInd w:val="0"/>
        <w:snapToGrid w:val="0"/>
        <w:spacing w:line="360" w:lineRule="auto"/>
        <w:ind w:firstLine="566" w:firstLineChars="236"/>
        <w:rPr>
          <w:rFonts w:ascii="宋体" w:hAnsi="宋体"/>
          <w:lang w:eastAsia="zh-CN"/>
        </w:rPr>
      </w:pPr>
      <w:r>
        <w:rPr>
          <w:rFonts w:hint="eastAsia" w:ascii="宋体" w:hAnsi="宋体"/>
          <w:lang w:eastAsia="zh-CN"/>
        </w:rPr>
        <w:t>讨论现场验收（SAT）计划。</w:t>
      </w:r>
    </w:p>
    <w:p>
      <w:pPr>
        <w:numPr>
          <w:ilvl w:val="0"/>
          <w:numId w:val="1"/>
        </w:numPr>
        <w:adjustRightInd w:val="0"/>
        <w:snapToGrid w:val="0"/>
        <w:spacing w:line="360" w:lineRule="auto"/>
        <w:textAlignment w:val="baseline"/>
        <w:outlineLvl w:val="0"/>
        <w:rPr>
          <w:rFonts w:ascii="宋体" w:hAnsi="宋体"/>
          <w:b/>
        </w:rPr>
      </w:pPr>
      <w:bookmarkStart w:id="51" w:name="_Toc96010211"/>
      <w:bookmarkStart w:id="52" w:name="_Toc346270641"/>
      <w:r>
        <w:rPr>
          <w:rFonts w:ascii="宋体" w:hAnsi="宋体"/>
          <w:b/>
        </w:rPr>
        <w:t>订货范围</w:t>
      </w:r>
      <w:bookmarkEnd w:id="51"/>
      <w:bookmarkEnd w:id="52"/>
    </w:p>
    <w:p>
      <w:pPr>
        <w:tabs>
          <w:tab w:val="left" w:pos="1440"/>
          <w:tab w:val="left" w:pos="3960"/>
        </w:tabs>
        <w:adjustRightInd w:val="0"/>
        <w:snapToGrid w:val="0"/>
        <w:spacing w:line="360" w:lineRule="auto"/>
        <w:ind w:firstLine="480" w:firstLineChars="200"/>
        <w:rPr>
          <w:rFonts w:ascii="宋体" w:hAnsi="宋体"/>
          <w:lang w:eastAsia="zh-CN"/>
        </w:rPr>
      </w:pPr>
      <w:r>
        <w:rPr>
          <w:rFonts w:ascii="宋体" w:hAnsi="宋体"/>
          <w:lang w:eastAsia="zh-CN"/>
        </w:rPr>
        <w:t>投标方应确保供货范围完整，以能满足用户安装、运行要求为原则，在技术规范中涉及的供货要求也作为本供货范围的补充，若在安装、调试、运行中发现缺项（属投标方供货范围）由投标方补充。</w:t>
      </w:r>
    </w:p>
    <w:p>
      <w:pPr>
        <w:ind w:firstLine="0"/>
        <w:outlineLvl w:val="0"/>
        <w:rPr>
          <w:rFonts w:ascii="宋体" w:hAnsi="宋体"/>
          <w:sz w:val="21"/>
          <w:szCs w:val="21"/>
          <w:lang w:eastAsia="zh-CN"/>
        </w:rPr>
      </w:pPr>
      <w:bookmarkStart w:id="53" w:name="_Toc346270642"/>
      <w:bookmarkStart w:id="54" w:name="_Toc5627316"/>
      <w:bookmarkStart w:id="55" w:name="_Toc187218714"/>
    </w:p>
    <w:bookmarkEnd w:id="53"/>
    <w:bookmarkEnd w:id="54"/>
    <w:bookmarkEnd w:id="55"/>
    <w:p>
      <w:pPr>
        <w:pStyle w:val="11"/>
        <w:adjustRightInd w:val="0"/>
        <w:snapToGrid w:val="0"/>
        <w:spacing w:line="480" w:lineRule="atLeast"/>
        <w:ind w:firstLine="480"/>
        <w:rPr>
          <w:rFonts w:ascii="宋体" w:hAnsi="宋体" w:eastAsia="宋体"/>
          <w:sz w:val="24"/>
          <w:szCs w:val="24"/>
          <w:lang w:eastAsia="zh-CN"/>
        </w:rPr>
      </w:pPr>
      <w:r>
        <w:rPr>
          <w:rFonts w:hint="eastAsia" w:ascii="宋体" w:hAnsi="宋体" w:eastAsia="宋体"/>
          <w:sz w:val="24"/>
          <w:szCs w:val="24"/>
          <w:lang w:eastAsia="zh-CN"/>
        </w:rPr>
        <w:t>投标方应认真逐项填写所供设备技术参数和性能要求响应表中“投标方保证值”栏，不能空格，也不能以“响应”两字代替，不允许改动本表内 “投标方保证值”栏之外的数值。如有差异，请填技术差异表。</w:t>
      </w:r>
    </w:p>
    <w:p>
      <w:pPr>
        <w:adjustRightInd w:val="0"/>
        <w:snapToGrid w:val="0"/>
        <w:spacing w:line="480" w:lineRule="atLeast"/>
        <w:ind w:firstLine="0"/>
        <w:jc w:val="center"/>
        <w:rPr>
          <w:rFonts w:ascii="宋体" w:hAnsi="宋体"/>
          <w:lang w:eastAsia="zh-CN"/>
        </w:rPr>
      </w:pPr>
      <w:r>
        <w:rPr>
          <w:rFonts w:hint="eastAsia" w:ascii="宋体" w:hAnsi="宋体"/>
          <w:lang w:eastAsia="zh-CN"/>
        </w:rPr>
        <w:t>附表一  OPGW-120技术参数和性能响应表</w:t>
      </w:r>
    </w:p>
    <w:p>
      <w:pPr>
        <w:adjustRightInd w:val="0"/>
        <w:snapToGrid w:val="0"/>
        <w:spacing w:line="480" w:lineRule="atLeast"/>
        <w:ind w:firstLine="0"/>
        <w:rPr>
          <w:rFonts w:ascii="宋体" w:hAnsi="宋体"/>
          <w:sz w:val="21"/>
          <w:szCs w:val="21"/>
          <w:lang w:eastAsia="zh-CN"/>
        </w:rPr>
      </w:pPr>
    </w:p>
    <w:tbl>
      <w:tblPr>
        <w:tblStyle w:val="7"/>
        <w:tblW w:w="8535" w:type="dxa"/>
        <w:tblInd w:w="100" w:type="dxa"/>
        <w:tblLayout w:type="autofit"/>
        <w:tblCellMar>
          <w:top w:w="0" w:type="dxa"/>
          <w:left w:w="108" w:type="dxa"/>
          <w:bottom w:w="0" w:type="dxa"/>
          <w:right w:w="108" w:type="dxa"/>
        </w:tblCellMar>
      </w:tblPr>
      <w:tblGrid>
        <w:gridCol w:w="2573"/>
        <w:gridCol w:w="1353"/>
        <w:gridCol w:w="1391"/>
        <w:gridCol w:w="1903"/>
        <w:gridCol w:w="2154"/>
      </w:tblGrid>
      <w:tr>
        <w:tblPrEx>
          <w:tblCellMar>
            <w:top w:w="0" w:type="dxa"/>
            <w:left w:w="108" w:type="dxa"/>
            <w:bottom w:w="0" w:type="dxa"/>
            <w:right w:w="108" w:type="dxa"/>
          </w:tblCellMar>
        </w:tblPrEx>
        <w:trPr>
          <w:trHeight w:val="2440" w:hRule="atLeast"/>
        </w:trPr>
        <w:tc>
          <w:tcPr>
            <w:tcW w:w="8535" w:type="dxa"/>
            <w:gridSpan w:val="5"/>
            <w:tcBorders>
              <w:top w:val="single" w:color="000000" w:sz="4" w:space="0"/>
              <w:left w:val="single" w:color="000000" w:sz="4" w:space="0"/>
              <w:bottom w:val="single" w:color="000000" w:sz="4" w:space="0"/>
              <w:right w:val="single" w:color="000000" w:sz="4" w:space="0"/>
            </w:tcBorders>
            <w:shd w:val="clear" w:color="auto" w:fill="auto"/>
            <w:noWrap/>
          </w:tcPr>
          <w:p>
            <w:pPr>
              <w:textAlignment w:val="top"/>
              <w:rPr>
                <w:rFonts w:ascii="宋体" w:hAnsi="宋体" w:cs="宋体"/>
                <w:b/>
                <w:bCs/>
                <w:i/>
                <w:iCs/>
                <w:color w:val="000000"/>
                <w:sz w:val="20"/>
                <w:szCs w:val="20"/>
              </w:rPr>
            </w:pPr>
            <w:r>
              <w:rPr>
                <w:rFonts w:hint="eastAsia" w:ascii="宋体" w:hAnsi="宋体" w:cs="宋体"/>
                <w:b/>
                <w:bCs/>
                <w:i/>
                <w:iCs/>
                <w:color w:val="000000"/>
                <w:sz w:val="20"/>
                <w:szCs w:val="20"/>
                <w:lang w:eastAsia="zh-CN" w:bidi="ar"/>
              </w:rPr>
              <w:t>1、结构参数</w:t>
            </w:r>
            <w:r>
              <w:object>
                <v:shape id="_x0000_i1025" o:spt="75" type="#_x0000_t75" style="height:116.9pt;width:212.45pt;" o:ole="t" filled="t" o:preferrelative="t" stroked="f" coordsize="21600,21600">
                  <v:path/>
                  <v:fill on="t" focussize="0,0"/>
                  <v:stroke on="f" joinstyle="miter"/>
                  <v:imagedata r:id="rId11" o:title=""/>
                  <o:lock v:ext="edit" aspectratio="t"/>
                  <w10:wrap type="none"/>
                  <w10:anchorlock/>
                </v:shape>
                <o:OLEObject Type="Embed" ProgID="AutoCAD.Drawing.23" ShapeID="_x0000_i1025" DrawAspect="Content" ObjectID="_1468075725" r:id="rId10">
                  <o:LockedField>false</o:LockedField>
                </o:OLEObject>
              </w:object>
            </w:r>
          </w:p>
        </w:tc>
      </w:tr>
      <w:tr>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层数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导电率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根数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原材料直径(mm)</w:t>
            </w:r>
          </w:p>
        </w:tc>
      </w:tr>
      <w:tr>
        <w:tblPrEx>
          <w:tblCellMar>
            <w:top w:w="0" w:type="dxa"/>
            <w:left w:w="108" w:type="dxa"/>
            <w:bottom w:w="0" w:type="dxa"/>
            <w:right w:w="108" w:type="dxa"/>
          </w:tblCellMar>
        </w:tblPrEx>
        <w:trPr>
          <w:trHeight w:val="4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AS</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3.20</w:t>
            </w:r>
          </w:p>
        </w:tc>
      </w:tr>
      <w:tr>
        <w:tblPrEx>
          <w:tblCellMar>
            <w:top w:w="0" w:type="dxa"/>
            <w:left w:w="108" w:type="dxa"/>
            <w:bottom w:w="0" w:type="dxa"/>
            <w:right w:w="108" w:type="dxa"/>
          </w:tblCellMar>
        </w:tblPrEx>
        <w:trPr>
          <w:trHeight w:val="285"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第1层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AS</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3.00</w:t>
            </w:r>
          </w:p>
        </w:tc>
      </w:tr>
      <w:tr>
        <w:tblPrEx>
          <w:tblCellMar>
            <w:top w:w="0" w:type="dxa"/>
            <w:left w:w="108" w:type="dxa"/>
            <w:bottom w:w="0" w:type="dxa"/>
            <w:right w:w="108" w:type="dxa"/>
          </w:tblCellMar>
        </w:tblPrEx>
        <w:trPr>
          <w:trHeight w:val="28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SUS</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3.00</w:t>
            </w:r>
          </w:p>
        </w:tc>
      </w:tr>
      <w:tr>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第2层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AS</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3.00</w:t>
            </w:r>
          </w:p>
        </w:tc>
      </w:tr>
      <w:tr>
        <w:tblPrEx>
          <w:tblCellMar>
            <w:top w:w="0" w:type="dxa"/>
            <w:left w:w="108" w:type="dxa"/>
            <w:bottom w:w="0" w:type="dxa"/>
            <w:right w:w="108" w:type="dxa"/>
          </w:tblCellMar>
        </w:tblPrEx>
        <w:trPr>
          <w:trHeight w:val="285"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textAlignment w:val="center"/>
              <w:rPr>
                <w:rFonts w:ascii="宋体" w:hAnsi="宋体" w:cs="宋体"/>
                <w:b/>
                <w:bCs/>
                <w:i/>
                <w:iCs/>
                <w:color w:val="000000"/>
                <w:sz w:val="20"/>
                <w:szCs w:val="20"/>
              </w:rPr>
            </w:pPr>
            <w:r>
              <w:rPr>
                <w:rFonts w:hint="eastAsia" w:ascii="宋体" w:hAnsi="宋体" w:cs="宋体"/>
                <w:b/>
                <w:bCs/>
                <w:i/>
                <w:iCs/>
                <w:color w:val="000000"/>
                <w:sz w:val="20"/>
                <w:szCs w:val="20"/>
                <w:lang w:eastAsia="zh-CN" w:bidi="ar"/>
              </w:rPr>
              <w:t>2、光纤色谱</w:t>
            </w:r>
          </w:p>
        </w:tc>
      </w:tr>
      <w:tr>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l2br w:val="single" w:color="000000" w:sz="4" w:space="0"/>
            </w:tcBorders>
            <w:shd w:val="clear" w:color="auto" w:fill="auto"/>
            <w:noWrap/>
            <w:vAlign w:val="center"/>
          </w:tcPr>
          <w:p>
            <w:pPr>
              <w:textAlignment w:val="center"/>
              <w:rPr>
                <w:rFonts w:ascii="宋体" w:hAnsi="宋体" w:cs="宋体"/>
                <w:color w:val="000000"/>
                <w:sz w:val="16"/>
                <w:szCs w:val="16"/>
              </w:rPr>
            </w:pPr>
            <w:r>
              <w:rPr>
                <w:rFonts w:hint="eastAsia" w:ascii="宋体" w:hAnsi="宋体" w:cs="宋体"/>
                <w:color w:val="000000"/>
                <w:sz w:val="16"/>
                <w:szCs w:val="16"/>
                <w:lang w:eastAsia="zh-CN" w:bidi="ar"/>
              </w:rPr>
              <w:t>序号        色谱</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lang w:eastAsia="zh-CN"/>
              </w:rPr>
            </w:pPr>
            <w:r>
              <w:rPr>
                <w:rFonts w:hint="eastAsia" w:ascii="宋体" w:hAnsi="宋体" w:cs="宋体"/>
                <w:color w:val="000000"/>
                <w:sz w:val="20"/>
                <w:szCs w:val="20"/>
                <w:lang w:eastAsia="zh-CN" w:bidi="ar"/>
              </w:rPr>
              <w:t>蓝、橙、绿、棕、灰、白、红、黑、黄、紫、粉红、青绿</w:t>
            </w:r>
          </w:p>
        </w:tc>
      </w:tr>
      <w:tr>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1~24</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全色谱+全色谱S0</w:t>
            </w:r>
          </w:p>
        </w:tc>
      </w:tr>
      <w:tr>
        <w:tblPrEx>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25~48</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全色谱++全色谱S00</w:t>
            </w:r>
          </w:p>
        </w:tc>
      </w:tr>
      <w:tr>
        <w:tblPrEx>
          <w:tblCellMar>
            <w:top w:w="0" w:type="dxa"/>
            <w:left w:w="108" w:type="dxa"/>
            <w:bottom w:w="0" w:type="dxa"/>
            <w:right w:w="108" w:type="dxa"/>
          </w:tblCellMar>
        </w:tblPrEx>
        <w:trPr>
          <w:trHeight w:val="492" w:hRule="atLeast"/>
        </w:trPr>
        <w:tc>
          <w:tcPr>
            <w:tcW w:w="8535" w:type="dxa"/>
            <w:gridSpan w:val="5"/>
            <w:tcBorders>
              <w:top w:val="single" w:color="000000" w:sz="4" w:space="0"/>
              <w:left w:val="nil"/>
              <w:bottom w:val="nil"/>
              <w:right w:val="nil"/>
            </w:tcBorders>
            <w:shd w:val="clear" w:color="auto" w:fill="auto"/>
            <w:vAlign w:val="center"/>
          </w:tcPr>
          <w:p>
            <w:pPr>
              <w:textAlignment w:val="center"/>
              <w:rPr>
                <w:rFonts w:ascii="宋体" w:hAnsi="宋体" w:cs="宋体"/>
                <w:color w:val="000000"/>
                <w:sz w:val="20"/>
                <w:szCs w:val="20"/>
                <w:lang w:eastAsia="zh-CN"/>
              </w:rPr>
            </w:pPr>
            <w:r>
              <w:rPr>
                <w:rFonts w:hint="eastAsia" w:ascii="宋体" w:hAnsi="宋体" w:cs="宋体"/>
                <w:color w:val="000000"/>
                <w:sz w:val="20"/>
                <w:szCs w:val="20"/>
                <w:lang w:eastAsia="zh-CN" w:bidi="ar"/>
              </w:rPr>
              <w:t>注：12芯以上黑色用本色，S0:为一环黑色色环，S00:为两环黑色色环，以此类推，G.652光纤不另外标注</w:t>
            </w:r>
          </w:p>
        </w:tc>
      </w:tr>
      <w:tr>
        <w:tblPrEx>
          <w:tblCellMar>
            <w:top w:w="0" w:type="dxa"/>
            <w:left w:w="108" w:type="dxa"/>
            <w:bottom w:w="0" w:type="dxa"/>
            <w:right w:w="108" w:type="dxa"/>
          </w:tblCellMar>
        </w:tblPrEx>
        <w:trPr>
          <w:trHeight w:val="285" w:hRule="atLeast"/>
        </w:trPr>
        <w:tc>
          <w:tcPr>
            <w:tcW w:w="0" w:type="auto"/>
            <w:tcBorders>
              <w:top w:val="nil"/>
              <w:left w:val="nil"/>
              <w:bottom w:val="nil"/>
              <w:right w:val="nil"/>
            </w:tcBorders>
            <w:shd w:val="clear" w:color="auto" w:fill="auto"/>
            <w:noWrap/>
            <w:vAlign w:val="center"/>
          </w:tcPr>
          <w:p>
            <w:pPr>
              <w:rPr>
                <w:rFonts w:ascii="华文细黑" w:hAnsi="华文细黑" w:eastAsia="华文细黑" w:cs="华文细黑"/>
                <w:color w:val="000000"/>
                <w:szCs w:val="24"/>
                <w:lang w:eastAsia="zh-CN"/>
              </w:rPr>
            </w:pPr>
          </w:p>
        </w:tc>
        <w:tc>
          <w:tcPr>
            <w:tcW w:w="0" w:type="auto"/>
            <w:tcBorders>
              <w:top w:val="nil"/>
              <w:left w:val="nil"/>
              <w:bottom w:val="nil"/>
              <w:right w:val="nil"/>
            </w:tcBorders>
            <w:shd w:val="clear" w:color="auto" w:fill="auto"/>
            <w:noWrap/>
            <w:vAlign w:val="center"/>
          </w:tcPr>
          <w:p>
            <w:pPr>
              <w:rPr>
                <w:rFonts w:ascii="华文细黑" w:hAnsi="华文细黑" w:eastAsia="华文细黑" w:cs="华文细黑"/>
                <w:color w:val="000000"/>
                <w:szCs w:val="24"/>
                <w:lang w:eastAsia="zh-CN"/>
              </w:rPr>
            </w:pPr>
          </w:p>
        </w:tc>
        <w:tc>
          <w:tcPr>
            <w:tcW w:w="0" w:type="auto"/>
            <w:tcBorders>
              <w:top w:val="nil"/>
              <w:left w:val="nil"/>
              <w:bottom w:val="nil"/>
              <w:right w:val="nil"/>
            </w:tcBorders>
            <w:shd w:val="clear" w:color="auto" w:fill="auto"/>
            <w:noWrap/>
            <w:vAlign w:val="center"/>
          </w:tcPr>
          <w:p>
            <w:pPr>
              <w:rPr>
                <w:rFonts w:ascii="华文细黑" w:hAnsi="华文细黑" w:eastAsia="华文细黑" w:cs="华文细黑"/>
                <w:color w:val="000000"/>
                <w:szCs w:val="24"/>
                <w:lang w:eastAsia="zh-CN"/>
              </w:rPr>
            </w:pPr>
          </w:p>
        </w:tc>
        <w:tc>
          <w:tcPr>
            <w:tcW w:w="0" w:type="auto"/>
            <w:tcBorders>
              <w:top w:val="nil"/>
              <w:left w:val="nil"/>
              <w:bottom w:val="nil"/>
              <w:right w:val="nil"/>
            </w:tcBorders>
            <w:shd w:val="clear" w:color="auto" w:fill="auto"/>
            <w:noWrap/>
            <w:vAlign w:val="center"/>
          </w:tcPr>
          <w:p>
            <w:pPr>
              <w:rPr>
                <w:rFonts w:ascii="华文细黑" w:hAnsi="华文细黑" w:eastAsia="华文细黑" w:cs="华文细黑"/>
                <w:color w:val="000000"/>
                <w:szCs w:val="24"/>
                <w:lang w:eastAsia="zh-CN"/>
              </w:rPr>
            </w:pPr>
          </w:p>
        </w:tc>
        <w:tc>
          <w:tcPr>
            <w:tcW w:w="0" w:type="auto"/>
            <w:tcBorders>
              <w:top w:val="nil"/>
              <w:left w:val="nil"/>
              <w:bottom w:val="nil"/>
              <w:right w:val="nil"/>
            </w:tcBorders>
            <w:shd w:val="clear" w:color="auto" w:fill="auto"/>
            <w:noWrap/>
            <w:vAlign w:val="center"/>
          </w:tcPr>
          <w:p>
            <w:pPr>
              <w:rPr>
                <w:rFonts w:ascii="华文细黑" w:hAnsi="华文细黑" w:eastAsia="华文细黑" w:cs="华文细黑"/>
                <w:color w:val="000000"/>
                <w:szCs w:val="24"/>
                <w:lang w:eastAsia="zh-CN"/>
              </w:rPr>
            </w:pPr>
          </w:p>
        </w:tc>
      </w:tr>
      <w:tr>
        <w:tblPrEx>
          <w:tblCellMar>
            <w:top w:w="0" w:type="dxa"/>
            <w:left w:w="108" w:type="dxa"/>
            <w:bottom w:w="0" w:type="dxa"/>
            <w:right w:w="108" w:type="dxa"/>
          </w:tblCellMar>
        </w:tblPrEx>
        <w:trPr>
          <w:trHeight w:val="285"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textAlignment w:val="center"/>
              <w:rPr>
                <w:rFonts w:ascii="宋体" w:hAnsi="宋体" w:cs="宋体"/>
                <w:b/>
                <w:bCs/>
                <w:i/>
                <w:iCs/>
                <w:color w:val="000000"/>
                <w:sz w:val="20"/>
                <w:szCs w:val="20"/>
              </w:rPr>
            </w:pPr>
            <w:r>
              <w:rPr>
                <w:rFonts w:hint="eastAsia" w:ascii="宋体" w:hAnsi="宋体" w:cs="宋体"/>
                <w:b/>
                <w:bCs/>
                <w:i/>
                <w:iCs/>
                <w:color w:val="000000"/>
                <w:sz w:val="20"/>
                <w:szCs w:val="20"/>
                <w:lang w:eastAsia="zh-CN" w:bidi="ar"/>
              </w:rPr>
              <w:t>3、技术参数</w:t>
            </w:r>
          </w:p>
        </w:tc>
      </w:tr>
      <w:tr>
        <w:tblPrEx>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技术参数</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要求值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ind w:firstLine="0"/>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保证值</w:t>
            </w:r>
          </w:p>
        </w:tc>
      </w:tr>
      <w:tr>
        <w:tblPrEx>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textAlignment w:val="center"/>
              <w:rPr>
                <w:rFonts w:ascii="宋体" w:hAnsi="宋体" w:cs="宋体"/>
                <w:color w:val="000000"/>
                <w:sz w:val="20"/>
                <w:szCs w:val="20"/>
              </w:rPr>
            </w:pPr>
            <w:r>
              <w:rPr>
                <w:rFonts w:hint="eastAsia" w:ascii="宋体" w:hAnsi="宋体" w:cs="宋体"/>
                <w:color w:val="000000"/>
                <w:sz w:val="20"/>
                <w:szCs w:val="20"/>
                <w:lang w:eastAsia="zh-CN" w:bidi="ar"/>
              </w:rPr>
              <w:t>OPGW外径D</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 xml:space="preserve">15.20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b/>
                <w:bCs/>
                <w:color w:val="000000"/>
                <w:sz w:val="20"/>
                <w:szCs w:val="20"/>
              </w:rPr>
            </w:pPr>
          </w:p>
        </w:tc>
      </w:tr>
      <w:tr>
        <w:tblPrEx>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textAlignment w:val="center"/>
              <w:rPr>
                <w:rFonts w:ascii="宋体" w:hAnsi="宋体" w:cs="宋体"/>
                <w:color w:val="000000"/>
                <w:sz w:val="20"/>
                <w:szCs w:val="20"/>
              </w:rPr>
            </w:pPr>
            <w:r>
              <w:rPr>
                <w:rFonts w:hint="eastAsia" w:ascii="宋体" w:hAnsi="宋体" w:cs="宋体"/>
                <w:color w:val="000000"/>
                <w:sz w:val="20"/>
                <w:szCs w:val="20"/>
                <w:lang w:eastAsia="zh-CN" w:bidi="ar"/>
              </w:rPr>
              <w:t>最大光纤芯数</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b/>
                <w:bCs/>
                <w:color w:val="000000"/>
                <w:sz w:val="20"/>
                <w:szCs w:val="20"/>
              </w:rPr>
            </w:pPr>
          </w:p>
        </w:tc>
      </w:tr>
      <w:tr>
        <w:tblPrEx>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textAlignment w:val="center"/>
              <w:rPr>
                <w:rFonts w:ascii="宋体" w:hAnsi="宋体" w:cs="宋体"/>
                <w:color w:val="000000"/>
                <w:sz w:val="20"/>
                <w:szCs w:val="20"/>
              </w:rPr>
            </w:pPr>
            <w:r>
              <w:rPr>
                <w:rFonts w:hint="eastAsia" w:ascii="宋体" w:hAnsi="宋体" w:cs="宋体"/>
                <w:color w:val="000000"/>
                <w:sz w:val="20"/>
                <w:szCs w:val="20"/>
                <w:lang w:eastAsia="zh-CN" w:bidi="ar"/>
              </w:rPr>
              <w:t>OPGW单重</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kg/km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≤620.0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b/>
                <w:bCs/>
                <w:color w:val="000000"/>
                <w:sz w:val="20"/>
                <w:szCs w:val="20"/>
              </w:rPr>
            </w:pPr>
          </w:p>
        </w:tc>
      </w:tr>
      <w:tr>
        <w:tblPrEx>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textAlignment w:val="center"/>
              <w:rPr>
                <w:rFonts w:ascii="宋体" w:hAnsi="宋体" w:cs="宋体"/>
                <w:color w:val="000000"/>
                <w:sz w:val="20"/>
                <w:szCs w:val="20"/>
                <w:lang w:eastAsia="zh-CN"/>
              </w:rPr>
            </w:pPr>
            <w:r>
              <w:rPr>
                <w:rFonts w:hint="eastAsia" w:ascii="宋体" w:hAnsi="宋体" w:cs="宋体"/>
                <w:color w:val="000000"/>
                <w:sz w:val="20"/>
                <w:szCs w:val="20"/>
                <w:lang w:eastAsia="zh-CN" w:bidi="ar"/>
              </w:rPr>
              <w:t>拉重比(额定拉断力RTS/单重/9.81)</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km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p>
        </w:tc>
      </w:tr>
      <w:tr>
        <w:tblPrEx>
          <w:tblCellMar>
            <w:top w:w="0" w:type="dxa"/>
            <w:left w:w="108" w:type="dxa"/>
            <w:bottom w:w="0" w:type="dxa"/>
            <w:right w:w="108" w:type="dxa"/>
          </w:tblCellMar>
        </w:tblPrEx>
        <w:trPr>
          <w:trHeight w:val="285" w:hRule="atLeast"/>
        </w:trPr>
        <w:tc>
          <w:tcPr>
            <w:tcW w:w="33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textAlignment w:val="center"/>
              <w:rPr>
                <w:rFonts w:ascii="宋体" w:hAnsi="宋体" w:cs="宋体"/>
                <w:color w:val="000000"/>
                <w:sz w:val="20"/>
                <w:szCs w:val="20"/>
                <w:lang w:eastAsia="zh-CN"/>
              </w:rPr>
            </w:pPr>
            <w:r>
              <w:rPr>
                <w:rFonts w:hint="eastAsia" w:ascii="宋体" w:hAnsi="宋体" w:cs="宋体"/>
                <w:color w:val="000000"/>
                <w:sz w:val="20"/>
                <w:szCs w:val="20"/>
                <w:lang w:eastAsia="zh-CN" w:bidi="ar"/>
              </w:rPr>
              <w:t>OPGW允许年平均运行张力</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kN</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p>
        </w:tc>
      </w:tr>
      <w:tr>
        <w:tblPrEx>
          <w:tblCellMar>
            <w:top w:w="0" w:type="dxa"/>
            <w:left w:w="108" w:type="dxa"/>
            <w:bottom w:w="0" w:type="dxa"/>
            <w:right w:w="108" w:type="dxa"/>
          </w:tblCellMar>
        </w:tblPrEx>
        <w:trPr>
          <w:trHeight w:val="285" w:hRule="atLeast"/>
        </w:trPr>
        <w:tc>
          <w:tcPr>
            <w:tcW w:w="33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textAlignment w:val="center"/>
              <w:rPr>
                <w:rFonts w:ascii="宋体" w:hAnsi="宋体" w:cs="宋体"/>
                <w:color w:val="000000"/>
                <w:sz w:val="20"/>
                <w:szCs w:val="20"/>
                <w:lang w:eastAsia="zh-CN"/>
              </w:rPr>
            </w:pPr>
            <w:r>
              <w:rPr>
                <w:rFonts w:hint="eastAsia" w:ascii="宋体" w:hAnsi="宋体" w:cs="宋体"/>
                <w:color w:val="000000"/>
                <w:sz w:val="20"/>
                <w:szCs w:val="20"/>
                <w:lang w:eastAsia="zh-CN" w:bidi="ar"/>
              </w:rPr>
              <w:t>OPGW允许最大使用张力(短时)</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kN</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p>
        </w:tc>
      </w:tr>
      <w:tr>
        <w:tblPrEx>
          <w:tblCellMar>
            <w:top w:w="0" w:type="dxa"/>
            <w:left w:w="108" w:type="dxa"/>
            <w:bottom w:w="0" w:type="dxa"/>
            <w:right w:w="108" w:type="dxa"/>
          </w:tblCellMar>
        </w:tblPrEx>
        <w:trPr>
          <w:trHeight w:val="285" w:hRule="atLeast"/>
        </w:trPr>
        <w:tc>
          <w:tcPr>
            <w:tcW w:w="33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textAlignment w:val="center"/>
              <w:rPr>
                <w:rFonts w:ascii="宋体" w:hAnsi="宋体" w:cs="宋体"/>
                <w:color w:val="000000"/>
                <w:sz w:val="20"/>
                <w:szCs w:val="20"/>
                <w:lang w:eastAsia="zh-CN"/>
              </w:rPr>
            </w:pPr>
            <w:r>
              <w:rPr>
                <w:rFonts w:hint="eastAsia" w:ascii="宋体" w:hAnsi="宋体" w:cs="宋体"/>
                <w:color w:val="000000"/>
                <w:sz w:val="20"/>
                <w:szCs w:val="20"/>
                <w:lang w:eastAsia="zh-CN" w:bidi="ar"/>
              </w:rPr>
              <w:t>OPGW允许最大使用张力(长期)</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kN</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p>
        </w:tc>
      </w:tr>
      <w:tr>
        <w:tblPrEx>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textAlignment w:val="center"/>
              <w:rPr>
                <w:rFonts w:ascii="宋体" w:hAnsi="宋体" w:cs="宋体"/>
                <w:color w:val="000000"/>
                <w:sz w:val="20"/>
                <w:szCs w:val="20"/>
                <w:lang w:eastAsia="zh-CN"/>
              </w:rPr>
            </w:pPr>
            <w:r>
              <w:rPr>
                <w:rFonts w:hint="eastAsia" w:ascii="宋体" w:hAnsi="宋体" w:cs="宋体"/>
                <w:color w:val="000000"/>
                <w:sz w:val="20"/>
                <w:szCs w:val="20"/>
                <w:lang w:eastAsia="zh-CN" w:bidi="ar"/>
              </w:rPr>
              <w:t>OPGW不接头的制造长度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km/盘</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p>
        </w:tc>
      </w:tr>
      <w:tr>
        <w:tblPrEx>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textAlignment w:val="center"/>
              <w:rPr>
                <w:rFonts w:ascii="宋体" w:hAnsi="宋体" w:cs="宋体"/>
                <w:color w:val="000000"/>
                <w:sz w:val="20"/>
                <w:szCs w:val="20"/>
              </w:rPr>
            </w:pPr>
            <w:r>
              <w:rPr>
                <w:rFonts w:hint="eastAsia" w:ascii="宋体" w:hAnsi="宋体" w:cs="宋体"/>
                <w:color w:val="000000"/>
                <w:sz w:val="20"/>
                <w:szCs w:val="20"/>
                <w:lang w:eastAsia="zh-CN" w:bidi="ar"/>
              </w:rPr>
              <w:t>OPGW结构形式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p>
        </w:tc>
      </w:tr>
      <w:tr>
        <w:tblPrEx>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textAlignment w:val="center"/>
              <w:rPr>
                <w:rFonts w:ascii="宋体" w:hAnsi="宋体" w:cs="宋体"/>
                <w:color w:val="000000"/>
                <w:sz w:val="20"/>
                <w:szCs w:val="20"/>
              </w:rPr>
            </w:pPr>
            <w:r>
              <w:rPr>
                <w:rFonts w:hint="eastAsia" w:ascii="宋体" w:hAnsi="宋体" w:cs="宋体"/>
                <w:color w:val="000000"/>
                <w:sz w:val="20"/>
                <w:szCs w:val="20"/>
                <w:lang w:eastAsia="zh-CN" w:bidi="ar"/>
              </w:rPr>
              <w:t>短路电流容量(I2t)(40℃～300℃)</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kA2·s</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≥156.7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p>
        </w:tc>
      </w:tr>
      <w:tr>
        <w:tblPrEx>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textAlignment w:val="center"/>
              <w:rPr>
                <w:rFonts w:ascii="宋体" w:hAnsi="宋体" w:cs="宋体"/>
                <w:color w:val="000000"/>
                <w:sz w:val="20"/>
                <w:szCs w:val="20"/>
                <w:lang w:eastAsia="zh-CN"/>
              </w:rPr>
            </w:pPr>
            <w:r>
              <w:rPr>
                <w:rFonts w:hint="eastAsia" w:ascii="宋体" w:hAnsi="宋体" w:cs="宋体"/>
                <w:color w:val="000000"/>
                <w:sz w:val="20"/>
                <w:szCs w:val="20"/>
                <w:lang w:eastAsia="zh-CN" w:bidi="ar"/>
              </w:rPr>
              <w:t>允许短路电流I(0.25s，40℃～300℃)</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kA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p>
        </w:tc>
      </w:tr>
      <w:tr>
        <w:tblPrEx>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textAlignment w:val="center"/>
              <w:rPr>
                <w:rFonts w:ascii="宋体" w:hAnsi="宋体" w:cs="宋体"/>
                <w:color w:val="000000"/>
                <w:sz w:val="20"/>
                <w:szCs w:val="20"/>
              </w:rPr>
            </w:pPr>
            <w:r>
              <w:rPr>
                <w:rFonts w:hint="eastAsia" w:ascii="宋体" w:hAnsi="宋体" w:cs="宋体"/>
                <w:color w:val="000000"/>
                <w:sz w:val="20"/>
                <w:szCs w:val="20"/>
                <w:lang w:eastAsia="zh-CN" w:bidi="ar"/>
              </w:rPr>
              <w:t>承载截面积</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mm2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121.14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p>
        </w:tc>
      </w:tr>
      <w:tr>
        <w:tblPrEx>
          <w:tblCellMar>
            <w:top w:w="0" w:type="dxa"/>
            <w:left w:w="108" w:type="dxa"/>
            <w:bottom w:w="0" w:type="dxa"/>
            <w:right w:w="108" w:type="dxa"/>
          </w:tblCellMar>
        </w:tblPrEx>
        <w:trPr>
          <w:trHeight w:val="285" w:hRule="atLeast"/>
        </w:trPr>
        <w:tc>
          <w:tcPr>
            <w:tcW w:w="33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textAlignment w:val="center"/>
              <w:rPr>
                <w:rFonts w:ascii="宋体" w:hAnsi="宋体" w:cs="宋体"/>
                <w:color w:val="000000"/>
                <w:sz w:val="20"/>
                <w:szCs w:val="20"/>
              </w:rPr>
            </w:pPr>
            <w:r>
              <w:rPr>
                <w:rFonts w:hint="eastAsia" w:ascii="宋体" w:hAnsi="宋体" w:cs="宋体"/>
                <w:color w:val="000000"/>
                <w:sz w:val="20"/>
                <w:szCs w:val="20"/>
                <w:lang w:eastAsia="zh-CN" w:bidi="ar"/>
              </w:rPr>
              <w:t>额定拉断力(RTS)</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kN</w:t>
            </w:r>
          </w:p>
        </w:tc>
        <w:tc>
          <w:tcPr>
            <w:tcW w:w="21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≥74.00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b/>
                <w:bCs/>
                <w:color w:val="000000"/>
                <w:sz w:val="20"/>
                <w:szCs w:val="20"/>
              </w:rPr>
            </w:pPr>
          </w:p>
        </w:tc>
      </w:tr>
      <w:tr>
        <w:tblPrEx>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textAlignment w:val="center"/>
              <w:rPr>
                <w:rFonts w:ascii="宋体" w:hAnsi="宋体" w:cs="宋体"/>
                <w:color w:val="000000"/>
                <w:sz w:val="20"/>
                <w:szCs w:val="20"/>
              </w:rPr>
            </w:pPr>
            <w:r>
              <w:rPr>
                <w:rFonts w:hint="eastAsia" w:ascii="宋体" w:hAnsi="宋体" w:cs="宋体"/>
                <w:color w:val="000000"/>
                <w:sz w:val="20"/>
                <w:szCs w:val="20"/>
                <w:lang w:eastAsia="zh-CN" w:bidi="ar"/>
              </w:rPr>
              <w:t>弹性模量</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kN/mm2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 xml:space="preserve">109.0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p>
        </w:tc>
      </w:tr>
      <w:tr>
        <w:tblPrEx>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textAlignment w:val="center"/>
              <w:rPr>
                <w:rFonts w:ascii="宋体" w:hAnsi="宋体" w:cs="宋体"/>
                <w:color w:val="000000"/>
                <w:sz w:val="20"/>
                <w:szCs w:val="20"/>
              </w:rPr>
            </w:pPr>
            <w:r>
              <w:rPr>
                <w:rFonts w:hint="eastAsia" w:ascii="宋体" w:hAnsi="宋体" w:cs="宋体"/>
                <w:color w:val="000000"/>
                <w:sz w:val="20"/>
                <w:szCs w:val="20"/>
                <w:lang w:eastAsia="zh-CN" w:bidi="ar"/>
              </w:rPr>
              <w:t>热膨胀系数</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10-6/℃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 xml:space="preserve">15.5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p>
        </w:tc>
      </w:tr>
      <w:tr>
        <w:tblPrEx>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textAlignment w:val="center"/>
              <w:rPr>
                <w:rFonts w:ascii="宋体" w:hAnsi="宋体" w:cs="宋体"/>
                <w:color w:val="000000"/>
                <w:sz w:val="20"/>
                <w:szCs w:val="20"/>
              </w:rPr>
            </w:pPr>
            <w:r>
              <w:rPr>
                <w:rFonts w:hint="eastAsia" w:ascii="宋体" w:hAnsi="宋体" w:cs="宋体"/>
                <w:color w:val="000000"/>
                <w:sz w:val="20"/>
                <w:szCs w:val="20"/>
                <w:lang w:eastAsia="zh-CN" w:bidi="ar"/>
              </w:rPr>
              <w:t>20℃直流电阻</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Ω/km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≤0.3620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p>
        </w:tc>
      </w:tr>
      <w:tr>
        <w:tblPrEx>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textAlignment w:val="center"/>
              <w:rPr>
                <w:rFonts w:ascii="宋体" w:hAnsi="宋体" w:cs="宋体"/>
                <w:color w:val="000000"/>
                <w:sz w:val="20"/>
                <w:szCs w:val="20"/>
              </w:rPr>
            </w:pPr>
            <w:r>
              <w:rPr>
                <w:rFonts w:hint="eastAsia" w:ascii="宋体" w:hAnsi="宋体" w:cs="宋体"/>
                <w:color w:val="000000"/>
                <w:sz w:val="20"/>
                <w:szCs w:val="20"/>
                <w:lang w:eastAsia="zh-CN" w:bidi="ar"/>
              </w:rPr>
              <w:t>最高容许温度</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p>
        </w:tc>
      </w:tr>
      <w:tr>
        <w:tblPrEx>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textAlignment w:val="center"/>
              <w:rPr>
                <w:rFonts w:ascii="宋体" w:hAnsi="宋体" w:cs="宋体"/>
                <w:color w:val="000000"/>
                <w:sz w:val="20"/>
                <w:szCs w:val="20"/>
                <w:lang w:eastAsia="zh-CN"/>
              </w:rPr>
            </w:pPr>
            <w:r>
              <w:rPr>
                <w:rFonts w:hint="eastAsia" w:ascii="宋体" w:hAnsi="宋体" w:cs="宋体"/>
                <w:color w:val="000000"/>
                <w:sz w:val="20"/>
                <w:szCs w:val="20"/>
                <w:lang w:eastAsia="zh-CN" w:bidi="ar"/>
              </w:rPr>
              <w:t>最小弯曲半径(静态和动态)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r>
              <w:rPr>
                <w:rFonts w:hint="eastAsia" w:ascii="宋体" w:hAnsi="宋体" w:cs="宋体"/>
                <w:color w:val="000000"/>
                <w:sz w:val="20"/>
                <w:szCs w:val="20"/>
                <w:lang w:eastAsia="zh-CN" w:bidi="ar"/>
              </w:rPr>
              <w:t>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textAlignment w:val="center"/>
              <w:rPr>
                <w:rFonts w:ascii="宋体" w:hAnsi="宋体" w:cs="宋体"/>
                <w:color w:val="000000"/>
                <w:sz w:val="20"/>
                <w:szCs w:val="20"/>
              </w:rPr>
            </w:pPr>
          </w:p>
        </w:tc>
      </w:tr>
    </w:tbl>
    <w:p>
      <w:pPr>
        <w:adjustRightInd w:val="0"/>
        <w:snapToGrid w:val="0"/>
        <w:spacing w:line="480" w:lineRule="atLeast"/>
        <w:ind w:firstLine="0"/>
        <w:rPr>
          <w:szCs w:val="44"/>
          <w:lang w:eastAsia="zh-CN"/>
        </w:rPr>
      </w:pPr>
    </w:p>
    <w:p>
      <w:pPr>
        <w:adjustRightInd w:val="0"/>
        <w:snapToGrid w:val="0"/>
        <w:spacing w:line="480" w:lineRule="atLeast"/>
        <w:ind w:firstLine="0"/>
        <w:rPr>
          <w:rFonts w:ascii="宋体" w:hAnsi="宋体"/>
          <w:sz w:val="21"/>
          <w:szCs w:val="21"/>
          <w:lang w:eastAsia="zh-CN"/>
        </w:rPr>
      </w:pPr>
    </w:p>
    <w:p>
      <w:pPr>
        <w:adjustRightInd w:val="0"/>
        <w:snapToGrid w:val="0"/>
        <w:spacing w:line="480" w:lineRule="atLeast"/>
        <w:ind w:firstLine="0"/>
        <w:rPr>
          <w:rFonts w:ascii="宋体" w:hAnsi="宋体"/>
          <w:sz w:val="21"/>
          <w:szCs w:val="21"/>
          <w:lang w:eastAsia="zh-CN"/>
        </w:rPr>
      </w:pPr>
    </w:p>
    <w:p>
      <w:pPr>
        <w:ind w:firstLine="564"/>
        <w:outlineLvl w:val="0"/>
        <w:rPr>
          <w:rFonts w:ascii="宋体" w:hAnsi="宋体"/>
          <w:b/>
          <w:lang w:eastAsia="zh-CN"/>
        </w:rPr>
      </w:pPr>
      <w:r>
        <w:rPr>
          <w:rFonts w:ascii="宋体" w:hAnsi="宋体"/>
          <w:b/>
          <w:lang w:eastAsia="zh-CN"/>
        </w:rPr>
        <w:br w:type="page"/>
      </w:r>
      <w:bookmarkStart w:id="56" w:name="_Toc5627317"/>
      <w:r>
        <w:rPr>
          <w:rFonts w:ascii="宋体" w:hAnsi="宋体"/>
          <w:b/>
          <w:lang w:eastAsia="zh-CN"/>
        </w:rPr>
        <w:t xml:space="preserve"> </w:t>
      </w:r>
      <w:bookmarkEnd w:id="56"/>
      <w:bookmarkStart w:id="57" w:name="_Toc5627318"/>
      <w:bookmarkStart w:id="58" w:name="_Toc96010212"/>
      <w:r>
        <w:rPr>
          <w:rFonts w:ascii="宋体" w:hAnsi="宋体"/>
          <w:b/>
          <w:lang w:eastAsia="zh-CN"/>
        </w:rPr>
        <w:t>附表</w:t>
      </w:r>
      <w:r>
        <w:rPr>
          <w:rFonts w:hint="eastAsia" w:ascii="宋体" w:hAnsi="宋体"/>
          <w:b/>
          <w:lang w:eastAsia="zh-CN"/>
        </w:rPr>
        <w:t>二</w:t>
      </w:r>
      <w:r>
        <w:rPr>
          <w:rFonts w:ascii="宋体" w:hAnsi="宋体"/>
          <w:b/>
          <w:lang w:eastAsia="zh-CN"/>
        </w:rPr>
        <w:t xml:space="preserve"> </w:t>
      </w:r>
      <w:r>
        <w:rPr>
          <w:rFonts w:hint="eastAsia" w:ascii="宋体" w:hAnsi="宋体"/>
          <w:b/>
          <w:lang w:eastAsia="zh-CN"/>
        </w:rPr>
        <w:t xml:space="preserve"> </w:t>
      </w:r>
      <w:r>
        <w:rPr>
          <w:rFonts w:ascii="宋体" w:hAnsi="宋体"/>
          <w:b/>
          <w:lang w:eastAsia="zh-CN"/>
        </w:rPr>
        <w:t>技术性能偏差表</w:t>
      </w:r>
      <w:bookmarkEnd w:id="57"/>
      <w:bookmarkEnd w:id="58"/>
    </w:p>
    <w:p>
      <w:pPr>
        <w:adjustRightInd w:val="0"/>
        <w:snapToGrid w:val="0"/>
        <w:spacing w:line="480" w:lineRule="atLeast"/>
        <w:ind w:firstLine="480" w:firstLineChars="200"/>
        <w:rPr>
          <w:rFonts w:ascii="宋体" w:hAnsi="宋体"/>
          <w:lang w:eastAsia="zh-CN"/>
        </w:rPr>
      </w:pPr>
      <w:r>
        <w:rPr>
          <w:rFonts w:ascii="宋体" w:hAnsi="宋体"/>
          <w:lang w:eastAsia="zh-CN"/>
        </w:rPr>
        <w:t>投标人要将投标文件和招标文件的差异之处汇集成表。技术部分和商务部分要单独列表。</w:t>
      </w:r>
    </w:p>
    <w:p>
      <w:pPr>
        <w:tabs>
          <w:tab w:val="left" w:pos="1440"/>
          <w:tab w:val="left" w:pos="3960"/>
        </w:tabs>
        <w:adjustRightInd w:val="0"/>
        <w:snapToGrid w:val="0"/>
        <w:spacing w:line="360" w:lineRule="auto"/>
        <w:ind w:firstLine="480" w:firstLineChars="200"/>
        <w:jc w:val="center"/>
        <w:rPr>
          <w:rFonts w:ascii="宋体" w:hAnsi="宋体"/>
          <w:lang w:eastAsia="zh-CN"/>
        </w:rPr>
      </w:pPr>
      <w:r>
        <w:rPr>
          <w:rFonts w:hint="eastAsia" w:ascii="宋体" w:hAnsi="宋体"/>
          <w:lang w:eastAsia="zh-CN"/>
        </w:rPr>
        <w:t xml:space="preserve">附表二 </w:t>
      </w:r>
      <w:r>
        <w:rPr>
          <w:rFonts w:ascii="宋体" w:hAnsi="宋体"/>
          <w:lang w:eastAsia="zh-CN"/>
        </w:rPr>
        <w:t>技术性能偏差表</w:t>
      </w:r>
    </w:p>
    <w:tbl>
      <w:tblPr>
        <w:tblStyle w:val="7"/>
        <w:tblW w:w="5092" w:type="pct"/>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5"/>
        <w:gridCol w:w="1134"/>
        <w:gridCol w:w="3149"/>
        <w:gridCol w:w="1783"/>
        <w:gridCol w:w="29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5" w:hRule="atLeast"/>
        </w:trPr>
        <w:tc>
          <w:tcPr>
            <w:tcW w:w="323" w:type="pct"/>
            <w:vMerge w:val="restart"/>
            <w:vAlign w:val="center"/>
          </w:tcPr>
          <w:p>
            <w:pPr>
              <w:adjustRightInd w:val="0"/>
              <w:snapToGrid w:val="0"/>
              <w:ind w:firstLine="0"/>
              <w:jc w:val="center"/>
              <w:rPr>
                <w:rFonts w:ascii="宋体" w:hAnsi="宋体"/>
                <w:b/>
                <w:szCs w:val="21"/>
              </w:rPr>
            </w:pPr>
            <w:r>
              <w:rPr>
                <w:rFonts w:ascii="宋体" w:hAnsi="宋体"/>
                <w:b/>
                <w:szCs w:val="21"/>
              </w:rPr>
              <w:t>序号</w:t>
            </w:r>
          </w:p>
        </w:tc>
        <w:tc>
          <w:tcPr>
            <w:tcW w:w="2209" w:type="pct"/>
            <w:gridSpan w:val="2"/>
            <w:vAlign w:val="center"/>
          </w:tcPr>
          <w:p>
            <w:pPr>
              <w:adjustRightInd w:val="0"/>
              <w:snapToGrid w:val="0"/>
              <w:jc w:val="center"/>
              <w:rPr>
                <w:rFonts w:ascii="宋体" w:hAnsi="宋体"/>
                <w:b/>
                <w:szCs w:val="21"/>
              </w:rPr>
            </w:pPr>
            <w:r>
              <w:rPr>
                <w:rFonts w:ascii="宋体" w:hAnsi="宋体"/>
                <w:b/>
                <w:szCs w:val="21"/>
              </w:rPr>
              <w:t>投标文件</w:t>
            </w:r>
          </w:p>
        </w:tc>
        <w:tc>
          <w:tcPr>
            <w:tcW w:w="2467" w:type="pct"/>
            <w:gridSpan w:val="2"/>
            <w:vAlign w:val="center"/>
          </w:tcPr>
          <w:p>
            <w:pPr>
              <w:adjustRightInd w:val="0"/>
              <w:snapToGrid w:val="0"/>
              <w:jc w:val="center"/>
              <w:rPr>
                <w:rFonts w:ascii="宋体" w:hAnsi="宋体"/>
                <w:b/>
                <w:szCs w:val="21"/>
              </w:rPr>
            </w:pPr>
            <w:r>
              <w:rPr>
                <w:rFonts w:ascii="宋体" w:hAnsi="宋体"/>
                <w:b/>
                <w:szCs w:val="21"/>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6" w:hRule="atLeast"/>
        </w:trPr>
        <w:tc>
          <w:tcPr>
            <w:tcW w:w="323" w:type="pct"/>
            <w:vMerge w:val="continue"/>
            <w:vAlign w:val="center"/>
          </w:tcPr>
          <w:p>
            <w:pPr>
              <w:adjustRightInd w:val="0"/>
              <w:snapToGrid w:val="0"/>
              <w:jc w:val="center"/>
              <w:rPr>
                <w:rFonts w:ascii="宋体" w:hAnsi="宋体"/>
                <w:b/>
                <w:szCs w:val="21"/>
              </w:rPr>
            </w:pPr>
          </w:p>
        </w:tc>
        <w:tc>
          <w:tcPr>
            <w:tcW w:w="585" w:type="pct"/>
            <w:vAlign w:val="center"/>
          </w:tcPr>
          <w:p>
            <w:pPr>
              <w:adjustRightInd w:val="0"/>
              <w:snapToGrid w:val="0"/>
              <w:ind w:firstLine="0"/>
              <w:jc w:val="center"/>
              <w:rPr>
                <w:rFonts w:ascii="宋体" w:hAnsi="宋体"/>
                <w:b/>
                <w:szCs w:val="21"/>
              </w:rPr>
            </w:pPr>
            <w:r>
              <w:rPr>
                <w:rFonts w:ascii="宋体" w:hAnsi="宋体"/>
                <w:b/>
                <w:szCs w:val="21"/>
              </w:rPr>
              <w:t>条目</w:t>
            </w:r>
          </w:p>
        </w:tc>
        <w:tc>
          <w:tcPr>
            <w:tcW w:w="1625" w:type="pct"/>
            <w:vAlign w:val="center"/>
          </w:tcPr>
          <w:p>
            <w:pPr>
              <w:adjustRightInd w:val="0"/>
              <w:snapToGrid w:val="0"/>
              <w:ind w:firstLine="0"/>
              <w:jc w:val="center"/>
              <w:rPr>
                <w:rFonts w:ascii="宋体" w:hAnsi="宋体"/>
                <w:b/>
                <w:szCs w:val="21"/>
              </w:rPr>
            </w:pPr>
            <w:r>
              <w:rPr>
                <w:rFonts w:ascii="宋体" w:hAnsi="宋体"/>
                <w:b/>
                <w:szCs w:val="21"/>
              </w:rPr>
              <w:t>简要内容</w:t>
            </w:r>
          </w:p>
        </w:tc>
        <w:tc>
          <w:tcPr>
            <w:tcW w:w="920" w:type="pct"/>
            <w:vAlign w:val="center"/>
          </w:tcPr>
          <w:p>
            <w:pPr>
              <w:adjustRightInd w:val="0"/>
              <w:snapToGrid w:val="0"/>
              <w:ind w:firstLine="0"/>
              <w:jc w:val="center"/>
              <w:rPr>
                <w:rFonts w:ascii="宋体" w:hAnsi="宋体"/>
                <w:b/>
                <w:szCs w:val="21"/>
              </w:rPr>
            </w:pPr>
            <w:r>
              <w:rPr>
                <w:rFonts w:ascii="宋体" w:hAnsi="宋体"/>
                <w:b/>
                <w:szCs w:val="21"/>
              </w:rPr>
              <w:t>条目</w:t>
            </w:r>
          </w:p>
        </w:tc>
        <w:tc>
          <w:tcPr>
            <w:tcW w:w="1547" w:type="pct"/>
            <w:vAlign w:val="center"/>
          </w:tcPr>
          <w:p>
            <w:pPr>
              <w:adjustRightInd w:val="0"/>
              <w:snapToGrid w:val="0"/>
              <w:ind w:firstLine="0"/>
              <w:jc w:val="center"/>
              <w:rPr>
                <w:rFonts w:ascii="宋体" w:hAnsi="宋体"/>
                <w:b/>
                <w:szCs w:val="21"/>
              </w:rPr>
            </w:pPr>
            <w:r>
              <w:rPr>
                <w:rFonts w:ascii="宋体" w:hAnsi="宋体"/>
                <w:b/>
                <w:szCs w:val="21"/>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323" w:type="pct"/>
            <w:vAlign w:val="center"/>
          </w:tcPr>
          <w:p>
            <w:pPr>
              <w:adjustRightInd w:val="0"/>
              <w:snapToGrid w:val="0"/>
              <w:jc w:val="center"/>
              <w:rPr>
                <w:rFonts w:ascii="宋体" w:hAnsi="宋体"/>
                <w:szCs w:val="21"/>
              </w:rPr>
            </w:pPr>
          </w:p>
        </w:tc>
        <w:tc>
          <w:tcPr>
            <w:tcW w:w="585" w:type="pct"/>
            <w:vAlign w:val="center"/>
          </w:tcPr>
          <w:p>
            <w:pPr>
              <w:adjustRightInd w:val="0"/>
              <w:snapToGrid w:val="0"/>
              <w:jc w:val="center"/>
              <w:rPr>
                <w:rFonts w:ascii="宋体" w:hAnsi="宋体"/>
                <w:szCs w:val="21"/>
              </w:rPr>
            </w:pPr>
          </w:p>
        </w:tc>
        <w:tc>
          <w:tcPr>
            <w:tcW w:w="1625" w:type="pct"/>
            <w:vAlign w:val="center"/>
          </w:tcPr>
          <w:p>
            <w:pPr>
              <w:adjustRightInd w:val="0"/>
              <w:snapToGrid w:val="0"/>
              <w:jc w:val="center"/>
              <w:rPr>
                <w:rFonts w:ascii="宋体" w:hAnsi="宋体"/>
                <w:szCs w:val="21"/>
              </w:rPr>
            </w:pPr>
          </w:p>
        </w:tc>
        <w:tc>
          <w:tcPr>
            <w:tcW w:w="920" w:type="pct"/>
            <w:vAlign w:val="center"/>
          </w:tcPr>
          <w:p>
            <w:pPr>
              <w:adjustRightInd w:val="0"/>
              <w:snapToGrid w:val="0"/>
              <w:jc w:val="center"/>
              <w:rPr>
                <w:rFonts w:ascii="宋体" w:hAnsi="宋体"/>
                <w:szCs w:val="21"/>
              </w:rPr>
            </w:pPr>
          </w:p>
        </w:tc>
        <w:tc>
          <w:tcPr>
            <w:tcW w:w="1547" w:type="pct"/>
            <w:vAlign w:val="center"/>
          </w:tcPr>
          <w:p>
            <w:pPr>
              <w:adjustRightInd w:val="0"/>
              <w:snapToGrid w:val="0"/>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323" w:type="pct"/>
            <w:vAlign w:val="center"/>
          </w:tcPr>
          <w:p>
            <w:pPr>
              <w:adjustRightInd w:val="0"/>
              <w:snapToGrid w:val="0"/>
              <w:jc w:val="center"/>
              <w:rPr>
                <w:rFonts w:ascii="宋体" w:hAnsi="宋体"/>
                <w:szCs w:val="21"/>
              </w:rPr>
            </w:pPr>
          </w:p>
        </w:tc>
        <w:tc>
          <w:tcPr>
            <w:tcW w:w="585" w:type="pct"/>
            <w:vAlign w:val="center"/>
          </w:tcPr>
          <w:p>
            <w:pPr>
              <w:adjustRightInd w:val="0"/>
              <w:snapToGrid w:val="0"/>
              <w:jc w:val="center"/>
              <w:rPr>
                <w:rFonts w:ascii="宋体" w:hAnsi="宋体"/>
                <w:szCs w:val="21"/>
              </w:rPr>
            </w:pPr>
          </w:p>
        </w:tc>
        <w:tc>
          <w:tcPr>
            <w:tcW w:w="1625" w:type="pct"/>
            <w:vAlign w:val="center"/>
          </w:tcPr>
          <w:p>
            <w:pPr>
              <w:adjustRightInd w:val="0"/>
              <w:snapToGrid w:val="0"/>
              <w:jc w:val="center"/>
              <w:rPr>
                <w:rFonts w:ascii="宋体" w:hAnsi="宋体"/>
                <w:szCs w:val="21"/>
              </w:rPr>
            </w:pPr>
          </w:p>
        </w:tc>
        <w:tc>
          <w:tcPr>
            <w:tcW w:w="920" w:type="pct"/>
            <w:vAlign w:val="center"/>
          </w:tcPr>
          <w:p>
            <w:pPr>
              <w:adjustRightInd w:val="0"/>
              <w:snapToGrid w:val="0"/>
              <w:jc w:val="center"/>
              <w:rPr>
                <w:rFonts w:ascii="宋体" w:hAnsi="宋体"/>
                <w:szCs w:val="21"/>
              </w:rPr>
            </w:pPr>
          </w:p>
        </w:tc>
        <w:tc>
          <w:tcPr>
            <w:tcW w:w="1547" w:type="pct"/>
            <w:vAlign w:val="center"/>
          </w:tcPr>
          <w:p>
            <w:pPr>
              <w:adjustRightInd w:val="0"/>
              <w:snapToGrid w:val="0"/>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323" w:type="pct"/>
            <w:vAlign w:val="center"/>
          </w:tcPr>
          <w:p>
            <w:pPr>
              <w:adjustRightInd w:val="0"/>
              <w:snapToGrid w:val="0"/>
              <w:jc w:val="center"/>
              <w:rPr>
                <w:rFonts w:ascii="宋体" w:hAnsi="宋体"/>
                <w:szCs w:val="21"/>
              </w:rPr>
            </w:pPr>
          </w:p>
        </w:tc>
        <w:tc>
          <w:tcPr>
            <w:tcW w:w="585" w:type="pct"/>
            <w:vAlign w:val="center"/>
          </w:tcPr>
          <w:p>
            <w:pPr>
              <w:adjustRightInd w:val="0"/>
              <w:snapToGrid w:val="0"/>
              <w:jc w:val="center"/>
              <w:rPr>
                <w:rFonts w:ascii="宋体" w:hAnsi="宋体"/>
                <w:szCs w:val="21"/>
              </w:rPr>
            </w:pPr>
          </w:p>
        </w:tc>
        <w:tc>
          <w:tcPr>
            <w:tcW w:w="1625" w:type="pct"/>
            <w:vAlign w:val="center"/>
          </w:tcPr>
          <w:p>
            <w:pPr>
              <w:adjustRightInd w:val="0"/>
              <w:snapToGrid w:val="0"/>
              <w:jc w:val="center"/>
              <w:rPr>
                <w:rFonts w:ascii="宋体" w:hAnsi="宋体"/>
                <w:szCs w:val="21"/>
              </w:rPr>
            </w:pPr>
          </w:p>
        </w:tc>
        <w:tc>
          <w:tcPr>
            <w:tcW w:w="920" w:type="pct"/>
            <w:vAlign w:val="center"/>
          </w:tcPr>
          <w:p>
            <w:pPr>
              <w:adjustRightInd w:val="0"/>
              <w:snapToGrid w:val="0"/>
              <w:jc w:val="center"/>
              <w:rPr>
                <w:rFonts w:ascii="宋体" w:hAnsi="宋体"/>
                <w:szCs w:val="21"/>
              </w:rPr>
            </w:pPr>
          </w:p>
        </w:tc>
        <w:tc>
          <w:tcPr>
            <w:tcW w:w="1547" w:type="pct"/>
            <w:vAlign w:val="center"/>
          </w:tcPr>
          <w:p>
            <w:pPr>
              <w:adjustRightInd w:val="0"/>
              <w:snapToGrid w:val="0"/>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323" w:type="pct"/>
            <w:vAlign w:val="center"/>
          </w:tcPr>
          <w:p>
            <w:pPr>
              <w:adjustRightInd w:val="0"/>
              <w:snapToGrid w:val="0"/>
              <w:jc w:val="center"/>
              <w:rPr>
                <w:rFonts w:ascii="宋体" w:hAnsi="宋体"/>
                <w:szCs w:val="21"/>
              </w:rPr>
            </w:pPr>
          </w:p>
        </w:tc>
        <w:tc>
          <w:tcPr>
            <w:tcW w:w="585" w:type="pct"/>
            <w:vAlign w:val="center"/>
          </w:tcPr>
          <w:p>
            <w:pPr>
              <w:adjustRightInd w:val="0"/>
              <w:snapToGrid w:val="0"/>
              <w:jc w:val="center"/>
              <w:rPr>
                <w:rFonts w:ascii="宋体" w:hAnsi="宋体"/>
                <w:szCs w:val="21"/>
              </w:rPr>
            </w:pPr>
          </w:p>
        </w:tc>
        <w:tc>
          <w:tcPr>
            <w:tcW w:w="1625" w:type="pct"/>
            <w:vAlign w:val="center"/>
          </w:tcPr>
          <w:p>
            <w:pPr>
              <w:adjustRightInd w:val="0"/>
              <w:snapToGrid w:val="0"/>
              <w:jc w:val="center"/>
              <w:rPr>
                <w:rFonts w:ascii="宋体" w:hAnsi="宋体"/>
                <w:szCs w:val="21"/>
              </w:rPr>
            </w:pPr>
          </w:p>
        </w:tc>
        <w:tc>
          <w:tcPr>
            <w:tcW w:w="920" w:type="pct"/>
            <w:vAlign w:val="center"/>
          </w:tcPr>
          <w:p>
            <w:pPr>
              <w:adjustRightInd w:val="0"/>
              <w:snapToGrid w:val="0"/>
              <w:jc w:val="center"/>
              <w:rPr>
                <w:rFonts w:ascii="宋体" w:hAnsi="宋体"/>
                <w:szCs w:val="21"/>
              </w:rPr>
            </w:pPr>
          </w:p>
        </w:tc>
        <w:tc>
          <w:tcPr>
            <w:tcW w:w="1547" w:type="pct"/>
            <w:vAlign w:val="center"/>
          </w:tcPr>
          <w:p>
            <w:pPr>
              <w:adjustRightInd w:val="0"/>
              <w:snapToGrid w:val="0"/>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323" w:type="pct"/>
            <w:vAlign w:val="center"/>
          </w:tcPr>
          <w:p>
            <w:pPr>
              <w:adjustRightInd w:val="0"/>
              <w:snapToGrid w:val="0"/>
              <w:jc w:val="center"/>
              <w:rPr>
                <w:rFonts w:ascii="宋体" w:hAnsi="宋体"/>
                <w:szCs w:val="21"/>
              </w:rPr>
            </w:pPr>
          </w:p>
        </w:tc>
        <w:tc>
          <w:tcPr>
            <w:tcW w:w="585" w:type="pct"/>
            <w:vAlign w:val="center"/>
          </w:tcPr>
          <w:p>
            <w:pPr>
              <w:adjustRightInd w:val="0"/>
              <w:snapToGrid w:val="0"/>
              <w:jc w:val="center"/>
              <w:rPr>
                <w:rFonts w:ascii="宋体" w:hAnsi="宋体"/>
                <w:szCs w:val="21"/>
              </w:rPr>
            </w:pPr>
          </w:p>
        </w:tc>
        <w:tc>
          <w:tcPr>
            <w:tcW w:w="1625" w:type="pct"/>
            <w:vAlign w:val="center"/>
          </w:tcPr>
          <w:p>
            <w:pPr>
              <w:adjustRightInd w:val="0"/>
              <w:snapToGrid w:val="0"/>
              <w:jc w:val="center"/>
              <w:rPr>
                <w:rFonts w:ascii="宋体" w:hAnsi="宋体"/>
                <w:szCs w:val="21"/>
              </w:rPr>
            </w:pPr>
          </w:p>
        </w:tc>
        <w:tc>
          <w:tcPr>
            <w:tcW w:w="920" w:type="pct"/>
            <w:vAlign w:val="center"/>
          </w:tcPr>
          <w:p>
            <w:pPr>
              <w:adjustRightInd w:val="0"/>
              <w:snapToGrid w:val="0"/>
              <w:jc w:val="center"/>
              <w:rPr>
                <w:rFonts w:ascii="宋体" w:hAnsi="宋体"/>
                <w:szCs w:val="21"/>
              </w:rPr>
            </w:pPr>
          </w:p>
        </w:tc>
        <w:tc>
          <w:tcPr>
            <w:tcW w:w="1547" w:type="pct"/>
            <w:vAlign w:val="center"/>
          </w:tcPr>
          <w:p>
            <w:pPr>
              <w:adjustRightInd w:val="0"/>
              <w:snapToGrid w:val="0"/>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323" w:type="pct"/>
            <w:vAlign w:val="center"/>
          </w:tcPr>
          <w:p>
            <w:pPr>
              <w:adjustRightInd w:val="0"/>
              <w:snapToGrid w:val="0"/>
              <w:jc w:val="center"/>
              <w:rPr>
                <w:rFonts w:ascii="宋体" w:hAnsi="宋体"/>
                <w:szCs w:val="21"/>
              </w:rPr>
            </w:pPr>
          </w:p>
        </w:tc>
        <w:tc>
          <w:tcPr>
            <w:tcW w:w="585" w:type="pct"/>
            <w:vAlign w:val="center"/>
          </w:tcPr>
          <w:p>
            <w:pPr>
              <w:adjustRightInd w:val="0"/>
              <w:snapToGrid w:val="0"/>
              <w:jc w:val="center"/>
              <w:rPr>
                <w:rFonts w:ascii="宋体" w:hAnsi="宋体"/>
                <w:szCs w:val="21"/>
              </w:rPr>
            </w:pPr>
          </w:p>
        </w:tc>
        <w:tc>
          <w:tcPr>
            <w:tcW w:w="1625" w:type="pct"/>
            <w:vAlign w:val="center"/>
          </w:tcPr>
          <w:p>
            <w:pPr>
              <w:adjustRightInd w:val="0"/>
              <w:snapToGrid w:val="0"/>
              <w:jc w:val="center"/>
              <w:rPr>
                <w:rFonts w:ascii="宋体" w:hAnsi="宋体"/>
                <w:szCs w:val="21"/>
              </w:rPr>
            </w:pPr>
          </w:p>
        </w:tc>
        <w:tc>
          <w:tcPr>
            <w:tcW w:w="920" w:type="pct"/>
            <w:vAlign w:val="center"/>
          </w:tcPr>
          <w:p>
            <w:pPr>
              <w:adjustRightInd w:val="0"/>
              <w:snapToGrid w:val="0"/>
              <w:jc w:val="center"/>
              <w:rPr>
                <w:rFonts w:ascii="宋体" w:hAnsi="宋体"/>
                <w:szCs w:val="21"/>
              </w:rPr>
            </w:pPr>
          </w:p>
        </w:tc>
        <w:tc>
          <w:tcPr>
            <w:tcW w:w="1547" w:type="pct"/>
            <w:vAlign w:val="center"/>
          </w:tcPr>
          <w:p>
            <w:pPr>
              <w:adjustRightInd w:val="0"/>
              <w:snapToGrid w:val="0"/>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323" w:type="pct"/>
            <w:vAlign w:val="center"/>
          </w:tcPr>
          <w:p>
            <w:pPr>
              <w:adjustRightInd w:val="0"/>
              <w:snapToGrid w:val="0"/>
              <w:jc w:val="center"/>
              <w:rPr>
                <w:rFonts w:ascii="宋体" w:hAnsi="宋体"/>
                <w:szCs w:val="21"/>
              </w:rPr>
            </w:pPr>
          </w:p>
        </w:tc>
        <w:tc>
          <w:tcPr>
            <w:tcW w:w="585" w:type="pct"/>
            <w:vAlign w:val="center"/>
          </w:tcPr>
          <w:p>
            <w:pPr>
              <w:adjustRightInd w:val="0"/>
              <w:snapToGrid w:val="0"/>
              <w:jc w:val="center"/>
              <w:rPr>
                <w:rFonts w:ascii="宋体" w:hAnsi="宋体"/>
                <w:szCs w:val="21"/>
              </w:rPr>
            </w:pPr>
          </w:p>
        </w:tc>
        <w:tc>
          <w:tcPr>
            <w:tcW w:w="1625" w:type="pct"/>
            <w:vAlign w:val="center"/>
          </w:tcPr>
          <w:p>
            <w:pPr>
              <w:adjustRightInd w:val="0"/>
              <w:snapToGrid w:val="0"/>
              <w:jc w:val="center"/>
              <w:rPr>
                <w:rFonts w:ascii="宋体" w:hAnsi="宋体"/>
                <w:szCs w:val="21"/>
              </w:rPr>
            </w:pPr>
          </w:p>
        </w:tc>
        <w:tc>
          <w:tcPr>
            <w:tcW w:w="920" w:type="pct"/>
            <w:vAlign w:val="center"/>
          </w:tcPr>
          <w:p>
            <w:pPr>
              <w:adjustRightInd w:val="0"/>
              <w:snapToGrid w:val="0"/>
              <w:jc w:val="center"/>
              <w:rPr>
                <w:rFonts w:ascii="宋体" w:hAnsi="宋体"/>
                <w:szCs w:val="21"/>
              </w:rPr>
            </w:pPr>
          </w:p>
        </w:tc>
        <w:tc>
          <w:tcPr>
            <w:tcW w:w="1547" w:type="pct"/>
            <w:vAlign w:val="center"/>
          </w:tcPr>
          <w:p>
            <w:pPr>
              <w:adjustRightInd w:val="0"/>
              <w:snapToGrid w:val="0"/>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323" w:type="pct"/>
            <w:vAlign w:val="center"/>
          </w:tcPr>
          <w:p>
            <w:pPr>
              <w:adjustRightInd w:val="0"/>
              <w:snapToGrid w:val="0"/>
              <w:jc w:val="center"/>
              <w:rPr>
                <w:rFonts w:ascii="宋体" w:hAnsi="宋体"/>
                <w:szCs w:val="21"/>
              </w:rPr>
            </w:pPr>
          </w:p>
        </w:tc>
        <w:tc>
          <w:tcPr>
            <w:tcW w:w="585" w:type="pct"/>
            <w:vAlign w:val="center"/>
          </w:tcPr>
          <w:p>
            <w:pPr>
              <w:adjustRightInd w:val="0"/>
              <w:snapToGrid w:val="0"/>
              <w:jc w:val="center"/>
              <w:rPr>
                <w:rFonts w:ascii="宋体" w:hAnsi="宋体"/>
                <w:szCs w:val="21"/>
              </w:rPr>
            </w:pPr>
          </w:p>
        </w:tc>
        <w:tc>
          <w:tcPr>
            <w:tcW w:w="1625" w:type="pct"/>
            <w:vAlign w:val="center"/>
          </w:tcPr>
          <w:p>
            <w:pPr>
              <w:adjustRightInd w:val="0"/>
              <w:snapToGrid w:val="0"/>
              <w:jc w:val="center"/>
              <w:rPr>
                <w:rFonts w:ascii="宋体" w:hAnsi="宋体"/>
                <w:szCs w:val="21"/>
              </w:rPr>
            </w:pPr>
          </w:p>
        </w:tc>
        <w:tc>
          <w:tcPr>
            <w:tcW w:w="920" w:type="pct"/>
            <w:vAlign w:val="center"/>
          </w:tcPr>
          <w:p>
            <w:pPr>
              <w:adjustRightInd w:val="0"/>
              <w:snapToGrid w:val="0"/>
              <w:jc w:val="center"/>
              <w:rPr>
                <w:rFonts w:ascii="宋体" w:hAnsi="宋体"/>
                <w:szCs w:val="21"/>
              </w:rPr>
            </w:pPr>
          </w:p>
        </w:tc>
        <w:tc>
          <w:tcPr>
            <w:tcW w:w="1547" w:type="pct"/>
            <w:vAlign w:val="center"/>
          </w:tcPr>
          <w:p>
            <w:pPr>
              <w:adjustRightInd w:val="0"/>
              <w:snapToGrid w:val="0"/>
              <w:jc w:val="center"/>
              <w:rPr>
                <w:rFonts w:ascii="宋体" w:hAnsi="宋体"/>
                <w:szCs w:val="21"/>
              </w:rPr>
            </w:pPr>
          </w:p>
        </w:tc>
      </w:tr>
    </w:tbl>
    <w:p>
      <w:pPr>
        <w:ind w:firstLine="357"/>
        <w:outlineLvl w:val="0"/>
        <w:rPr>
          <w:rFonts w:ascii="宋体" w:hAnsi="宋体"/>
          <w:lang w:eastAsia="zh-CN"/>
        </w:rPr>
      </w:pPr>
      <w:bookmarkStart w:id="59" w:name="_Toc319677960"/>
      <w:bookmarkStart w:id="60" w:name="_Toc187218715"/>
      <w:bookmarkStart w:id="61" w:name="_Toc346270643"/>
      <w:r>
        <w:rPr>
          <w:rFonts w:ascii="宋体" w:hAnsi="宋体"/>
          <w:b/>
          <w:lang w:eastAsia="zh-CN"/>
        </w:rPr>
        <w:br w:type="page"/>
      </w:r>
      <w:bookmarkStart w:id="62" w:name="_Toc5627319"/>
      <w:bookmarkStart w:id="63" w:name="_Toc96010213"/>
      <w:r>
        <w:rPr>
          <w:rFonts w:ascii="宋体" w:hAnsi="宋体"/>
          <w:b/>
          <w:lang w:eastAsia="zh-CN"/>
        </w:rPr>
        <w:t>附表</w:t>
      </w:r>
      <w:r>
        <w:rPr>
          <w:rFonts w:hint="eastAsia" w:ascii="宋体" w:hAnsi="宋体"/>
          <w:b/>
          <w:lang w:eastAsia="zh-CN"/>
        </w:rPr>
        <w:t>三</w:t>
      </w:r>
      <w:r>
        <w:rPr>
          <w:rFonts w:ascii="宋体" w:hAnsi="宋体"/>
          <w:b/>
          <w:lang w:eastAsia="zh-CN"/>
        </w:rPr>
        <w:t xml:space="preserve"> </w:t>
      </w:r>
      <w:r>
        <w:rPr>
          <w:rFonts w:hint="eastAsia" w:ascii="宋体" w:hAnsi="宋体"/>
          <w:b/>
          <w:lang w:eastAsia="zh-CN"/>
        </w:rPr>
        <w:t xml:space="preserve"> </w:t>
      </w:r>
      <w:r>
        <w:rPr>
          <w:rFonts w:ascii="宋体" w:hAnsi="宋体"/>
          <w:b/>
          <w:lang w:eastAsia="zh-CN"/>
        </w:rPr>
        <w:t>备品备件、维护工具和仪器清单</w:t>
      </w:r>
      <w:bookmarkEnd w:id="59"/>
      <w:bookmarkEnd w:id="60"/>
      <w:bookmarkEnd w:id="61"/>
      <w:bookmarkEnd w:id="62"/>
      <w:bookmarkEnd w:id="63"/>
    </w:p>
    <w:tbl>
      <w:tblPr>
        <w:tblStyle w:val="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8"/>
        <w:gridCol w:w="948"/>
        <w:gridCol w:w="950"/>
        <w:gridCol w:w="950"/>
        <w:gridCol w:w="879"/>
        <w:gridCol w:w="950"/>
        <w:gridCol w:w="950"/>
        <w:gridCol w:w="939"/>
        <w:gridCol w:w="1243"/>
        <w:gridCol w:w="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505" w:type="pct"/>
            <w:vAlign w:val="center"/>
          </w:tcPr>
          <w:p>
            <w:pPr>
              <w:adjustRightInd w:val="0"/>
              <w:snapToGrid w:val="0"/>
              <w:ind w:firstLine="0"/>
              <w:jc w:val="center"/>
              <w:rPr>
                <w:rFonts w:ascii="宋体" w:hAnsi="宋体"/>
                <w:b/>
                <w:bCs/>
                <w:szCs w:val="21"/>
              </w:rPr>
            </w:pPr>
            <w:r>
              <w:rPr>
                <w:rFonts w:ascii="宋体" w:hAnsi="宋体"/>
                <w:b/>
                <w:bCs/>
                <w:szCs w:val="21"/>
              </w:rPr>
              <w:t>序号</w:t>
            </w:r>
          </w:p>
        </w:tc>
        <w:tc>
          <w:tcPr>
            <w:tcW w:w="505" w:type="pct"/>
            <w:vAlign w:val="center"/>
          </w:tcPr>
          <w:p>
            <w:pPr>
              <w:adjustRightInd w:val="0"/>
              <w:snapToGrid w:val="0"/>
              <w:ind w:firstLine="0"/>
              <w:jc w:val="center"/>
              <w:rPr>
                <w:rFonts w:ascii="宋体" w:hAnsi="宋体"/>
                <w:b/>
                <w:bCs/>
                <w:szCs w:val="21"/>
              </w:rPr>
            </w:pPr>
            <w:r>
              <w:rPr>
                <w:rFonts w:ascii="宋体" w:hAnsi="宋体"/>
                <w:b/>
                <w:bCs/>
                <w:szCs w:val="21"/>
              </w:rPr>
              <w:t>设备</w:t>
            </w:r>
          </w:p>
          <w:p>
            <w:pPr>
              <w:adjustRightInd w:val="0"/>
              <w:snapToGrid w:val="0"/>
              <w:ind w:firstLine="0"/>
              <w:jc w:val="center"/>
              <w:rPr>
                <w:rFonts w:ascii="宋体" w:hAnsi="宋体"/>
                <w:b/>
                <w:bCs/>
                <w:szCs w:val="21"/>
              </w:rPr>
            </w:pPr>
            <w:r>
              <w:rPr>
                <w:rFonts w:ascii="宋体" w:hAnsi="宋体"/>
                <w:b/>
                <w:bCs/>
                <w:szCs w:val="21"/>
              </w:rPr>
              <w:t>名称</w:t>
            </w:r>
          </w:p>
        </w:tc>
        <w:tc>
          <w:tcPr>
            <w:tcW w:w="506" w:type="pct"/>
            <w:vAlign w:val="center"/>
          </w:tcPr>
          <w:p>
            <w:pPr>
              <w:adjustRightInd w:val="0"/>
              <w:snapToGrid w:val="0"/>
              <w:ind w:firstLine="0"/>
              <w:jc w:val="center"/>
              <w:rPr>
                <w:rFonts w:ascii="宋体" w:hAnsi="宋体"/>
                <w:b/>
                <w:bCs/>
                <w:szCs w:val="21"/>
              </w:rPr>
            </w:pPr>
            <w:r>
              <w:rPr>
                <w:rFonts w:ascii="宋体" w:hAnsi="宋体"/>
                <w:b/>
                <w:bCs/>
                <w:szCs w:val="21"/>
              </w:rPr>
              <w:t>型号</w:t>
            </w:r>
          </w:p>
          <w:p>
            <w:pPr>
              <w:adjustRightInd w:val="0"/>
              <w:snapToGrid w:val="0"/>
              <w:ind w:firstLine="0"/>
              <w:jc w:val="center"/>
              <w:rPr>
                <w:rFonts w:ascii="宋体" w:hAnsi="宋体"/>
                <w:b/>
                <w:bCs/>
                <w:szCs w:val="21"/>
              </w:rPr>
            </w:pPr>
            <w:r>
              <w:rPr>
                <w:rFonts w:ascii="宋体" w:hAnsi="宋体"/>
                <w:b/>
                <w:bCs/>
                <w:szCs w:val="21"/>
              </w:rPr>
              <w:t>规格</w:t>
            </w:r>
          </w:p>
        </w:tc>
        <w:tc>
          <w:tcPr>
            <w:tcW w:w="506" w:type="pct"/>
            <w:vAlign w:val="center"/>
          </w:tcPr>
          <w:p>
            <w:pPr>
              <w:adjustRightInd w:val="0"/>
              <w:snapToGrid w:val="0"/>
              <w:ind w:firstLine="0"/>
              <w:jc w:val="center"/>
              <w:rPr>
                <w:rFonts w:ascii="宋体" w:hAnsi="宋体"/>
                <w:b/>
                <w:bCs/>
                <w:szCs w:val="21"/>
              </w:rPr>
            </w:pPr>
            <w:r>
              <w:rPr>
                <w:rFonts w:ascii="宋体" w:hAnsi="宋体"/>
                <w:b/>
                <w:bCs/>
                <w:szCs w:val="21"/>
              </w:rPr>
              <w:t>技术</w:t>
            </w:r>
          </w:p>
          <w:p>
            <w:pPr>
              <w:adjustRightInd w:val="0"/>
              <w:snapToGrid w:val="0"/>
              <w:ind w:firstLine="0"/>
              <w:jc w:val="center"/>
              <w:rPr>
                <w:rFonts w:ascii="宋体" w:hAnsi="宋体"/>
                <w:b/>
                <w:bCs/>
                <w:szCs w:val="21"/>
              </w:rPr>
            </w:pPr>
            <w:r>
              <w:rPr>
                <w:rFonts w:ascii="宋体" w:hAnsi="宋体"/>
                <w:b/>
                <w:bCs/>
                <w:szCs w:val="21"/>
              </w:rPr>
              <w:t>说明</w:t>
            </w:r>
          </w:p>
        </w:tc>
        <w:tc>
          <w:tcPr>
            <w:tcW w:w="469" w:type="pct"/>
            <w:vAlign w:val="center"/>
          </w:tcPr>
          <w:p>
            <w:pPr>
              <w:adjustRightInd w:val="0"/>
              <w:snapToGrid w:val="0"/>
              <w:ind w:firstLine="0"/>
              <w:jc w:val="center"/>
              <w:rPr>
                <w:rFonts w:ascii="宋体" w:hAnsi="宋体"/>
                <w:b/>
                <w:bCs/>
                <w:szCs w:val="21"/>
              </w:rPr>
            </w:pPr>
            <w:r>
              <w:rPr>
                <w:rFonts w:ascii="宋体" w:hAnsi="宋体"/>
                <w:b/>
                <w:bCs/>
                <w:szCs w:val="21"/>
              </w:rPr>
              <w:t>单位</w:t>
            </w:r>
          </w:p>
        </w:tc>
        <w:tc>
          <w:tcPr>
            <w:tcW w:w="506" w:type="pct"/>
            <w:vAlign w:val="center"/>
          </w:tcPr>
          <w:p>
            <w:pPr>
              <w:adjustRightInd w:val="0"/>
              <w:snapToGrid w:val="0"/>
              <w:ind w:firstLine="0"/>
              <w:jc w:val="center"/>
              <w:rPr>
                <w:rFonts w:ascii="宋体" w:hAnsi="宋体"/>
                <w:b/>
                <w:bCs/>
                <w:szCs w:val="21"/>
              </w:rPr>
            </w:pPr>
            <w:r>
              <w:rPr>
                <w:rFonts w:ascii="宋体" w:hAnsi="宋体"/>
                <w:b/>
                <w:bCs/>
                <w:szCs w:val="21"/>
              </w:rPr>
              <w:t>数量</w:t>
            </w:r>
          </w:p>
        </w:tc>
        <w:tc>
          <w:tcPr>
            <w:tcW w:w="506" w:type="pct"/>
            <w:vAlign w:val="center"/>
          </w:tcPr>
          <w:p>
            <w:pPr>
              <w:adjustRightInd w:val="0"/>
              <w:snapToGrid w:val="0"/>
              <w:ind w:firstLine="0"/>
              <w:jc w:val="center"/>
              <w:rPr>
                <w:rFonts w:ascii="宋体" w:hAnsi="宋体"/>
                <w:b/>
                <w:bCs/>
                <w:szCs w:val="21"/>
              </w:rPr>
            </w:pPr>
            <w:r>
              <w:rPr>
                <w:rFonts w:ascii="宋体" w:hAnsi="宋体"/>
                <w:b/>
                <w:bCs/>
                <w:szCs w:val="21"/>
              </w:rPr>
              <w:t>单价</w:t>
            </w:r>
            <w:r>
              <w:rPr>
                <w:rFonts w:hint="eastAsia" w:ascii="宋体" w:hAnsi="宋体"/>
                <w:b/>
                <w:bCs/>
                <w:szCs w:val="21"/>
              </w:rPr>
              <w:t>（元）</w:t>
            </w:r>
          </w:p>
        </w:tc>
        <w:tc>
          <w:tcPr>
            <w:tcW w:w="433" w:type="pct"/>
            <w:vAlign w:val="center"/>
          </w:tcPr>
          <w:p>
            <w:pPr>
              <w:adjustRightInd w:val="0"/>
              <w:snapToGrid w:val="0"/>
              <w:ind w:firstLine="0"/>
              <w:jc w:val="center"/>
              <w:rPr>
                <w:rFonts w:ascii="宋体" w:hAnsi="宋体"/>
                <w:b/>
                <w:bCs/>
                <w:szCs w:val="21"/>
              </w:rPr>
            </w:pPr>
            <w:r>
              <w:rPr>
                <w:rFonts w:ascii="宋体" w:hAnsi="宋体"/>
                <w:b/>
                <w:bCs/>
                <w:szCs w:val="21"/>
              </w:rPr>
              <w:t>价格</w:t>
            </w:r>
          </w:p>
          <w:p>
            <w:pPr>
              <w:adjustRightInd w:val="0"/>
              <w:snapToGrid w:val="0"/>
              <w:ind w:firstLine="0"/>
              <w:jc w:val="center"/>
              <w:rPr>
                <w:rFonts w:ascii="宋体" w:hAnsi="宋体"/>
                <w:b/>
                <w:bCs/>
                <w:szCs w:val="21"/>
              </w:rPr>
            </w:pPr>
            <w:r>
              <w:rPr>
                <w:rFonts w:ascii="宋体" w:hAnsi="宋体"/>
                <w:b/>
                <w:bCs/>
                <w:szCs w:val="21"/>
              </w:rPr>
              <w:t>合计</w:t>
            </w:r>
            <w:r>
              <w:rPr>
                <w:rFonts w:hint="eastAsia" w:ascii="宋体" w:hAnsi="宋体"/>
                <w:b/>
                <w:bCs/>
                <w:szCs w:val="21"/>
              </w:rPr>
              <w:t>（元）</w:t>
            </w:r>
          </w:p>
        </w:tc>
        <w:tc>
          <w:tcPr>
            <w:tcW w:w="660" w:type="pct"/>
            <w:vAlign w:val="center"/>
          </w:tcPr>
          <w:p>
            <w:pPr>
              <w:adjustRightInd w:val="0"/>
              <w:snapToGrid w:val="0"/>
              <w:ind w:firstLine="0"/>
              <w:jc w:val="center"/>
              <w:rPr>
                <w:rFonts w:ascii="宋体" w:hAnsi="宋体"/>
                <w:b/>
                <w:bCs/>
                <w:szCs w:val="21"/>
              </w:rPr>
            </w:pPr>
            <w:r>
              <w:rPr>
                <w:rFonts w:ascii="宋体" w:hAnsi="宋体"/>
                <w:b/>
                <w:bCs/>
                <w:szCs w:val="21"/>
              </w:rPr>
              <w:t>生产厂家及产地</w:t>
            </w:r>
          </w:p>
        </w:tc>
        <w:tc>
          <w:tcPr>
            <w:tcW w:w="404" w:type="pct"/>
            <w:vAlign w:val="center"/>
          </w:tcPr>
          <w:p>
            <w:pPr>
              <w:adjustRightInd w:val="0"/>
              <w:snapToGrid w:val="0"/>
              <w:ind w:firstLine="0"/>
              <w:jc w:val="center"/>
              <w:rPr>
                <w:rFonts w:ascii="宋体" w:hAnsi="宋体"/>
                <w:b/>
                <w:bCs/>
                <w:szCs w:val="21"/>
              </w:rPr>
            </w:pPr>
            <w:r>
              <w:rPr>
                <w:rFonts w:ascii="宋体" w:hAnsi="宋体"/>
                <w:b/>
                <w:bCs/>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5" w:type="pct"/>
            <w:vAlign w:val="center"/>
          </w:tcPr>
          <w:p>
            <w:pPr>
              <w:adjustRightInd w:val="0"/>
              <w:snapToGrid w:val="0"/>
              <w:jc w:val="center"/>
              <w:rPr>
                <w:rFonts w:ascii="宋体" w:hAnsi="宋体"/>
                <w:szCs w:val="21"/>
              </w:rPr>
            </w:pPr>
          </w:p>
        </w:tc>
        <w:tc>
          <w:tcPr>
            <w:tcW w:w="505" w:type="pct"/>
            <w:vAlign w:val="center"/>
          </w:tcPr>
          <w:p>
            <w:pPr>
              <w:adjustRightInd w:val="0"/>
              <w:snapToGrid w:val="0"/>
              <w:jc w:val="center"/>
              <w:rPr>
                <w:rFonts w:ascii="宋体" w:hAnsi="宋体"/>
                <w:bCs/>
                <w:szCs w:val="21"/>
              </w:rPr>
            </w:pPr>
          </w:p>
        </w:tc>
        <w:tc>
          <w:tcPr>
            <w:tcW w:w="506" w:type="pct"/>
            <w:vAlign w:val="center"/>
          </w:tcPr>
          <w:p>
            <w:pPr>
              <w:adjustRightInd w:val="0"/>
              <w:snapToGrid w:val="0"/>
              <w:jc w:val="center"/>
              <w:rPr>
                <w:rFonts w:ascii="宋体" w:hAnsi="宋体"/>
                <w:bCs/>
                <w:szCs w:val="21"/>
              </w:rPr>
            </w:pPr>
          </w:p>
        </w:tc>
        <w:tc>
          <w:tcPr>
            <w:tcW w:w="506" w:type="pct"/>
            <w:vAlign w:val="center"/>
          </w:tcPr>
          <w:p>
            <w:pPr>
              <w:adjustRightInd w:val="0"/>
              <w:snapToGrid w:val="0"/>
              <w:jc w:val="center"/>
              <w:rPr>
                <w:rFonts w:ascii="宋体" w:hAnsi="宋体"/>
                <w:bCs/>
                <w:szCs w:val="21"/>
              </w:rPr>
            </w:pPr>
          </w:p>
        </w:tc>
        <w:tc>
          <w:tcPr>
            <w:tcW w:w="469" w:type="pct"/>
            <w:vAlign w:val="center"/>
          </w:tcPr>
          <w:p>
            <w:pPr>
              <w:adjustRightInd w:val="0"/>
              <w:snapToGrid w:val="0"/>
              <w:jc w:val="center"/>
              <w:rPr>
                <w:rFonts w:ascii="宋体" w:hAnsi="宋体"/>
                <w:bCs/>
                <w:szCs w:val="21"/>
              </w:rPr>
            </w:pPr>
          </w:p>
        </w:tc>
        <w:tc>
          <w:tcPr>
            <w:tcW w:w="506" w:type="pct"/>
            <w:vAlign w:val="center"/>
          </w:tcPr>
          <w:p>
            <w:pPr>
              <w:adjustRightInd w:val="0"/>
              <w:snapToGrid w:val="0"/>
              <w:jc w:val="center"/>
              <w:rPr>
                <w:rFonts w:ascii="宋体" w:hAnsi="宋体"/>
                <w:bCs/>
                <w:szCs w:val="21"/>
              </w:rPr>
            </w:pPr>
          </w:p>
        </w:tc>
        <w:tc>
          <w:tcPr>
            <w:tcW w:w="506" w:type="pct"/>
            <w:vAlign w:val="center"/>
          </w:tcPr>
          <w:p>
            <w:pPr>
              <w:adjustRightInd w:val="0"/>
              <w:snapToGrid w:val="0"/>
              <w:jc w:val="center"/>
              <w:rPr>
                <w:rFonts w:ascii="宋体" w:hAnsi="宋体"/>
                <w:bCs/>
                <w:szCs w:val="21"/>
              </w:rPr>
            </w:pPr>
          </w:p>
        </w:tc>
        <w:tc>
          <w:tcPr>
            <w:tcW w:w="433" w:type="pct"/>
            <w:vAlign w:val="center"/>
          </w:tcPr>
          <w:p>
            <w:pPr>
              <w:adjustRightInd w:val="0"/>
              <w:snapToGrid w:val="0"/>
              <w:jc w:val="center"/>
              <w:rPr>
                <w:rFonts w:ascii="宋体" w:hAnsi="宋体"/>
                <w:bCs/>
                <w:szCs w:val="21"/>
              </w:rPr>
            </w:pPr>
          </w:p>
        </w:tc>
        <w:tc>
          <w:tcPr>
            <w:tcW w:w="660" w:type="pct"/>
            <w:vAlign w:val="center"/>
          </w:tcPr>
          <w:p>
            <w:pPr>
              <w:adjustRightInd w:val="0"/>
              <w:snapToGrid w:val="0"/>
              <w:jc w:val="center"/>
              <w:rPr>
                <w:rFonts w:ascii="宋体" w:hAnsi="宋体"/>
                <w:bCs/>
                <w:szCs w:val="21"/>
              </w:rPr>
            </w:pPr>
          </w:p>
        </w:tc>
        <w:tc>
          <w:tcPr>
            <w:tcW w:w="404" w:type="pct"/>
            <w:vAlign w:val="center"/>
          </w:tcPr>
          <w:p>
            <w:pPr>
              <w:adjustRightInd w:val="0"/>
              <w:snapToGrid w:val="0"/>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5" w:type="pct"/>
            <w:vAlign w:val="center"/>
          </w:tcPr>
          <w:p>
            <w:pPr>
              <w:adjustRightInd w:val="0"/>
              <w:snapToGrid w:val="0"/>
              <w:jc w:val="center"/>
              <w:rPr>
                <w:rFonts w:ascii="宋体" w:hAnsi="宋体"/>
                <w:szCs w:val="21"/>
              </w:rPr>
            </w:pPr>
          </w:p>
        </w:tc>
        <w:tc>
          <w:tcPr>
            <w:tcW w:w="505" w:type="pct"/>
            <w:vAlign w:val="center"/>
          </w:tcPr>
          <w:p>
            <w:pPr>
              <w:adjustRightInd w:val="0"/>
              <w:snapToGrid w:val="0"/>
              <w:jc w:val="center"/>
              <w:rPr>
                <w:rFonts w:ascii="宋体" w:hAnsi="宋体"/>
                <w:szCs w:val="21"/>
              </w:rPr>
            </w:pPr>
          </w:p>
        </w:tc>
        <w:tc>
          <w:tcPr>
            <w:tcW w:w="506" w:type="pct"/>
            <w:vAlign w:val="center"/>
          </w:tcPr>
          <w:p>
            <w:pPr>
              <w:adjustRightInd w:val="0"/>
              <w:snapToGrid w:val="0"/>
              <w:jc w:val="center"/>
              <w:rPr>
                <w:rFonts w:ascii="宋体" w:hAnsi="宋体"/>
                <w:szCs w:val="21"/>
              </w:rPr>
            </w:pPr>
          </w:p>
        </w:tc>
        <w:tc>
          <w:tcPr>
            <w:tcW w:w="506" w:type="pct"/>
            <w:vAlign w:val="center"/>
          </w:tcPr>
          <w:p>
            <w:pPr>
              <w:adjustRightInd w:val="0"/>
              <w:snapToGrid w:val="0"/>
              <w:jc w:val="center"/>
              <w:rPr>
                <w:rFonts w:ascii="宋体" w:hAnsi="宋体"/>
                <w:szCs w:val="21"/>
              </w:rPr>
            </w:pPr>
          </w:p>
        </w:tc>
        <w:tc>
          <w:tcPr>
            <w:tcW w:w="469" w:type="pct"/>
            <w:vAlign w:val="center"/>
          </w:tcPr>
          <w:p>
            <w:pPr>
              <w:adjustRightInd w:val="0"/>
              <w:snapToGrid w:val="0"/>
              <w:jc w:val="center"/>
              <w:rPr>
                <w:rFonts w:ascii="宋体" w:hAnsi="宋体"/>
                <w:szCs w:val="21"/>
              </w:rPr>
            </w:pPr>
          </w:p>
        </w:tc>
        <w:tc>
          <w:tcPr>
            <w:tcW w:w="506" w:type="pct"/>
            <w:vAlign w:val="center"/>
          </w:tcPr>
          <w:p>
            <w:pPr>
              <w:adjustRightInd w:val="0"/>
              <w:snapToGrid w:val="0"/>
              <w:jc w:val="center"/>
              <w:rPr>
                <w:rFonts w:ascii="宋体" w:hAnsi="宋体"/>
                <w:szCs w:val="21"/>
              </w:rPr>
            </w:pPr>
          </w:p>
        </w:tc>
        <w:tc>
          <w:tcPr>
            <w:tcW w:w="506" w:type="pct"/>
            <w:vAlign w:val="center"/>
          </w:tcPr>
          <w:p>
            <w:pPr>
              <w:adjustRightInd w:val="0"/>
              <w:snapToGrid w:val="0"/>
              <w:jc w:val="center"/>
              <w:rPr>
                <w:rFonts w:ascii="宋体" w:hAnsi="宋体"/>
                <w:szCs w:val="21"/>
              </w:rPr>
            </w:pPr>
          </w:p>
        </w:tc>
        <w:tc>
          <w:tcPr>
            <w:tcW w:w="433" w:type="pct"/>
            <w:vAlign w:val="center"/>
          </w:tcPr>
          <w:p>
            <w:pPr>
              <w:adjustRightInd w:val="0"/>
              <w:snapToGrid w:val="0"/>
              <w:jc w:val="center"/>
              <w:rPr>
                <w:rFonts w:ascii="宋体" w:hAnsi="宋体"/>
                <w:szCs w:val="21"/>
              </w:rPr>
            </w:pPr>
          </w:p>
        </w:tc>
        <w:tc>
          <w:tcPr>
            <w:tcW w:w="660" w:type="pct"/>
            <w:vAlign w:val="center"/>
          </w:tcPr>
          <w:p>
            <w:pPr>
              <w:adjustRightInd w:val="0"/>
              <w:snapToGrid w:val="0"/>
              <w:jc w:val="center"/>
              <w:rPr>
                <w:rFonts w:ascii="宋体" w:hAnsi="宋体"/>
                <w:szCs w:val="21"/>
              </w:rPr>
            </w:pPr>
          </w:p>
        </w:tc>
        <w:tc>
          <w:tcPr>
            <w:tcW w:w="404" w:type="pct"/>
            <w:vAlign w:val="center"/>
          </w:tcPr>
          <w:p>
            <w:pPr>
              <w:adjustRightInd w:val="0"/>
              <w:snapToGrid w:val="0"/>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5" w:type="pct"/>
            <w:vAlign w:val="center"/>
          </w:tcPr>
          <w:p>
            <w:pPr>
              <w:adjustRightInd w:val="0"/>
              <w:snapToGrid w:val="0"/>
              <w:jc w:val="center"/>
              <w:rPr>
                <w:rFonts w:ascii="宋体" w:hAnsi="宋体"/>
                <w:szCs w:val="21"/>
              </w:rPr>
            </w:pPr>
          </w:p>
        </w:tc>
        <w:tc>
          <w:tcPr>
            <w:tcW w:w="505" w:type="pct"/>
            <w:vAlign w:val="center"/>
          </w:tcPr>
          <w:p>
            <w:pPr>
              <w:adjustRightInd w:val="0"/>
              <w:snapToGrid w:val="0"/>
              <w:jc w:val="center"/>
              <w:rPr>
                <w:rFonts w:ascii="宋体" w:hAnsi="宋体"/>
                <w:szCs w:val="21"/>
              </w:rPr>
            </w:pPr>
          </w:p>
        </w:tc>
        <w:tc>
          <w:tcPr>
            <w:tcW w:w="506" w:type="pct"/>
            <w:vAlign w:val="center"/>
          </w:tcPr>
          <w:p>
            <w:pPr>
              <w:adjustRightInd w:val="0"/>
              <w:snapToGrid w:val="0"/>
              <w:jc w:val="center"/>
              <w:rPr>
                <w:rFonts w:ascii="宋体" w:hAnsi="宋体"/>
                <w:szCs w:val="21"/>
              </w:rPr>
            </w:pPr>
          </w:p>
        </w:tc>
        <w:tc>
          <w:tcPr>
            <w:tcW w:w="506" w:type="pct"/>
            <w:vAlign w:val="center"/>
          </w:tcPr>
          <w:p>
            <w:pPr>
              <w:adjustRightInd w:val="0"/>
              <w:snapToGrid w:val="0"/>
              <w:jc w:val="center"/>
              <w:rPr>
                <w:rFonts w:ascii="宋体" w:hAnsi="宋体"/>
                <w:szCs w:val="21"/>
              </w:rPr>
            </w:pPr>
          </w:p>
        </w:tc>
        <w:tc>
          <w:tcPr>
            <w:tcW w:w="469" w:type="pct"/>
            <w:vAlign w:val="center"/>
          </w:tcPr>
          <w:p>
            <w:pPr>
              <w:adjustRightInd w:val="0"/>
              <w:snapToGrid w:val="0"/>
              <w:jc w:val="center"/>
              <w:rPr>
                <w:rFonts w:ascii="宋体" w:hAnsi="宋体"/>
                <w:szCs w:val="21"/>
              </w:rPr>
            </w:pPr>
          </w:p>
        </w:tc>
        <w:tc>
          <w:tcPr>
            <w:tcW w:w="506" w:type="pct"/>
            <w:vAlign w:val="center"/>
          </w:tcPr>
          <w:p>
            <w:pPr>
              <w:adjustRightInd w:val="0"/>
              <w:snapToGrid w:val="0"/>
              <w:jc w:val="center"/>
              <w:rPr>
                <w:rFonts w:ascii="宋体" w:hAnsi="宋体"/>
                <w:szCs w:val="21"/>
              </w:rPr>
            </w:pPr>
          </w:p>
        </w:tc>
        <w:tc>
          <w:tcPr>
            <w:tcW w:w="506" w:type="pct"/>
            <w:vAlign w:val="center"/>
          </w:tcPr>
          <w:p>
            <w:pPr>
              <w:adjustRightInd w:val="0"/>
              <w:snapToGrid w:val="0"/>
              <w:jc w:val="center"/>
              <w:rPr>
                <w:rFonts w:ascii="宋体" w:hAnsi="宋体"/>
                <w:szCs w:val="21"/>
              </w:rPr>
            </w:pPr>
          </w:p>
        </w:tc>
        <w:tc>
          <w:tcPr>
            <w:tcW w:w="433" w:type="pct"/>
            <w:vAlign w:val="center"/>
          </w:tcPr>
          <w:p>
            <w:pPr>
              <w:adjustRightInd w:val="0"/>
              <w:snapToGrid w:val="0"/>
              <w:jc w:val="center"/>
              <w:rPr>
                <w:rFonts w:ascii="宋体" w:hAnsi="宋体"/>
                <w:szCs w:val="21"/>
              </w:rPr>
            </w:pPr>
          </w:p>
        </w:tc>
        <w:tc>
          <w:tcPr>
            <w:tcW w:w="660" w:type="pct"/>
            <w:vAlign w:val="center"/>
          </w:tcPr>
          <w:p>
            <w:pPr>
              <w:adjustRightInd w:val="0"/>
              <w:snapToGrid w:val="0"/>
              <w:jc w:val="center"/>
              <w:rPr>
                <w:rFonts w:ascii="宋体" w:hAnsi="宋体"/>
                <w:szCs w:val="21"/>
              </w:rPr>
            </w:pPr>
          </w:p>
        </w:tc>
        <w:tc>
          <w:tcPr>
            <w:tcW w:w="404" w:type="pct"/>
            <w:vAlign w:val="center"/>
          </w:tcPr>
          <w:p>
            <w:pPr>
              <w:adjustRightInd w:val="0"/>
              <w:snapToGrid w:val="0"/>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5" w:type="pct"/>
            <w:vAlign w:val="center"/>
          </w:tcPr>
          <w:p>
            <w:pPr>
              <w:adjustRightInd w:val="0"/>
              <w:snapToGrid w:val="0"/>
              <w:jc w:val="center"/>
              <w:rPr>
                <w:rFonts w:ascii="宋体" w:hAnsi="宋体"/>
                <w:szCs w:val="21"/>
              </w:rPr>
            </w:pPr>
          </w:p>
        </w:tc>
        <w:tc>
          <w:tcPr>
            <w:tcW w:w="505" w:type="pct"/>
            <w:vAlign w:val="center"/>
          </w:tcPr>
          <w:p>
            <w:pPr>
              <w:adjustRightInd w:val="0"/>
              <w:snapToGrid w:val="0"/>
              <w:jc w:val="center"/>
              <w:rPr>
                <w:rFonts w:ascii="宋体" w:hAnsi="宋体"/>
                <w:szCs w:val="21"/>
              </w:rPr>
            </w:pPr>
          </w:p>
        </w:tc>
        <w:tc>
          <w:tcPr>
            <w:tcW w:w="506" w:type="pct"/>
            <w:vAlign w:val="center"/>
          </w:tcPr>
          <w:p>
            <w:pPr>
              <w:adjustRightInd w:val="0"/>
              <w:snapToGrid w:val="0"/>
              <w:jc w:val="center"/>
              <w:rPr>
                <w:rFonts w:ascii="宋体" w:hAnsi="宋体"/>
                <w:szCs w:val="21"/>
              </w:rPr>
            </w:pPr>
          </w:p>
        </w:tc>
        <w:tc>
          <w:tcPr>
            <w:tcW w:w="506" w:type="pct"/>
            <w:vAlign w:val="center"/>
          </w:tcPr>
          <w:p>
            <w:pPr>
              <w:adjustRightInd w:val="0"/>
              <w:snapToGrid w:val="0"/>
              <w:jc w:val="center"/>
              <w:rPr>
                <w:rFonts w:ascii="宋体" w:hAnsi="宋体"/>
                <w:szCs w:val="21"/>
              </w:rPr>
            </w:pPr>
          </w:p>
        </w:tc>
        <w:tc>
          <w:tcPr>
            <w:tcW w:w="469" w:type="pct"/>
            <w:vAlign w:val="center"/>
          </w:tcPr>
          <w:p>
            <w:pPr>
              <w:adjustRightInd w:val="0"/>
              <w:snapToGrid w:val="0"/>
              <w:jc w:val="center"/>
              <w:rPr>
                <w:rFonts w:ascii="宋体" w:hAnsi="宋体"/>
                <w:szCs w:val="21"/>
              </w:rPr>
            </w:pPr>
          </w:p>
        </w:tc>
        <w:tc>
          <w:tcPr>
            <w:tcW w:w="506" w:type="pct"/>
            <w:vAlign w:val="center"/>
          </w:tcPr>
          <w:p>
            <w:pPr>
              <w:adjustRightInd w:val="0"/>
              <w:snapToGrid w:val="0"/>
              <w:jc w:val="center"/>
              <w:rPr>
                <w:rFonts w:ascii="宋体" w:hAnsi="宋体"/>
                <w:szCs w:val="21"/>
              </w:rPr>
            </w:pPr>
          </w:p>
        </w:tc>
        <w:tc>
          <w:tcPr>
            <w:tcW w:w="506" w:type="pct"/>
            <w:vAlign w:val="center"/>
          </w:tcPr>
          <w:p>
            <w:pPr>
              <w:adjustRightInd w:val="0"/>
              <w:snapToGrid w:val="0"/>
              <w:jc w:val="center"/>
              <w:rPr>
                <w:rFonts w:ascii="宋体" w:hAnsi="宋体"/>
                <w:szCs w:val="21"/>
              </w:rPr>
            </w:pPr>
          </w:p>
        </w:tc>
        <w:tc>
          <w:tcPr>
            <w:tcW w:w="433" w:type="pct"/>
            <w:vAlign w:val="center"/>
          </w:tcPr>
          <w:p>
            <w:pPr>
              <w:adjustRightInd w:val="0"/>
              <w:snapToGrid w:val="0"/>
              <w:jc w:val="center"/>
              <w:rPr>
                <w:rFonts w:ascii="宋体" w:hAnsi="宋体"/>
                <w:szCs w:val="21"/>
              </w:rPr>
            </w:pPr>
          </w:p>
        </w:tc>
        <w:tc>
          <w:tcPr>
            <w:tcW w:w="660" w:type="pct"/>
            <w:vAlign w:val="center"/>
          </w:tcPr>
          <w:p>
            <w:pPr>
              <w:adjustRightInd w:val="0"/>
              <w:snapToGrid w:val="0"/>
              <w:jc w:val="center"/>
              <w:rPr>
                <w:rFonts w:ascii="宋体" w:hAnsi="宋体"/>
                <w:szCs w:val="21"/>
              </w:rPr>
            </w:pPr>
          </w:p>
        </w:tc>
        <w:tc>
          <w:tcPr>
            <w:tcW w:w="404" w:type="pct"/>
            <w:vAlign w:val="center"/>
          </w:tcPr>
          <w:p>
            <w:pPr>
              <w:adjustRightInd w:val="0"/>
              <w:snapToGrid w:val="0"/>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5" w:type="pct"/>
            <w:vAlign w:val="center"/>
          </w:tcPr>
          <w:p>
            <w:pPr>
              <w:adjustRightInd w:val="0"/>
              <w:snapToGrid w:val="0"/>
              <w:jc w:val="center"/>
              <w:rPr>
                <w:rFonts w:ascii="宋体" w:hAnsi="宋体"/>
                <w:szCs w:val="21"/>
              </w:rPr>
            </w:pPr>
          </w:p>
        </w:tc>
        <w:tc>
          <w:tcPr>
            <w:tcW w:w="505" w:type="pct"/>
            <w:vAlign w:val="center"/>
          </w:tcPr>
          <w:p>
            <w:pPr>
              <w:adjustRightInd w:val="0"/>
              <w:snapToGrid w:val="0"/>
              <w:jc w:val="center"/>
              <w:rPr>
                <w:rFonts w:ascii="宋体" w:hAnsi="宋体"/>
                <w:szCs w:val="21"/>
              </w:rPr>
            </w:pPr>
          </w:p>
        </w:tc>
        <w:tc>
          <w:tcPr>
            <w:tcW w:w="506" w:type="pct"/>
            <w:vAlign w:val="center"/>
          </w:tcPr>
          <w:p>
            <w:pPr>
              <w:adjustRightInd w:val="0"/>
              <w:snapToGrid w:val="0"/>
              <w:jc w:val="center"/>
              <w:rPr>
                <w:rFonts w:ascii="宋体" w:hAnsi="宋体"/>
                <w:szCs w:val="21"/>
              </w:rPr>
            </w:pPr>
          </w:p>
        </w:tc>
        <w:tc>
          <w:tcPr>
            <w:tcW w:w="506" w:type="pct"/>
            <w:vAlign w:val="center"/>
          </w:tcPr>
          <w:p>
            <w:pPr>
              <w:adjustRightInd w:val="0"/>
              <w:snapToGrid w:val="0"/>
              <w:jc w:val="center"/>
              <w:rPr>
                <w:rFonts w:ascii="宋体" w:hAnsi="宋体"/>
                <w:szCs w:val="21"/>
              </w:rPr>
            </w:pPr>
          </w:p>
        </w:tc>
        <w:tc>
          <w:tcPr>
            <w:tcW w:w="469" w:type="pct"/>
            <w:vAlign w:val="center"/>
          </w:tcPr>
          <w:p>
            <w:pPr>
              <w:adjustRightInd w:val="0"/>
              <w:snapToGrid w:val="0"/>
              <w:jc w:val="center"/>
              <w:rPr>
                <w:rFonts w:ascii="宋体" w:hAnsi="宋体"/>
                <w:szCs w:val="21"/>
              </w:rPr>
            </w:pPr>
          </w:p>
        </w:tc>
        <w:tc>
          <w:tcPr>
            <w:tcW w:w="506" w:type="pct"/>
            <w:vAlign w:val="center"/>
          </w:tcPr>
          <w:p>
            <w:pPr>
              <w:adjustRightInd w:val="0"/>
              <w:snapToGrid w:val="0"/>
              <w:jc w:val="center"/>
              <w:rPr>
                <w:rFonts w:ascii="宋体" w:hAnsi="宋体"/>
                <w:szCs w:val="21"/>
              </w:rPr>
            </w:pPr>
          </w:p>
        </w:tc>
        <w:tc>
          <w:tcPr>
            <w:tcW w:w="506" w:type="pct"/>
            <w:vAlign w:val="center"/>
          </w:tcPr>
          <w:p>
            <w:pPr>
              <w:adjustRightInd w:val="0"/>
              <w:snapToGrid w:val="0"/>
              <w:jc w:val="center"/>
              <w:rPr>
                <w:rFonts w:ascii="宋体" w:hAnsi="宋体"/>
                <w:szCs w:val="21"/>
              </w:rPr>
            </w:pPr>
          </w:p>
        </w:tc>
        <w:tc>
          <w:tcPr>
            <w:tcW w:w="433" w:type="pct"/>
            <w:vAlign w:val="center"/>
          </w:tcPr>
          <w:p>
            <w:pPr>
              <w:adjustRightInd w:val="0"/>
              <w:snapToGrid w:val="0"/>
              <w:jc w:val="center"/>
              <w:rPr>
                <w:rFonts w:ascii="宋体" w:hAnsi="宋体"/>
                <w:szCs w:val="21"/>
              </w:rPr>
            </w:pPr>
          </w:p>
        </w:tc>
        <w:tc>
          <w:tcPr>
            <w:tcW w:w="660" w:type="pct"/>
            <w:vAlign w:val="center"/>
          </w:tcPr>
          <w:p>
            <w:pPr>
              <w:adjustRightInd w:val="0"/>
              <w:snapToGrid w:val="0"/>
              <w:jc w:val="center"/>
              <w:rPr>
                <w:rFonts w:ascii="宋体" w:hAnsi="宋体"/>
                <w:szCs w:val="21"/>
              </w:rPr>
            </w:pPr>
          </w:p>
        </w:tc>
        <w:tc>
          <w:tcPr>
            <w:tcW w:w="404" w:type="pct"/>
            <w:vAlign w:val="center"/>
          </w:tcPr>
          <w:p>
            <w:pPr>
              <w:adjustRightInd w:val="0"/>
              <w:snapToGrid w:val="0"/>
              <w:jc w:val="center"/>
              <w:rPr>
                <w:rFonts w:ascii="宋体" w:hAnsi="宋体"/>
                <w:szCs w:val="21"/>
              </w:rPr>
            </w:pPr>
          </w:p>
        </w:tc>
      </w:tr>
    </w:tbl>
    <w:p>
      <w:pPr>
        <w:adjustRightInd w:val="0"/>
        <w:snapToGrid w:val="0"/>
        <w:spacing w:line="480" w:lineRule="atLeast"/>
        <w:ind w:firstLine="480" w:firstLineChars="200"/>
        <w:rPr>
          <w:rFonts w:ascii="宋体" w:hAnsi="宋体"/>
        </w:rPr>
      </w:pPr>
      <w:r>
        <w:rPr>
          <w:rFonts w:ascii="宋体" w:hAnsi="宋体"/>
        </w:rPr>
        <w:t>1、备品备件</w:t>
      </w:r>
    </w:p>
    <w:p>
      <w:pPr>
        <w:adjustRightInd w:val="0"/>
        <w:snapToGrid w:val="0"/>
        <w:spacing w:line="480" w:lineRule="atLeast"/>
        <w:ind w:firstLine="480" w:firstLineChars="200"/>
        <w:rPr>
          <w:rFonts w:ascii="宋体" w:hAnsi="宋体"/>
          <w:lang w:eastAsia="zh-CN"/>
        </w:rPr>
      </w:pPr>
      <w:r>
        <w:rPr>
          <w:rFonts w:ascii="宋体" w:hAnsi="宋体"/>
          <w:lang w:eastAsia="zh-CN"/>
        </w:rPr>
        <w:t>（1）</w:t>
      </w:r>
      <w:r>
        <w:rPr>
          <w:rFonts w:hint="eastAsia" w:ascii="宋体" w:hAnsi="宋体"/>
          <w:lang w:eastAsia="zh-CN"/>
        </w:rPr>
        <w:t>、</w:t>
      </w:r>
      <w:r>
        <w:rPr>
          <w:rFonts w:ascii="宋体" w:hAnsi="宋体"/>
          <w:lang w:eastAsia="zh-CN"/>
        </w:rPr>
        <w:t>投标方应保证备品备件长期稳定的供货。对主要备品备件及与其可兼容的插件替代品，其备品的供货期至少是</w:t>
      </w:r>
      <w:r>
        <w:rPr>
          <w:rFonts w:hint="eastAsia" w:ascii="宋体" w:hAnsi="宋体"/>
          <w:lang w:eastAsia="zh-CN"/>
        </w:rPr>
        <w:t>产品投入运行后12年内</w:t>
      </w:r>
      <w:r>
        <w:rPr>
          <w:rFonts w:ascii="宋体" w:hAnsi="宋体"/>
          <w:lang w:eastAsia="zh-CN"/>
        </w:rPr>
        <w:t>。当投标方决定中断生产某些组件或设备时，应预先告知招标方，以便招标方增加这些设备的备品备件。投标方应在该期限内向招标方提供最优惠的价格，满足招标方购买时的要求。</w:t>
      </w:r>
    </w:p>
    <w:p>
      <w:pPr>
        <w:adjustRightInd w:val="0"/>
        <w:snapToGrid w:val="0"/>
        <w:spacing w:line="480" w:lineRule="atLeast"/>
        <w:ind w:firstLine="480" w:firstLineChars="200"/>
        <w:rPr>
          <w:rFonts w:ascii="宋体" w:hAnsi="宋体"/>
          <w:lang w:eastAsia="zh-CN"/>
        </w:rPr>
      </w:pPr>
      <w:r>
        <w:rPr>
          <w:rFonts w:ascii="宋体" w:hAnsi="宋体"/>
          <w:lang w:eastAsia="zh-CN"/>
        </w:rPr>
        <w:t>（2）</w:t>
      </w:r>
      <w:r>
        <w:rPr>
          <w:rFonts w:hint="eastAsia" w:ascii="宋体" w:hAnsi="宋体"/>
          <w:lang w:eastAsia="zh-CN"/>
        </w:rPr>
        <w:t>、</w:t>
      </w:r>
      <w:r>
        <w:rPr>
          <w:rFonts w:ascii="宋体" w:hAnsi="宋体"/>
          <w:lang w:eastAsia="zh-CN"/>
        </w:rPr>
        <w:t>投标方应提供有关备品备件的保管储藏资料，如存放期限、所需的干燥器等。</w:t>
      </w:r>
    </w:p>
    <w:p>
      <w:pPr>
        <w:adjustRightInd w:val="0"/>
        <w:snapToGrid w:val="0"/>
        <w:spacing w:line="480" w:lineRule="atLeast"/>
        <w:ind w:firstLine="480" w:firstLineChars="200"/>
        <w:rPr>
          <w:rFonts w:ascii="宋体" w:hAnsi="宋体"/>
          <w:lang w:eastAsia="zh-CN"/>
        </w:rPr>
      </w:pPr>
      <w:r>
        <w:rPr>
          <w:rFonts w:ascii="宋体" w:hAnsi="宋体"/>
          <w:lang w:eastAsia="zh-CN"/>
        </w:rPr>
        <w:t>（</w:t>
      </w:r>
      <w:r>
        <w:rPr>
          <w:rFonts w:hint="eastAsia" w:ascii="宋体" w:hAnsi="宋体"/>
          <w:lang w:eastAsia="zh-CN"/>
        </w:rPr>
        <w:t>3</w:t>
      </w:r>
      <w:r>
        <w:rPr>
          <w:rFonts w:ascii="宋体" w:hAnsi="宋体"/>
          <w:lang w:eastAsia="zh-CN"/>
        </w:rPr>
        <w:t>）</w:t>
      </w:r>
      <w:r>
        <w:rPr>
          <w:rFonts w:hint="eastAsia" w:ascii="宋体" w:hAnsi="宋体"/>
          <w:lang w:eastAsia="zh-CN"/>
        </w:rPr>
        <w:t>、</w:t>
      </w:r>
      <w:r>
        <w:rPr>
          <w:rFonts w:ascii="宋体" w:hAnsi="宋体"/>
          <w:lang w:eastAsia="zh-CN"/>
        </w:rPr>
        <w:t>所有备品备件的主要部件都应逐一进行测试，以保证在系统中正常运行。</w:t>
      </w:r>
    </w:p>
    <w:p>
      <w:pPr>
        <w:adjustRightInd w:val="0"/>
        <w:snapToGrid w:val="0"/>
        <w:spacing w:line="480" w:lineRule="atLeast"/>
        <w:ind w:firstLine="480" w:firstLineChars="200"/>
        <w:rPr>
          <w:rFonts w:ascii="宋体" w:hAnsi="宋体"/>
          <w:lang w:eastAsia="zh-CN"/>
        </w:rPr>
      </w:pPr>
      <w:r>
        <w:rPr>
          <w:rFonts w:ascii="宋体" w:hAnsi="宋体"/>
          <w:lang w:eastAsia="zh-CN"/>
        </w:rPr>
        <w:t>（</w:t>
      </w:r>
      <w:r>
        <w:rPr>
          <w:rFonts w:hint="eastAsia" w:ascii="宋体" w:hAnsi="宋体"/>
          <w:lang w:eastAsia="zh-CN"/>
        </w:rPr>
        <w:t>4</w:t>
      </w:r>
      <w:r>
        <w:rPr>
          <w:rFonts w:ascii="宋体" w:hAnsi="宋体"/>
          <w:lang w:eastAsia="zh-CN"/>
        </w:rPr>
        <w:t>）</w:t>
      </w:r>
      <w:r>
        <w:rPr>
          <w:rFonts w:hint="eastAsia" w:ascii="宋体" w:hAnsi="宋体"/>
          <w:lang w:eastAsia="zh-CN"/>
        </w:rPr>
        <w:t>、</w:t>
      </w:r>
      <w:r>
        <w:rPr>
          <w:rFonts w:ascii="宋体" w:hAnsi="宋体"/>
          <w:lang w:eastAsia="zh-CN"/>
        </w:rPr>
        <w:t>备品备件应是新品，与设备同型号、同工艺。</w:t>
      </w:r>
    </w:p>
    <w:p>
      <w:pPr>
        <w:adjustRightInd w:val="0"/>
        <w:snapToGrid w:val="0"/>
        <w:spacing w:line="480" w:lineRule="atLeast"/>
        <w:ind w:firstLine="480" w:firstLineChars="200"/>
        <w:rPr>
          <w:rFonts w:ascii="宋体" w:hAnsi="宋体"/>
          <w:lang w:eastAsia="zh-CN"/>
        </w:rPr>
      </w:pPr>
      <w:r>
        <w:rPr>
          <w:rFonts w:ascii="宋体" w:hAnsi="宋体"/>
          <w:lang w:eastAsia="zh-CN"/>
        </w:rPr>
        <w:t>2、专用工具</w:t>
      </w:r>
    </w:p>
    <w:p>
      <w:pPr>
        <w:adjustRightInd w:val="0"/>
        <w:snapToGrid w:val="0"/>
        <w:spacing w:line="480" w:lineRule="atLeast"/>
        <w:ind w:firstLine="480" w:firstLineChars="200"/>
        <w:rPr>
          <w:rFonts w:ascii="宋体" w:hAnsi="宋体"/>
          <w:lang w:eastAsia="zh-CN"/>
        </w:rPr>
      </w:pPr>
      <w:r>
        <w:rPr>
          <w:rFonts w:ascii="宋体" w:hAnsi="宋体"/>
          <w:lang w:eastAsia="zh-CN"/>
        </w:rPr>
        <w:t>投标方应提供所有便于维修和安装</w:t>
      </w:r>
      <w:r>
        <w:rPr>
          <w:rFonts w:hint="eastAsia" w:ascii="宋体" w:hAnsi="宋体"/>
          <w:lang w:eastAsia="zh-CN"/>
        </w:rPr>
        <w:t>时间同步</w:t>
      </w:r>
      <w:r>
        <w:rPr>
          <w:rFonts w:ascii="宋体" w:hAnsi="宋体"/>
          <w:lang w:eastAsia="zh-CN"/>
        </w:rPr>
        <w:t>系统所用的专用工具，而且这些工具用户难于从电气和电子市场买到，专用工具至少应包括下列项目：</w:t>
      </w:r>
    </w:p>
    <w:p>
      <w:pPr>
        <w:numPr>
          <w:ilvl w:val="0"/>
          <w:numId w:val="8"/>
        </w:numPr>
        <w:adjustRightInd w:val="0"/>
        <w:snapToGrid w:val="0"/>
        <w:spacing w:line="480" w:lineRule="atLeast"/>
        <w:ind w:left="0" w:firstLine="480" w:firstLineChars="200"/>
        <w:rPr>
          <w:rFonts w:ascii="宋体" w:hAnsi="宋体"/>
          <w:lang w:eastAsia="zh-CN"/>
        </w:rPr>
      </w:pPr>
      <w:r>
        <w:rPr>
          <w:rFonts w:hint="eastAsia" w:ascii="宋体" w:hAnsi="宋体"/>
          <w:lang w:eastAsia="zh-CN"/>
        </w:rPr>
        <w:t>、</w:t>
      </w:r>
      <w:r>
        <w:rPr>
          <w:rFonts w:ascii="宋体" w:hAnsi="宋体"/>
          <w:lang w:eastAsia="zh-CN"/>
        </w:rPr>
        <w:t>专用测试设备</w:t>
      </w:r>
      <w:r>
        <w:rPr>
          <w:rFonts w:hint="eastAsia" w:ascii="宋体" w:hAnsi="宋体"/>
          <w:lang w:eastAsia="zh-CN"/>
        </w:rPr>
        <w:t>；</w:t>
      </w:r>
    </w:p>
    <w:p>
      <w:pPr>
        <w:numPr>
          <w:ilvl w:val="0"/>
          <w:numId w:val="8"/>
        </w:numPr>
        <w:adjustRightInd w:val="0"/>
        <w:snapToGrid w:val="0"/>
        <w:spacing w:line="480" w:lineRule="atLeast"/>
        <w:ind w:left="0" w:firstLine="480" w:firstLineChars="200"/>
        <w:rPr>
          <w:rFonts w:ascii="宋体" w:hAnsi="宋体"/>
          <w:lang w:eastAsia="zh-CN"/>
        </w:rPr>
      </w:pPr>
      <w:r>
        <w:rPr>
          <w:rFonts w:hint="eastAsia" w:ascii="宋体" w:hAnsi="宋体"/>
          <w:lang w:eastAsia="zh-CN"/>
        </w:rPr>
        <w:t>、</w:t>
      </w:r>
      <w:r>
        <w:rPr>
          <w:rFonts w:ascii="宋体" w:hAnsi="宋体"/>
          <w:lang w:eastAsia="zh-CN"/>
        </w:rPr>
        <w:t>专用工具、夹具、卡具</w:t>
      </w:r>
      <w:r>
        <w:rPr>
          <w:rFonts w:hint="eastAsia" w:ascii="宋体" w:hAnsi="宋体"/>
          <w:lang w:eastAsia="zh-CN"/>
        </w:rPr>
        <w:t>等。</w:t>
      </w:r>
    </w:p>
    <w:p>
      <w:pPr>
        <w:adjustRightInd w:val="0"/>
        <w:snapToGrid w:val="0"/>
        <w:spacing w:line="480" w:lineRule="atLeast"/>
        <w:ind w:firstLine="480" w:firstLineChars="200"/>
        <w:rPr>
          <w:lang w:eastAsia="zh-CN"/>
        </w:rPr>
      </w:pPr>
      <w:r>
        <w:rPr>
          <w:rFonts w:ascii="宋体" w:hAnsi="宋体"/>
          <w:lang w:eastAsia="zh-CN"/>
        </w:rPr>
        <w:t>除专用工具外，投标方还应向招标方提供一份推荐的维修测试人员必备的标准工具清单。</w:t>
      </w:r>
    </w:p>
    <w:p>
      <w:pPr>
        <w:ind w:firstLine="482"/>
        <w:outlineLvl w:val="0"/>
        <w:rPr>
          <w:rFonts w:ascii="宋体" w:hAnsi="宋体"/>
          <w:b/>
          <w:lang w:eastAsia="zh-CN"/>
        </w:rPr>
      </w:pPr>
      <w:r>
        <w:rPr>
          <w:rFonts w:ascii="宋体" w:hAnsi="宋体"/>
          <w:b/>
          <w:lang w:eastAsia="zh-CN"/>
        </w:rPr>
        <w:br w:type="page"/>
      </w:r>
      <w:bookmarkStart w:id="64" w:name="_Toc96010214"/>
      <w:bookmarkStart w:id="65" w:name="_Toc5627320"/>
      <w:r>
        <w:rPr>
          <w:rFonts w:ascii="宋体" w:hAnsi="宋体"/>
          <w:b/>
          <w:lang w:eastAsia="zh-CN"/>
        </w:rPr>
        <w:t>附表</w:t>
      </w:r>
      <w:r>
        <w:rPr>
          <w:rFonts w:hint="eastAsia" w:ascii="宋体" w:hAnsi="宋体"/>
          <w:b/>
          <w:lang w:eastAsia="zh-CN"/>
        </w:rPr>
        <w:t>四</w:t>
      </w:r>
      <w:r>
        <w:rPr>
          <w:rFonts w:ascii="宋体" w:hAnsi="宋体"/>
          <w:b/>
          <w:lang w:eastAsia="zh-CN"/>
        </w:rPr>
        <w:t xml:space="preserve"> </w:t>
      </w:r>
      <w:r>
        <w:rPr>
          <w:rFonts w:hint="eastAsia" w:ascii="宋体" w:hAnsi="宋体"/>
          <w:b/>
          <w:lang w:eastAsia="zh-CN"/>
        </w:rPr>
        <w:t xml:space="preserve"> 专用工具清单</w:t>
      </w:r>
      <w:bookmarkEnd w:id="64"/>
      <w:bookmarkEnd w:id="65"/>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8"/>
        <w:gridCol w:w="948"/>
        <w:gridCol w:w="950"/>
        <w:gridCol w:w="950"/>
        <w:gridCol w:w="879"/>
        <w:gridCol w:w="950"/>
        <w:gridCol w:w="950"/>
        <w:gridCol w:w="939"/>
        <w:gridCol w:w="1243"/>
        <w:gridCol w:w="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505" w:type="pct"/>
            <w:vAlign w:val="center"/>
          </w:tcPr>
          <w:p>
            <w:pPr>
              <w:adjustRightInd w:val="0"/>
              <w:snapToGrid w:val="0"/>
              <w:ind w:firstLine="0"/>
              <w:jc w:val="center"/>
              <w:rPr>
                <w:rFonts w:ascii="宋体" w:hAnsi="宋体"/>
                <w:b/>
                <w:bCs/>
                <w:szCs w:val="21"/>
              </w:rPr>
            </w:pPr>
            <w:r>
              <w:rPr>
                <w:rFonts w:ascii="宋体" w:hAnsi="宋体"/>
                <w:b/>
                <w:bCs/>
                <w:szCs w:val="21"/>
              </w:rPr>
              <w:t>序号</w:t>
            </w:r>
          </w:p>
        </w:tc>
        <w:tc>
          <w:tcPr>
            <w:tcW w:w="505" w:type="pct"/>
            <w:vAlign w:val="center"/>
          </w:tcPr>
          <w:p>
            <w:pPr>
              <w:adjustRightInd w:val="0"/>
              <w:snapToGrid w:val="0"/>
              <w:ind w:firstLine="0"/>
              <w:jc w:val="center"/>
              <w:rPr>
                <w:rFonts w:ascii="宋体" w:hAnsi="宋体"/>
                <w:b/>
                <w:bCs/>
                <w:szCs w:val="21"/>
              </w:rPr>
            </w:pPr>
            <w:r>
              <w:rPr>
                <w:rFonts w:ascii="宋体" w:hAnsi="宋体"/>
                <w:b/>
                <w:bCs/>
                <w:szCs w:val="21"/>
              </w:rPr>
              <w:t>设备</w:t>
            </w:r>
          </w:p>
          <w:p>
            <w:pPr>
              <w:adjustRightInd w:val="0"/>
              <w:snapToGrid w:val="0"/>
              <w:ind w:firstLine="0"/>
              <w:jc w:val="center"/>
              <w:rPr>
                <w:rFonts w:ascii="宋体" w:hAnsi="宋体"/>
                <w:b/>
                <w:bCs/>
                <w:szCs w:val="21"/>
              </w:rPr>
            </w:pPr>
            <w:r>
              <w:rPr>
                <w:rFonts w:ascii="宋体" w:hAnsi="宋体"/>
                <w:b/>
                <w:bCs/>
                <w:szCs w:val="21"/>
              </w:rPr>
              <w:t>名称</w:t>
            </w:r>
          </w:p>
        </w:tc>
        <w:tc>
          <w:tcPr>
            <w:tcW w:w="506" w:type="pct"/>
            <w:vAlign w:val="center"/>
          </w:tcPr>
          <w:p>
            <w:pPr>
              <w:adjustRightInd w:val="0"/>
              <w:snapToGrid w:val="0"/>
              <w:ind w:firstLine="0"/>
              <w:jc w:val="center"/>
              <w:rPr>
                <w:rFonts w:ascii="宋体" w:hAnsi="宋体"/>
                <w:b/>
                <w:bCs/>
                <w:szCs w:val="21"/>
              </w:rPr>
            </w:pPr>
            <w:r>
              <w:rPr>
                <w:rFonts w:ascii="宋体" w:hAnsi="宋体"/>
                <w:b/>
                <w:bCs/>
                <w:szCs w:val="21"/>
              </w:rPr>
              <w:t>型号</w:t>
            </w:r>
          </w:p>
          <w:p>
            <w:pPr>
              <w:adjustRightInd w:val="0"/>
              <w:snapToGrid w:val="0"/>
              <w:ind w:firstLine="0"/>
              <w:jc w:val="center"/>
              <w:rPr>
                <w:rFonts w:ascii="宋体" w:hAnsi="宋体"/>
                <w:b/>
                <w:bCs/>
                <w:szCs w:val="21"/>
              </w:rPr>
            </w:pPr>
            <w:r>
              <w:rPr>
                <w:rFonts w:ascii="宋体" w:hAnsi="宋体"/>
                <w:b/>
                <w:bCs/>
                <w:szCs w:val="21"/>
              </w:rPr>
              <w:t>规格</w:t>
            </w:r>
          </w:p>
        </w:tc>
        <w:tc>
          <w:tcPr>
            <w:tcW w:w="506" w:type="pct"/>
            <w:vAlign w:val="center"/>
          </w:tcPr>
          <w:p>
            <w:pPr>
              <w:adjustRightInd w:val="0"/>
              <w:snapToGrid w:val="0"/>
              <w:ind w:firstLine="0"/>
              <w:jc w:val="center"/>
              <w:rPr>
                <w:rFonts w:ascii="宋体" w:hAnsi="宋体"/>
                <w:b/>
                <w:bCs/>
                <w:szCs w:val="21"/>
              </w:rPr>
            </w:pPr>
            <w:r>
              <w:rPr>
                <w:rFonts w:ascii="宋体" w:hAnsi="宋体"/>
                <w:b/>
                <w:bCs/>
                <w:szCs w:val="21"/>
              </w:rPr>
              <w:t>技术</w:t>
            </w:r>
          </w:p>
          <w:p>
            <w:pPr>
              <w:adjustRightInd w:val="0"/>
              <w:snapToGrid w:val="0"/>
              <w:ind w:firstLine="0"/>
              <w:jc w:val="center"/>
              <w:rPr>
                <w:rFonts w:ascii="宋体" w:hAnsi="宋体"/>
                <w:b/>
                <w:bCs/>
                <w:szCs w:val="21"/>
              </w:rPr>
            </w:pPr>
            <w:r>
              <w:rPr>
                <w:rFonts w:ascii="宋体" w:hAnsi="宋体"/>
                <w:b/>
                <w:bCs/>
                <w:szCs w:val="21"/>
              </w:rPr>
              <w:t>说明</w:t>
            </w:r>
          </w:p>
        </w:tc>
        <w:tc>
          <w:tcPr>
            <w:tcW w:w="469" w:type="pct"/>
            <w:vAlign w:val="center"/>
          </w:tcPr>
          <w:p>
            <w:pPr>
              <w:adjustRightInd w:val="0"/>
              <w:snapToGrid w:val="0"/>
              <w:ind w:firstLine="0"/>
              <w:jc w:val="center"/>
              <w:rPr>
                <w:rFonts w:ascii="宋体" w:hAnsi="宋体"/>
                <w:b/>
                <w:bCs/>
                <w:szCs w:val="21"/>
              </w:rPr>
            </w:pPr>
            <w:r>
              <w:rPr>
                <w:rFonts w:ascii="宋体" w:hAnsi="宋体"/>
                <w:b/>
                <w:bCs/>
                <w:szCs w:val="21"/>
              </w:rPr>
              <w:t>单位</w:t>
            </w:r>
          </w:p>
        </w:tc>
        <w:tc>
          <w:tcPr>
            <w:tcW w:w="506" w:type="pct"/>
            <w:vAlign w:val="center"/>
          </w:tcPr>
          <w:p>
            <w:pPr>
              <w:adjustRightInd w:val="0"/>
              <w:snapToGrid w:val="0"/>
              <w:ind w:firstLine="0"/>
              <w:jc w:val="center"/>
              <w:rPr>
                <w:rFonts w:ascii="宋体" w:hAnsi="宋体"/>
                <w:b/>
                <w:bCs/>
                <w:szCs w:val="21"/>
              </w:rPr>
            </w:pPr>
            <w:r>
              <w:rPr>
                <w:rFonts w:ascii="宋体" w:hAnsi="宋体"/>
                <w:b/>
                <w:bCs/>
                <w:szCs w:val="21"/>
              </w:rPr>
              <w:t>数量</w:t>
            </w:r>
          </w:p>
        </w:tc>
        <w:tc>
          <w:tcPr>
            <w:tcW w:w="506" w:type="pct"/>
            <w:vAlign w:val="center"/>
          </w:tcPr>
          <w:p>
            <w:pPr>
              <w:adjustRightInd w:val="0"/>
              <w:snapToGrid w:val="0"/>
              <w:ind w:firstLine="0"/>
              <w:jc w:val="center"/>
              <w:rPr>
                <w:rFonts w:ascii="宋体" w:hAnsi="宋体"/>
                <w:b/>
                <w:bCs/>
                <w:szCs w:val="21"/>
              </w:rPr>
            </w:pPr>
            <w:r>
              <w:rPr>
                <w:rFonts w:ascii="宋体" w:hAnsi="宋体"/>
                <w:b/>
                <w:bCs/>
                <w:szCs w:val="21"/>
              </w:rPr>
              <w:t>单价</w:t>
            </w:r>
            <w:r>
              <w:rPr>
                <w:rFonts w:hint="eastAsia" w:ascii="宋体" w:hAnsi="宋体"/>
                <w:b/>
                <w:bCs/>
                <w:szCs w:val="21"/>
              </w:rPr>
              <w:t>（元）</w:t>
            </w:r>
          </w:p>
        </w:tc>
        <w:tc>
          <w:tcPr>
            <w:tcW w:w="433" w:type="pct"/>
            <w:vAlign w:val="center"/>
          </w:tcPr>
          <w:p>
            <w:pPr>
              <w:adjustRightInd w:val="0"/>
              <w:snapToGrid w:val="0"/>
              <w:ind w:firstLine="0"/>
              <w:jc w:val="center"/>
              <w:rPr>
                <w:rFonts w:ascii="宋体" w:hAnsi="宋体"/>
                <w:b/>
                <w:bCs/>
                <w:szCs w:val="21"/>
              </w:rPr>
            </w:pPr>
            <w:r>
              <w:rPr>
                <w:rFonts w:ascii="宋体" w:hAnsi="宋体"/>
                <w:b/>
                <w:bCs/>
                <w:szCs w:val="21"/>
              </w:rPr>
              <w:t>价格</w:t>
            </w:r>
          </w:p>
          <w:p>
            <w:pPr>
              <w:adjustRightInd w:val="0"/>
              <w:snapToGrid w:val="0"/>
              <w:ind w:firstLine="0"/>
              <w:jc w:val="center"/>
              <w:rPr>
                <w:rFonts w:ascii="宋体" w:hAnsi="宋体"/>
                <w:b/>
                <w:bCs/>
                <w:szCs w:val="21"/>
              </w:rPr>
            </w:pPr>
            <w:r>
              <w:rPr>
                <w:rFonts w:ascii="宋体" w:hAnsi="宋体"/>
                <w:b/>
                <w:bCs/>
                <w:szCs w:val="21"/>
              </w:rPr>
              <w:t>合计</w:t>
            </w:r>
            <w:r>
              <w:rPr>
                <w:rFonts w:hint="eastAsia" w:ascii="宋体" w:hAnsi="宋体"/>
                <w:b/>
                <w:bCs/>
                <w:szCs w:val="21"/>
              </w:rPr>
              <w:t>（元）</w:t>
            </w:r>
          </w:p>
        </w:tc>
        <w:tc>
          <w:tcPr>
            <w:tcW w:w="660" w:type="pct"/>
            <w:vAlign w:val="center"/>
          </w:tcPr>
          <w:p>
            <w:pPr>
              <w:adjustRightInd w:val="0"/>
              <w:snapToGrid w:val="0"/>
              <w:ind w:firstLine="0"/>
              <w:jc w:val="center"/>
              <w:rPr>
                <w:rFonts w:ascii="宋体" w:hAnsi="宋体"/>
                <w:b/>
                <w:bCs/>
                <w:szCs w:val="21"/>
              </w:rPr>
            </w:pPr>
            <w:r>
              <w:rPr>
                <w:rFonts w:ascii="宋体" w:hAnsi="宋体"/>
                <w:b/>
                <w:bCs/>
                <w:szCs w:val="21"/>
              </w:rPr>
              <w:t>生产厂家及产地</w:t>
            </w:r>
          </w:p>
        </w:tc>
        <w:tc>
          <w:tcPr>
            <w:tcW w:w="404" w:type="pct"/>
            <w:vAlign w:val="center"/>
          </w:tcPr>
          <w:p>
            <w:pPr>
              <w:adjustRightInd w:val="0"/>
              <w:snapToGrid w:val="0"/>
              <w:ind w:firstLine="0"/>
              <w:jc w:val="center"/>
              <w:rPr>
                <w:rFonts w:ascii="宋体" w:hAnsi="宋体"/>
                <w:b/>
                <w:bCs/>
                <w:szCs w:val="21"/>
              </w:rPr>
            </w:pPr>
            <w:r>
              <w:rPr>
                <w:rFonts w:ascii="宋体" w:hAnsi="宋体"/>
                <w:b/>
                <w:bCs/>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5" w:type="pct"/>
            <w:vAlign w:val="center"/>
          </w:tcPr>
          <w:p>
            <w:pPr>
              <w:adjustRightInd w:val="0"/>
              <w:snapToGrid w:val="0"/>
              <w:jc w:val="center"/>
              <w:rPr>
                <w:rFonts w:ascii="宋体" w:hAnsi="宋体"/>
                <w:szCs w:val="21"/>
              </w:rPr>
            </w:pPr>
          </w:p>
        </w:tc>
        <w:tc>
          <w:tcPr>
            <w:tcW w:w="505" w:type="pct"/>
            <w:vAlign w:val="center"/>
          </w:tcPr>
          <w:p>
            <w:pPr>
              <w:adjustRightInd w:val="0"/>
              <w:snapToGrid w:val="0"/>
              <w:jc w:val="center"/>
              <w:rPr>
                <w:rFonts w:ascii="宋体" w:hAnsi="宋体"/>
                <w:bCs/>
                <w:szCs w:val="21"/>
              </w:rPr>
            </w:pPr>
          </w:p>
        </w:tc>
        <w:tc>
          <w:tcPr>
            <w:tcW w:w="506" w:type="pct"/>
            <w:vAlign w:val="center"/>
          </w:tcPr>
          <w:p>
            <w:pPr>
              <w:adjustRightInd w:val="0"/>
              <w:snapToGrid w:val="0"/>
              <w:jc w:val="center"/>
              <w:rPr>
                <w:rFonts w:ascii="宋体" w:hAnsi="宋体"/>
                <w:bCs/>
                <w:szCs w:val="21"/>
              </w:rPr>
            </w:pPr>
          </w:p>
        </w:tc>
        <w:tc>
          <w:tcPr>
            <w:tcW w:w="506" w:type="pct"/>
            <w:vAlign w:val="center"/>
          </w:tcPr>
          <w:p>
            <w:pPr>
              <w:adjustRightInd w:val="0"/>
              <w:snapToGrid w:val="0"/>
              <w:jc w:val="center"/>
              <w:rPr>
                <w:rFonts w:ascii="宋体" w:hAnsi="宋体"/>
                <w:bCs/>
                <w:szCs w:val="21"/>
              </w:rPr>
            </w:pPr>
          </w:p>
        </w:tc>
        <w:tc>
          <w:tcPr>
            <w:tcW w:w="469" w:type="pct"/>
            <w:vAlign w:val="center"/>
          </w:tcPr>
          <w:p>
            <w:pPr>
              <w:adjustRightInd w:val="0"/>
              <w:snapToGrid w:val="0"/>
              <w:jc w:val="center"/>
              <w:rPr>
                <w:rFonts w:ascii="宋体" w:hAnsi="宋体"/>
                <w:bCs/>
                <w:szCs w:val="21"/>
              </w:rPr>
            </w:pPr>
          </w:p>
        </w:tc>
        <w:tc>
          <w:tcPr>
            <w:tcW w:w="506" w:type="pct"/>
            <w:vAlign w:val="center"/>
          </w:tcPr>
          <w:p>
            <w:pPr>
              <w:adjustRightInd w:val="0"/>
              <w:snapToGrid w:val="0"/>
              <w:jc w:val="center"/>
              <w:rPr>
                <w:rFonts w:ascii="宋体" w:hAnsi="宋体"/>
                <w:bCs/>
                <w:szCs w:val="21"/>
              </w:rPr>
            </w:pPr>
          </w:p>
        </w:tc>
        <w:tc>
          <w:tcPr>
            <w:tcW w:w="506" w:type="pct"/>
            <w:vAlign w:val="center"/>
          </w:tcPr>
          <w:p>
            <w:pPr>
              <w:adjustRightInd w:val="0"/>
              <w:snapToGrid w:val="0"/>
              <w:jc w:val="center"/>
              <w:rPr>
                <w:rFonts w:ascii="宋体" w:hAnsi="宋体"/>
                <w:bCs/>
                <w:szCs w:val="21"/>
              </w:rPr>
            </w:pPr>
          </w:p>
        </w:tc>
        <w:tc>
          <w:tcPr>
            <w:tcW w:w="433" w:type="pct"/>
            <w:vAlign w:val="center"/>
          </w:tcPr>
          <w:p>
            <w:pPr>
              <w:adjustRightInd w:val="0"/>
              <w:snapToGrid w:val="0"/>
              <w:jc w:val="center"/>
              <w:rPr>
                <w:rFonts w:ascii="宋体" w:hAnsi="宋体"/>
                <w:bCs/>
                <w:szCs w:val="21"/>
              </w:rPr>
            </w:pPr>
          </w:p>
        </w:tc>
        <w:tc>
          <w:tcPr>
            <w:tcW w:w="660" w:type="pct"/>
            <w:vAlign w:val="center"/>
          </w:tcPr>
          <w:p>
            <w:pPr>
              <w:adjustRightInd w:val="0"/>
              <w:snapToGrid w:val="0"/>
              <w:jc w:val="center"/>
              <w:rPr>
                <w:rFonts w:ascii="宋体" w:hAnsi="宋体"/>
                <w:bCs/>
                <w:szCs w:val="21"/>
              </w:rPr>
            </w:pPr>
          </w:p>
        </w:tc>
        <w:tc>
          <w:tcPr>
            <w:tcW w:w="404" w:type="pct"/>
            <w:vAlign w:val="center"/>
          </w:tcPr>
          <w:p>
            <w:pPr>
              <w:adjustRightInd w:val="0"/>
              <w:snapToGrid w:val="0"/>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5" w:type="pct"/>
            <w:vAlign w:val="center"/>
          </w:tcPr>
          <w:p>
            <w:pPr>
              <w:adjustRightInd w:val="0"/>
              <w:snapToGrid w:val="0"/>
              <w:jc w:val="center"/>
              <w:rPr>
                <w:rFonts w:ascii="宋体" w:hAnsi="宋体"/>
                <w:szCs w:val="21"/>
              </w:rPr>
            </w:pPr>
          </w:p>
        </w:tc>
        <w:tc>
          <w:tcPr>
            <w:tcW w:w="505" w:type="pct"/>
            <w:vAlign w:val="center"/>
          </w:tcPr>
          <w:p>
            <w:pPr>
              <w:adjustRightInd w:val="0"/>
              <w:snapToGrid w:val="0"/>
              <w:jc w:val="center"/>
              <w:rPr>
                <w:rFonts w:ascii="宋体" w:hAnsi="宋体"/>
                <w:szCs w:val="21"/>
              </w:rPr>
            </w:pPr>
          </w:p>
        </w:tc>
        <w:tc>
          <w:tcPr>
            <w:tcW w:w="506" w:type="pct"/>
            <w:vAlign w:val="center"/>
          </w:tcPr>
          <w:p>
            <w:pPr>
              <w:adjustRightInd w:val="0"/>
              <w:snapToGrid w:val="0"/>
              <w:jc w:val="center"/>
              <w:rPr>
                <w:rFonts w:ascii="宋体" w:hAnsi="宋体"/>
                <w:szCs w:val="21"/>
              </w:rPr>
            </w:pPr>
          </w:p>
        </w:tc>
        <w:tc>
          <w:tcPr>
            <w:tcW w:w="506" w:type="pct"/>
            <w:vAlign w:val="center"/>
          </w:tcPr>
          <w:p>
            <w:pPr>
              <w:adjustRightInd w:val="0"/>
              <w:snapToGrid w:val="0"/>
              <w:jc w:val="center"/>
              <w:rPr>
                <w:rFonts w:ascii="宋体" w:hAnsi="宋体"/>
                <w:szCs w:val="21"/>
              </w:rPr>
            </w:pPr>
          </w:p>
        </w:tc>
        <w:tc>
          <w:tcPr>
            <w:tcW w:w="469" w:type="pct"/>
            <w:vAlign w:val="center"/>
          </w:tcPr>
          <w:p>
            <w:pPr>
              <w:adjustRightInd w:val="0"/>
              <w:snapToGrid w:val="0"/>
              <w:jc w:val="center"/>
              <w:rPr>
                <w:rFonts w:ascii="宋体" w:hAnsi="宋体"/>
                <w:szCs w:val="21"/>
              </w:rPr>
            </w:pPr>
          </w:p>
        </w:tc>
        <w:tc>
          <w:tcPr>
            <w:tcW w:w="506" w:type="pct"/>
            <w:vAlign w:val="center"/>
          </w:tcPr>
          <w:p>
            <w:pPr>
              <w:adjustRightInd w:val="0"/>
              <w:snapToGrid w:val="0"/>
              <w:jc w:val="center"/>
              <w:rPr>
                <w:rFonts w:ascii="宋体" w:hAnsi="宋体"/>
                <w:szCs w:val="21"/>
              </w:rPr>
            </w:pPr>
          </w:p>
        </w:tc>
        <w:tc>
          <w:tcPr>
            <w:tcW w:w="506" w:type="pct"/>
            <w:vAlign w:val="center"/>
          </w:tcPr>
          <w:p>
            <w:pPr>
              <w:adjustRightInd w:val="0"/>
              <w:snapToGrid w:val="0"/>
              <w:jc w:val="center"/>
              <w:rPr>
                <w:rFonts w:ascii="宋体" w:hAnsi="宋体"/>
                <w:szCs w:val="21"/>
              </w:rPr>
            </w:pPr>
          </w:p>
        </w:tc>
        <w:tc>
          <w:tcPr>
            <w:tcW w:w="433" w:type="pct"/>
            <w:vAlign w:val="center"/>
          </w:tcPr>
          <w:p>
            <w:pPr>
              <w:adjustRightInd w:val="0"/>
              <w:snapToGrid w:val="0"/>
              <w:jc w:val="center"/>
              <w:rPr>
                <w:rFonts w:ascii="宋体" w:hAnsi="宋体"/>
                <w:szCs w:val="21"/>
              </w:rPr>
            </w:pPr>
          </w:p>
        </w:tc>
        <w:tc>
          <w:tcPr>
            <w:tcW w:w="660" w:type="pct"/>
            <w:vAlign w:val="center"/>
          </w:tcPr>
          <w:p>
            <w:pPr>
              <w:adjustRightInd w:val="0"/>
              <w:snapToGrid w:val="0"/>
              <w:jc w:val="center"/>
              <w:rPr>
                <w:rFonts w:ascii="宋体" w:hAnsi="宋体"/>
                <w:szCs w:val="21"/>
              </w:rPr>
            </w:pPr>
          </w:p>
        </w:tc>
        <w:tc>
          <w:tcPr>
            <w:tcW w:w="404" w:type="pct"/>
            <w:vAlign w:val="center"/>
          </w:tcPr>
          <w:p>
            <w:pPr>
              <w:adjustRightInd w:val="0"/>
              <w:snapToGrid w:val="0"/>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5" w:type="pct"/>
            <w:vAlign w:val="center"/>
          </w:tcPr>
          <w:p>
            <w:pPr>
              <w:adjustRightInd w:val="0"/>
              <w:snapToGrid w:val="0"/>
              <w:jc w:val="center"/>
              <w:rPr>
                <w:rFonts w:ascii="宋体" w:hAnsi="宋体"/>
                <w:szCs w:val="21"/>
              </w:rPr>
            </w:pPr>
          </w:p>
        </w:tc>
        <w:tc>
          <w:tcPr>
            <w:tcW w:w="505" w:type="pct"/>
            <w:vAlign w:val="center"/>
          </w:tcPr>
          <w:p>
            <w:pPr>
              <w:adjustRightInd w:val="0"/>
              <w:snapToGrid w:val="0"/>
              <w:jc w:val="center"/>
              <w:rPr>
                <w:rFonts w:ascii="宋体" w:hAnsi="宋体"/>
                <w:szCs w:val="21"/>
              </w:rPr>
            </w:pPr>
          </w:p>
        </w:tc>
        <w:tc>
          <w:tcPr>
            <w:tcW w:w="506" w:type="pct"/>
            <w:vAlign w:val="center"/>
          </w:tcPr>
          <w:p>
            <w:pPr>
              <w:adjustRightInd w:val="0"/>
              <w:snapToGrid w:val="0"/>
              <w:jc w:val="center"/>
              <w:rPr>
                <w:rFonts w:ascii="宋体" w:hAnsi="宋体"/>
                <w:szCs w:val="21"/>
              </w:rPr>
            </w:pPr>
          </w:p>
        </w:tc>
        <w:tc>
          <w:tcPr>
            <w:tcW w:w="506" w:type="pct"/>
            <w:vAlign w:val="center"/>
          </w:tcPr>
          <w:p>
            <w:pPr>
              <w:adjustRightInd w:val="0"/>
              <w:snapToGrid w:val="0"/>
              <w:jc w:val="center"/>
              <w:rPr>
                <w:rFonts w:ascii="宋体" w:hAnsi="宋体"/>
                <w:szCs w:val="21"/>
              </w:rPr>
            </w:pPr>
          </w:p>
        </w:tc>
        <w:tc>
          <w:tcPr>
            <w:tcW w:w="469" w:type="pct"/>
            <w:vAlign w:val="center"/>
          </w:tcPr>
          <w:p>
            <w:pPr>
              <w:adjustRightInd w:val="0"/>
              <w:snapToGrid w:val="0"/>
              <w:jc w:val="center"/>
              <w:rPr>
                <w:rFonts w:ascii="宋体" w:hAnsi="宋体"/>
                <w:szCs w:val="21"/>
              </w:rPr>
            </w:pPr>
          </w:p>
        </w:tc>
        <w:tc>
          <w:tcPr>
            <w:tcW w:w="506" w:type="pct"/>
            <w:vAlign w:val="center"/>
          </w:tcPr>
          <w:p>
            <w:pPr>
              <w:adjustRightInd w:val="0"/>
              <w:snapToGrid w:val="0"/>
              <w:jc w:val="center"/>
              <w:rPr>
                <w:rFonts w:ascii="宋体" w:hAnsi="宋体"/>
                <w:szCs w:val="21"/>
              </w:rPr>
            </w:pPr>
          </w:p>
        </w:tc>
        <w:tc>
          <w:tcPr>
            <w:tcW w:w="506" w:type="pct"/>
            <w:vAlign w:val="center"/>
          </w:tcPr>
          <w:p>
            <w:pPr>
              <w:adjustRightInd w:val="0"/>
              <w:snapToGrid w:val="0"/>
              <w:jc w:val="center"/>
              <w:rPr>
                <w:rFonts w:ascii="宋体" w:hAnsi="宋体"/>
                <w:szCs w:val="21"/>
              </w:rPr>
            </w:pPr>
          </w:p>
        </w:tc>
        <w:tc>
          <w:tcPr>
            <w:tcW w:w="433" w:type="pct"/>
            <w:vAlign w:val="center"/>
          </w:tcPr>
          <w:p>
            <w:pPr>
              <w:adjustRightInd w:val="0"/>
              <w:snapToGrid w:val="0"/>
              <w:jc w:val="center"/>
              <w:rPr>
                <w:rFonts w:ascii="宋体" w:hAnsi="宋体"/>
                <w:szCs w:val="21"/>
              </w:rPr>
            </w:pPr>
          </w:p>
        </w:tc>
        <w:tc>
          <w:tcPr>
            <w:tcW w:w="660" w:type="pct"/>
            <w:vAlign w:val="center"/>
          </w:tcPr>
          <w:p>
            <w:pPr>
              <w:adjustRightInd w:val="0"/>
              <w:snapToGrid w:val="0"/>
              <w:jc w:val="center"/>
              <w:rPr>
                <w:rFonts w:ascii="宋体" w:hAnsi="宋体"/>
                <w:szCs w:val="21"/>
              </w:rPr>
            </w:pPr>
          </w:p>
        </w:tc>
        <w:tc>
          <w:tcPr>
            <w:tcW w:w="404" w:type="pct"/>
            <w:vAlign w:val="center"/>
          </w:tcPr>
          <w:p>
            <w:pPr>
              <w:adjustRightInd w:val="0"/>
              <w:snapToGrid w:val="0"/>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5" w:type="pct"/>
            <w:vAlign w:val="center"/>
          </w:tcPr>
          <w:p>
            <w:pPr>
              <w:adjustRightInd w:val="0"/>
              <w:snapToGrid w:val="0"/>
              <w:jc w:val="center"/>
              <w:rPr>
                <w:rFonts w:ascii="宋体" w:hAnsi="宋体"/>
                <w:szCs w:val="21"/>
              </w:rPr>
            </w:pPr>
          </w:p>
        </w:tc>
        <w:tc>
          <w:tcPr>
            <w:tcW w:w="505" w:type="pct"/>
            <w:vAlign w:val="center"/>
          </w:tcPr>
          <w:p>
            <w:pPr>
              <w:adjustRightInd w:val="0"/>
              <w:snapToGrid w:val="0"/>
              <w:jc w:val="center"/>
              <w:rPr>
                <w:rFonts w:ascii="宋体" w:hAnsi="宋体"/>
                <w:szCs w:val="21"/>
              </w:rPr>
            </w:pPr>
          </w:p>
        </w:tc>
        <w:tc>
          <w:tcPr>
            <w:tcW w:w="506" w:type="pct"/>
            <w:vAlign w:val="center"/>
          </w:tcPr>
          <w:p>
            <w:pPr>
              <w:adjustRightInd w:val="0"/>
              <w:snapToGrid w:val="0"/>
              <w:jc w:val="center"/>
              <w:rPr>
                <w:rFonts w:ascii="宋体" w:hAnsi="宋体"/>
                <w:szCs w:val="21"/>
              </w:rPr>
            </w:pPr>
          </w:p>
        </w:tc>
        <w:tc>
          <w:tcPr>
            <w:tcW w:w="506" w:type="pct"/>
            <w:vAlign w:val="center"/>
          </w:tcPr>
          <w:p>
            <w:pPr>
              <w:adjustRightInd w:val="0"/>
              <w:snapToGrid w:val="0"/>
              <w:jc w:val="center"/>
              <w:rPr>
                <w:rFonts w:ascii="宋体" w:hAnsi="宋体"/>
                <w:szCs w:val="21"/>
              </w:rPr>
            </w:pPr>
          </w:p>
        </w:tc>
        <w:tc>
          <w:tcPr>
            <w:tcW w:w="469" w:type="pct"/>
            <w:vAlign w:val="center"/>
          </w:tcPr>
          <w:p>
            <w:pPr>
              <w:adjustRightInd w:val="0"/>
              <w:snapToGrid w:val="0"/>
              <w:jc w:val="center"/>
              <w:rPr>
                <w:rFonts w:ascii="宋体" w:hAnsi="宋体"/>
                <w:szCs w:val="21"/>
              </w:rPr>
            </w:pPr>
          </w:p>
        </w:tc>
        <w:tc>
          <w:tcPr>
            <w:tcW w:w="506" w:type="pct"/>
            <w:vAlign w:val="center"/>
          </w:tcPr>
          <w:p>
            <w:pPr>
              <w:adjustRightInd w:val="0"/>
              <w:snapToGrid w:val="0"/>
              <w:jc w:val="center"/>
              <w:rPr>
                <w:rFonts w:ascii="宋体" w:hAnsi="宋体"/>
                <w:szCs w:val="21"/>
              </w:rPr>
            </w:pPr>
          </w:p>
        </w:tc>
        <w:tc>
          <w:tcPr>
            <w:tcW w:w="506" w:type="pct"/>
            <w:vAlign w:val="center"/>
          </w:tcPr>
          <w:p>
            <w:pPr>
              <w:adjustRightInd w:val="0"/>
              <w:snapToGrid w:val="0"/>
              <w:jc w:val="center"/>
              <w:rPr>
                <w:rFonts w:ascii="宋体" w:hAnsi="宋体"/>
                <w:szCs w:val="21"/>
              </w:rPr>
            </w:pPr>
          </w:p>
        </w:tc>
        <w:tc>
          <w:tcPr>
            <w:tcW w:w="433" w:type="pct"/>
            <w:vAlign w:val="center"/>
          </w:tcPr>
          <w:p>
            <w:pPr>
              <w:adjustRightInd w:val="0"/>
              <w:snapToGrid w:val="0"/>
              <w:jc w:val="center"/>
              <w:rPr>
                <w:rFonts w:ascii="宋体" w:hAnsi="宋体"/>
                <w:szCs w:val="21"/>
              </w:rPr>
            </w:pPr>
          </w:p>
        </w:tc>
        <w:tc>
          <w:tcPr>
            <w:tcW w:w="660" w:type="pct"/>
            <w:vAlign w:val="center"/>
          </w:tcPr>
          <w:p>
            <w:pPr>
              <w:adjustRightInd w:val="0"/>
              <w:snapToGrid w:val="0"/>
              <w:jc w:val="center"/>
              <w:rPr>
                <w:rFonts w:ascii="宋体" w:hAnsi="宋体"/>
                <w:szCs w:val="21"/>
              </w:rPr>
            </w:pPr>
          </w:p>
        </w:tc>
        <w:tc>
          <w:tcPr>
            <w:tcW w:w="404" w:type="pct"/>
            <w:vAlign w:val="center"/>
          </w:tcPr>
          <w:p>
            <w:pPr>
              <w:adjustRightInd w:val="0"/>
              <w:snapToGrid w:val="0"/>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5" w:type="pct"/>
            <w:vAlign w:val="center"/>
          </w:tcPr>
          <w:p>
            <w:pPr>
              <w:adjustRightInd w:val="0"/>
              <w:snapToGrid w:val="0"/>
              <w:jc w:val="center"/>
              <w:rPr>
                <w:rFonts w:ascii="宋体" w:hAnsi="宋体"/>
                <w:szCs w:val="21"/>
              </w:rPr>
            </w:pPr>
          </w:p>
        </w:tc>
        <w:tc>
          <w:tcPr>
            <w:tcW w:w="505" w:type="pct"/>
            <w:vAlign w:val="center"/>
          </w:tcPr>
          <w:p>
            <w:pPr>
              <w:adjustRightInd w:val="0"/>
              <w:snapToGrid w:val="0"/>
              <w:jc w:val="center"/>
              <w:rPr>
                <w:rFonts w:ascii="宋体" w:hAnsi="宋体"/>
                <w:szCs w:val="21"/>
              </w:rPr>
            </w:pPr>
          </w:p>
        </w:tc>
        <w:tc>
          <w:tcPr>
            <w:tcW w:w="506" w:type="pct"/>
            <w:vAlign w:val="center"/>
          </w:tcPr>
          <w:p>
            <w:pPr>
              <w:adjustRightInd w:val="0"/>
              <w:snapToGrid w:val="0"/>
              <w:jc w:val="center"/>
              <w:rPr>
                <w:rFonts w:ascii="宋体" w:hAnsi="宋体"/>
                <w:szCs w:val="21"/>
              </w:rPr>
            </w:pPr>
          </w:p>
        </w:tc>
        <w:tc>
          <w:tcPr>
            <w:tcW w:w="506" w:type="pct"/>
            <w:vAlign w:val="center"/>
          </w:tcPr>
          <w:p>
            <w:pPr>
              <w:adjustRightInd w:val="0"/>
              <w:snapToGrid w:val="0"/>
              <w:jc w:val="center"/>
              <w:rPr>
                <w:rFonts w:ascii="宋体" w:hAnsi="宋体"/>
                <w:szCs w:val="21"/>
              </w:rPr>
            </w:pPr>
          </w:p>
        </w:tc>
        <w:tc>
          <w:tcPr>
            <w:tcW w:w="469" w:type="pct"/>
            <w:vAlign w:val="center"/>
          </w:tcPr>
          <w:p>
            <w:pPr>
              <w:adjustRightInd w:val="0"/>
              <w:snapToGrid w:val="0"/>
              <w:jc w:val="center"/>
              <w:rPr>
                <w:rFonts w:ascii="宋体" w:hAnsi="宋体"/>
                <w:szCs w:val="21"/>
              </w:rPr>
            </w:pPr>
          </w:p>
        </w:tc>
        <w:tc>
          <w:tcPr>
            <w:tcW w:w="506" w:type="pct"/>
            <w:vAlign w:val="center"/>
          </w:tcPr>
          <w:p>
            <w:pPr>
              <w:adjustRightInd w:val="0"/>
              <w:snapToGrid w:val="0"/>
              <w:jc w:val="center"/>
              <w:rPr>
                <w:rFonts w:ascii="宋体" w:hAnsi="宋体"/>
                <w:szCs w:val="21"/>
              </w:rPr>
            </w:pPr>
          </w:p>
        </w:tc>
        <w:tc>
          <w:tcPr>
            <w:tcW w:w="506" w:type="pct"/>
            <w:vAlign w:val="center"/>
          </w:tcPr>
          <w:p>
            <w:pPr>
              <w:adjustRightInd w:val="0"/>
              <w:snapToGrid w:val="0"/>
              <w:jc w:val="center"/>
              <w:rPr>
                <w:rFonts w:ascii="宋体" w:hAnsi="宋体"/>
                <w:szCs w:val="21"/>
              </w:rPr>
            </w:pPr>
          </w:p>
        </w:tc>
        <w:tc>
          <w:tcPr>
            <w:tcW w:w="433" w:type="pct"/>
            <w:vAlign w:val="center"/>
          </w:tcPr>
          <w:p>
            <w:pPr>
              <w:adjustRightInd w:val="0"/>
              <w:snapToGrid w:val="0"/>
              <w:jc w:val="center"/>
              <w:rPr>
                <w:rFonts w:ascii="宋体" w:hAnsi="宋体"/>
                <w:szCs w:val="21"/>
              </w:rPr>
            </w:pPr>
          </w:p>
        </w:tc>
        <w:tc>
          <w:tcPr>
            <w:tcW w:w="660" w:type="pct"/>
            <w:vAlign w:val="center"/>
          </w:tcPr>
          <w:p>
            <w:pPr>
              <w:adjustRightInd w:val="0"/>
              <w:snapToGrid w:val="0"/>
              <w:jc w:val="center"/>
              <w:rPr>
                <w:rFonts w:ascii="宋体" w:hAnsi="宋体"/>
                <w:szCs w:val="21"/>
              </w:rPr>
            </w:pPr>
          </w:p>
        </w:tc>
        <w:tc>
          <w:tcPr>
            <w:tcW w:w="404" w:type="pct"/>
            <w:vAlign w:val="center"/>
          </w:tcPr>
          <w:p>
            <w:pPr>
              <w:adjustRightInd w:val="0"/>
              <w:snapToGrid w:val="0"/>
              <w:jc w:val="center"/>
              <w:rPr>
                <w:rFonts w:ascii="宋体" w:hAnsi="宋体"/>
                <w:szCs w:val="21"/>
              </w:rPr>
            </w:pPr>
          </w:p>
        </w:tc>
      </w:tr>
    </w:tbl>
    <w:p>
      <w:pPr>
        <w:adjustRightInd w:val="0"/>
        <w:snapToGrid w:val="0"/>
        <w:spacing w:line="480" w:lineRule="atLeast"/>
        <w:ind w:firstLine="480" w:firstLineChars="200"/>
        <w:rPr>
          <w:rFonts w:ascii="宋体" w:hAnsi="宋体"/>
        </w:rPr>
      </w:pPr>
      <w:r>
        <w:rPr>
          <w:rFonts w:ascii="宋体" w:hAnsi="宋体"/>
        </w:rPr>
        <w:t>3、填表要求：</w:t>
      </w:r>
    </w:p>
    <w:p>
      <w:pPr>
        <w:adjustRightInd w:val="0"/>
        <w:snapToGrid w:val="0"/>
        <w:spacing w:line="480" w:lineRule="atLeast"/>
        <w:ind w:firstLine="480" w:firstLineChars="200"/>
        <w:rPr>
          <w:rFonts w:ascii="宋体" w:hAnsi="宋体"/>
          <w:sz w:val="21"/>
          <w:szCs w:val="21"/>
          <w:lang w:eastAsia="zh-CN"/>
        </w:rPr>
      </w:pPr>
      <w:r>
        <w:rPr>
          <w:rFonts w:ascii="宋体" w:hAnsi="宋体"/>
          <w:lang w:eastAsia="zh-CN"/>
        </w:rPr>
        <w:t>投标方需将必需的维护工具和仪器列</w:t>
      </w:r>
      <w:r>
        <w:rPr>
          <w:rFonts w:hint="eastAsia" w:ascii="宋体" w:hAnsi="宋体"/>
          <w:lang w:eastAsia="zh-CN"/>
        </w:rPr>
        <w:t>在</w:t>
      </w:r>
      <w:r>
        <w:rPr>
          <w:rFonts w:ascii="宋体" w:hAnsi="宋体"/>
          <w:lang w:eastAsia="zh-CN"/>
        </w:rPr>
        <w:t>本表中。</w:t>
      </w:r>
    </w:p>
    <w:p>
      <w:pPr>
        <w:adjustRightInd w:val="0"/>
        <w:snapToGrid w:val="0"/>
        <w:spacing w:line="360" w:lineRule="auto"/>
        <w:ind w:firstLine="480" w:firstLineChars="200"/>
        <w:rPr>
          <w:rFonts w:ascii="宋体" w:hAnsi="宋体"/>
          <w:lang w:eastAsia="zh-CN"/>
        </w:rPr>
      </w:pPr>
    </w:p>
    <w:p>
      <w:bookmarkStart w:id="66" w:name="_GoBack"/>
      <w:bookmarkEnd w:id="66"/>
    </w:p>
    <w:sectPr>
      <w:headerReference r:id="rId8" w:type="default"/>
      <w:pgSz w:w="11906" w:h="16838"/>
      <w:pgMar w:top="1701" w:right="1304" w:bottom="1418" w:left="1304"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书宋简体">
    <w:altName w:val="宋体"/>
    <w:panose1 w:val="02000000000000000000"/>
    <w:charset w:val="86"/>
    <w:family w:val="auto"/>
    <w:pitch w:val="default"/>
    <w:sig w:usb0="00000000" w:usb1="00000000" w:usb2="00000012"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24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480" w:beforeLines="200"/>
      <w:ind w:firstLine="0"/>
      <w:rPr>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both"/>
      <w:rPr>
        <w:lang w:eastAsia="zh-CN"/>
      </w:rPr>
    </w:pPr>
    <w:r>
      <w:rPr>
        <w:rFonts w:hint="eastAsia"/>
        <w:lang w:eastAsia="zh-CN"/>
      </w:rPr>
      <w:t xml:space="preserve">中国南方电网有限责任公司220kV变电站计算机监控系统标准技术标书          第 </w:t>
    </w:r>
    <w:r>
      <w:fldChar w:fldCharType="begin"/>
    </w:r>
    <w:r>
      <w:rPr>
        <w:rStyle w:val="9"/>
        <w:lang w:eastAsia="zh-CN"/>
      </w:rPr>
      <w:instrText xml:space="preserve"> PAGE </w:instrText>
    </w:r>
    <w:r>
      <w:fldChar w:fldCharType="separate"/>
    </w:r>
    <w:r>
      <w:rPr>
        <w:rStyle w:val="9"/>
        <w:lang w:eastAsia="zh-CN"/>
      </w:rPr>
      <w:t>60</w:t>
    </w:r>
    <w:r>
      <w:fldChar w:fldCharType="end"/>
    </w:r>
    <w:r>
      <w:rPr>
        <w:rStyle w:val="9"/>
        <w:rFonts w:hint="eastAsia"/>
        <w:lang w:eastAsia="zh-CN"/>
      </w:rPr>
      <w:t xml:space="preserve"> 页 /  共 50 页</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43"/>
    <w:multiLevelType w:val="multilevel"/>
    <w:tmpl w:val="00000043"/>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1155"/>
        </w:tabs>
        <w:ind w:left="1155" w:hanging="420"/>
      </w:pPr>
    </w:lvl>
    <w:lvl w:ilvl="2" w:tentative="0">
      <w:start w:val="1"/>
      <w:numFmt w:val="lowerRoman"/>
      <w:lvlText w:val="%3."/>
      <w:lvlJc w:val="right"/>
      <w:pPr>
        <w:tabs>
          <w:tab w:val="left" w:pos="1575"/>
        </w:tabs>
        <w:ind w:left="1575" w:hanging="420"/>
      </w:pPr>
    </w:lvl>
    <w:lvl w:ilvl="3" w:tentative="0">
      <w:start w:val="1"/>
      <w:numFmt w:val="decimal"/>
      <w:lvlText w:val="%4."/>
      <w:lvlJc w:val="left"/>
      <w:pPr>
        <w:tabs>
          <w:tab w:val="left" w:pos="1995"/>
        </w:tabs>
        <w:ind w:left="1995" w:hanging="420"/>
      </w:pPr>
    </w:lvl>
    <w:lvl w:ilvl="4" w:tentative="0">
      <w:start w:val="1"/>
      <w:numFmt w:val="lowerLetter"/>
      <w:lvlText w:val="%5)"/>
      <w:lvlJc w:val="left"/>
      <w:pPr>
        <w:tabs>
          <w:tab w:val="left" w:pos="2415"/>
        </w:tabs>
        <w:ind w:left="2415" w:hanging="420"/>
      </w:pPr>
    </w:lvl>
    <w:lvl w:ilvl="5" w:tentative="0">
      <w:start w:val="1"/>
      <w:numFmt w:val="lowerRoman"/>
      <w:lvlText w:val="%6."/>
      <w:lvlJc w:val="right"/>
      <w:pPr>
        <w:tabs>
          <w:tab w:val="left" w:pos="2835"/>
        </w:tabs>
        <w:ind w:left="2835" w:hanging="420"/>
      </w:pPr>
    </w:lvl>
    <w:lvl w:ilvl="6" w:tentative="0">
      <w:start w:val="1"/>
      <w:numFmt w:val="decimal"/>
      <w:lvlText w:val="%7."/>
      <w:lvlJc w:val="left"/>
      <w:pPr>
        <w:tabs>
          <w:tab w:val="left" w:pos="3255"/>
        </w:tabs>
        <w:ind w:left="3255" w:hanging="420"/>
      </w:pPr>
    </w:lvl>
    <w:lvl w:ilvl="7" w:tentative="0">
      <w:start w:val="1"/>
      <w:numFmt w:val="lowerLetter"/>
      <w:lvlText w:val="%8)"/>
      <w:lvlJc w:val="left"/>
      <w:pPr>
        <w:tabs>
          <w:tab w:val="left" w:pos="3675"/>
        </w:tabs>
        <w:ind w:left="3675" w:hanging="420"/>
      </w:pPr>
    </w:lvl>
    <w:lvl w:ilvl="8" w:tentative="0">
      <w:start w:val="1"/>
      <w:numFmt w:val="lowerRoman"/>
      <w:lvlText w:val="%9."/>
      <w:lvlJc w:val="right"/>
      <w:pPr>
        <w:tabs>
          <w:tab w:val="left" w:pos="4095"/>
        </w:tabs>
        <w:ind w:left="4095" w:hanging="420"/>
      </w:pPr>
    </w:lvl>
  </w:abstractNum>
  <w:abstractNum w:abstractNumId="1">
    <w:nsid w:val="12F565D3"/>
    <w:multiLevelType w:val="multilevel"/>
    <w:tmpl w:val="12F565D3"/>
    <w:lvl w:ilvl="0" w:tentative="0">
      <w:start w:val="1"/>
      <w:numFmt w:val="lowerLetter"/>
      <w:lvlText w:val="%1）"/>
      <w:lvlJc w:val="left"/>
      <w:pPr>
        <w:tabs>
          <w:tab w:val="left" w:pos="720"/>
        </w:tabs>
        <w:ind w:left="720" w:hanging="360"/>
      </w:pPr>
      <w:rPr>
        <w:rFonts w:hint="default"/>
      </w:rPr>
    </w:lvl>
    <w:lvl w:ilvl="1" w:tentative="0">
      <w:start w:val="1"/>
      <w:numFmt w:val="lowerLetter"/>
      <w:lvlText w:val="%2)"/>
      <w:lvlJc w:val="left"/>
      <w:pPr>
        <w:tabs>
          <w:tab w:val="left" w:pos="1200"/>
        </w:tabs>
        <w:ind w:left="1200" w:hanging="420"/>
      </w:pPr>
    </w:lvl>
    <w:lvl w:ilvl="2" w:tentative="0">
      <w:start w:val="1"/>
      <w:numFmt w:val="lowerRoman"/>
      <w:lvlText w:val="%3."/>
      <w:lvlJc w:val="right"/>
      <w:pPr>
        <w:tabs>
          <w:tab w:val="left" w:pos="1620"/>
        </w:tabs>
        <w:ind w:left="1620" w:hanging="420"/>
      </w:pPr>
    </w:lvl>
    <w:lvl w:ilvl="3" w:tentative="0">
      <w:start w:val="1"/>
      <w:numFmt w:val="decimal"/>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2">
    <w:nsid w:val="22B12BD2"/>
    <w:multiLevelType w:val="multilevel"/>
    <w:tmpl w:val="22B12BD2"/>
    <w:lvl w:ilvl="0" w:tentative="0">
      <w:start w:val="1"/>
      <w:numFmt w:val="decimal"/>
      <w:suff w:val="space"/>
      <w:lvlText w:val="1.%1 "/>
      <w:lvlJc w:val="left"/>
      <w:pPr>
        <w:ind w:left="0" w:firstLine="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25543AE9"/>
    <w:multiLevelType w:val="multilevel"/>
    <w:tmpl w:val="25543AE9"/>
    <w:lvl w:ilvl="0" w:tentative="0">
      <w:start w:val="5"/>
      <w:numFmt w:val="decimal"/>
      <w:lvlText w:val="%1"/>
      <w:lvlJc w:val="left"/>
      <w:pPr>
        <w:ind w:left="600" w:hanging="600"/>
      </w:pPr>
      <w:rPr>
        <w:rFonts w:hint="default"/>
      </w:rPr>
    </w:lvl>
    <w:lvl w:ilvl="1" w:tentative="0">
      <w:start w:val="2"/>
      <w:numFmt w:val="decimal"/>
      <w:lvlText w:val="%1.%2"/>
      <w:lvlJc w:val="left"/>
      <w:pPr>
        <w:ind w:left="624" w:hanging="624"/>
      </w:pPr>
      <w:rPr>
        <w:rFonts w:hint="default"/>
      </w:rPr>
    </w:lvl>
    <w:lvl w:ilvl="2" w:tentative="0">
      <w:start w:val="2"/>
      <w:numFmt w:val="decimal"/>
      <w:lvlText w:val="%1.3.%3"/>
      <w:lvlJc w:val="left"/>
      <w:pPr>
        <w:ind w:left="510" w:hanging="510"/>
      </w:pPr>
      <w:rPr>
        <w:rFonts w:hint="default"/>
      </w:rPr>
    </w:lvl>
    <w:lvl w:ilvl="3" w:tentative="0">
      <w:start w:val="1"/>
      <w:numFmt w:val="decimal"/>
      <w:lvlText w:val="%1.%2.%3.%4"/>
      <w:lvlJc w:val="left"/>
      <w:pPr>
        <w:ind w:left="1710" w:hanging="1080"/>
      </w:pPr>
      <w:rPr>
        <w:rFonts w:hint="default"/>
      </w:rPr>
    </w:lvl>
    <w:lvl w:ilvl="4" w:tentative="0">
      <w:start w:val="1"/>
      <w:numFmt w:val="decimal"/>
      <w:lvlText w:val="%1.%2.%3.%4.%5"/>
      <w:lvlJc w:val="left"/>
      <w:pPr>
        <w:ind w:left="1920" w:hanging="1080"/>
      </w:pPr>
      <w:rPr>
        <w:rFonts w:hint="default"/>
      </w:rPr>
    </w:lvl>
    <w:lvl w:ilvl="5" w:tentative="0">
      <w:start w:val="1"/>
      <w:numFmt w:val="decimal"/>
      <w:lvlText w:val="%1.%2.%3.%4.%5.%6"/>
      <w:lvlJc w:val="left"/>
      <w:pPr>
        <w:ind w:left="2490" w:hanging="1440"/>
      </w:pPr>
      <w:rPr>
        <w:rFonts w:hint="default"/>
      </w:rPr>
    </w:lvl>
    <w:lvl w:ilvl="6" w:tentative="0">
      <w:start w:val="1"/>
      <w:numFmt w:val="decimal"/>
      <w:lvlText w:val="%1.%2.%3.%4.%5.%6.%7"/>
      <w:lvlJc w:val="left"/>
      <w:pPr>
        <w:ind w:left="3060" w:hanging="1800"/>
      </w:pPr>
      <w:rPr>
        <w:rFonts w:hint="default"/>
      </w:rPr>
    </w:lvl>
    <w:lvl w:ilvl="7" w:tentative="0">
      <w:start w:val="1"/>
      <w:numFmt w:val="decimal"/>
      <w:lvlText w:val="%1.%2.%3.%4.%5.%6.%7.%8"/>
      <w:lvlJc w:val="left"/>
      <w:pPr>
        <w:ind w:left="3270" w:hanging="1800"/>
      </w:pPr>
      <w:rPr>
        <w:rFonts w:hint="default"/>
      </w:rPr>
    </w:lvl>
    <w:lvl w:ilvl="8" w:tentative="0">
      <w:start w:val="1"/>
      <w:numFmt w:val="decimal"/>
      <w:lvlText w:val="%1.%2.%3.%4.%5.%6.%7.%8.%9"/>
      <w:lvlJc w:val="left"/>
      <w:pPr>
        <w:ind w:left="3840" w:hanging="2160"/>
      </w:pPr>
      <w:rPr>
        <w:rFonts w:hint="default"/>
      </w:rPr>
    </w:lvl>
  </w:abstractNum>
  <w:abstractNum w:abstractNumId="4">
    <w:nsid w:val="39DD104B"/>
    <w:multiLevelType w:val="multilevel"/>
    <w:tmpl w:val="39DD104B"/>
    <w:lvl w:ilvl="0" w:tentative="0">
      <w:start w:val="7"/>
      <w:numFmt w:val="decimal"/>
      <w:lvlText w:val="%1"/>
      <w:lvlJc w:val="left"/>
      <w:pPr>
        <w:ind w:left="600" w:hanging="600"/>
      </w:pPr>
      <w:rPr>
        <w:rFonts w:hint="default"/>
      </w:rPr>
    </w:lvl>
    <w:lvl w:ilvl="1" w:tentative="0">
      <w:start w:val="1"/>
      <w:numFmt w:val="decimal"/>
      <w:lvlText w:val="%1.%2"/>
      <w:lvlJc w:val="left"/>
      <w:pPr>
        <w:ind w:left="810" w:hanging="600"/>
      </w:pPr>
      <w:rPr>
        <w:rFonts w:hint="default"/>
      </w:rPr>
    </w:lvl>
    <w:lvl w:ilvl="2" w:tentative="0">
      <w:start w:val="2"/>
      <w:numFmt w:val="decimal"/>
      <w:lvlText w:val="%1.%2.%3"/>
      <w:lvlJc w:val="left"/>
      <w:pPr>
        <w:ind w:left="1140" w:hanging="1140"/>
      </w:pPr>
      <w:rPr>
        <w:rFonts w:hint="default"/>
      </w:rPr>
    </w:lvl>
    <w:lvl w:ilvl="3" w:tentative="0">
      <w:start w:val="1"/>
      <w:numFmt w:val="decimal"/>
      <w:lvlText w:val="%1.%2.%3.%4"/>
      <w:lvlJc w:val="left"/>
      <w:pPr>
        <w:ind w:left="1710" w:hanging="1080"/>
      </w:pPr>
      <w:rPr>
        <w:rFonts w:hint="default"/>
      </w:rPr>
    </w:lvl>
    <w:lvl w:ilvl="4" w:tentative="0">
      <w:start w:val="1"/>
      <w:numFmt w:val="decimal"/>
      <w:lvlText w:val="%1.%2.%3.%4.%5"/>
      <w:lvlJc w:val="left"/>
      <w:pPr>
        <w:ind w:left="1920" w:hanging="1080"/>
      </w:pPr>
      <w:rPr>
        <w:rFonts w:hint="default"/>
      </w:rPr>
    </w:lvl>
    <w:lvl w:ilvl="5" w:tentative="0">
      <w:start w:val="1"/>
      <w:numFmt w:val="decimal"/>
      <w:lvlText w:val="%1.%2.%3.%4.%5.%6"/>
      <w:lvlJc w:val="left"/>
      <w:pPr>
        <w:ind w:left="2490" w:hanging="1440"/>
      </w:pPr>
      <w:rPr>
        <w:rFonts w:hint="default"/>
      </w:rPr>
    </w:lvl>
    <w:lvl w:ilvl="6" w:tentative="0">
      <w:start w:val="1"/>
      <w:numFmt w:val="decimal"/>
      <w:lvlText w:val="%1.%2.%3.%4.%5.%6.%7"/>
      <w:lvlJc w:val="left"/>
      <w:pPr>
        <w:ind w:left="3060" w:hanging="1800"/>
      </w:pPr>
      <w:rPr>
        <w:rFonts w:hint="default"/>
      </w:rPr>
    </w:lvl>
    <w:lvl w:ilvl="7" w:tentative="0">
      <w:start w:val="1"/>
      <w:numFmt w:val="decimal"/>
      <w:lvlText w:val="%1.%2.%3.%4.%5.%6.%7.%8"/>
      <w:lvlJc w:val="left"/>
      <w:pPr>
        <w:ind w:left="3270" w:hanging="1800"/>
      </w:pPr>
      <w:rPr>
        <w:rFonts w:hint="default"/>
      </w:rPr>
    </w:lvl>
    <w:lvl w:ilvl="8" w:tentative="0">
      <w:start w:val="1"/>
      <w:numFmt w:val="decimal"/>
      <w:lvlText w:val="%1.%2.%3.%4.%5.%6.%7.%8.%9"/>
      <w:lvlJc w:val="left"/>
      <w:pPr>
        <w:ind w:left="3840" w:hanging="2160"/>
      </w:pPr>
      <w:rPr>
        <w:rFonts w:hint="default"/>
      </w:rPr>
    </w:lvl>
  </w:abstractNum>
  <w:abstractNum w:abstractNumId="5">
    <w:nsid w:val="4ADC1A6F"/>
    <w:multiLevelType w:val="multilevel"/>
    <w:tmpl w:val="4ADC1A6F"/>
    <w:lvl w:ilvl="0" w:tentative="0">
      <w:start w:val="7"/>
      <w:numFmt w:val="decimal"/>
      <w:lvlText w:val="%1"/>
      <w:lvlJc w:val="left"/>
      <w:pPr>
        <w:ind w:left="600" w:hanging="600"/>
      </w:pPr>
      <w:rPr>
        <w:rFonts w:hint="default"/>
      </w:rPr>
    </w:lvl>
    <w:lvl w:ilvl="1" w:tentative="0">
      <w:start w:val="2"/>
      <w:numFmt w:val="decimal"/>
      <w:lvlText w:val="%1.%2"/>
      <w:lvlJc w:val="left"/>
      <w:pPr>
        <w:ind w:left="624" w:hanging="624"/>
      </w:pPr>
      <w:rPr>
        <w:rFonts w:hint="default"/>
      </w:rPr>
    </w:lvl>
    <w:lvl w:ilvl="2" w:tentative="0">
      <w:start w:val="1"/>
      <w:numFmt w:val="decimal"/>
      <w:lvlText w:val="%1.%2.%3"/>
      <w:lvlJc w:val="left"/>
      <w:pPr>
        <w:ind w:left="1021" w:hanging="1021"/>
      </w:pPr>
      <w:rPr>
        <w:rFonts w:hint="default"/>
      </w:rPr>
    </w:lvl>
    <w:lvl w:ilvl="3" w:tentative="0">
      <w:start w:val="1"/>
      <w:numFmt w:val="decimal"/>
      <w:lvlText w:val="%1.%2.%3.%4"/>
      <w:lvlJc w:val="left"/>
      <w:pPr>
        <w:ind w:left="1710" w:hanging="1080"/>
      </w:pPr>
      <w:rPr>
        <w:rFonts w:hint="default"/>
      </w:rPr>
    </w:lvl>
    <w:lvl w:ilvl="4" w:tentative="0">
      <w:start w:val="1"/>
      <w:numFmt w:val="decimal"/>
      <w:lvlText w:val="%1.%2.%3.%4.%5"/>
      <w:lvlJc w:val="left"/>
      <w:pPr>
        <w:ind w:left="1920" w:hanging="1080"/>
      </w:pPr>
      <w:rPr>
        <w:rFonts w:hint="default"/>
      </w:rPr>
    </w:lvl>
    <w:lvl w:ilvl="5" w:tentative="0">
      <w:start w:val="1"/>
      <w:numFmt w:val="decimal"/>
      <w:lvlText w:val="%1.%2.%3.%4.%5.%6"/>
      <w:lvlJc w:val="left"/>
      <w:pPr>
        <w:ind w:left="2490" w:hanging="1440"/>
      </w:pPr>
      <w:rPr>
        <w:rFonts w:hint="default"/>
      </w:rPr>
    </w:lvl>
    <w:lvl w:ilvl="6" w:tentative="0">
      <w:start w:val="1"/>
      <w:numFmt w:val="decimal"/>
      <w:lvlText w:val="%1.%2.%3.%4.%5.%6.%7"/>
      <w:lvlJc w:val="left"/>
      <w:pPr>
        <w:ind w:left="3060" w:hanging="1800"/>
      </w:pPr>
      <w:rPr>
        <w:rFonts w:hint="default"/>
      </w:rPr>
    </w:lvl>
    <w:lvl w:ilvl="7" w:tentative="0">
      <w:start w:val="1"/>
      <w:numFmt w:val="decimal"/>
      <w:lvlText w:val="%1.%2.%3.%4.%5.%6.%7.%8"/>
      <w:lvlJc w:val="left"/>
      <w:pPr>
        <w:ind w:left="3270" w:hanging="1800"/>
      </w:pPr>
      <w:rPr>
        <w:rFonts w:hint="default"/>
      </w:rPr>
    </w:lvl>
    <w:lvl w:ilvl="8" w:tentative="0">
      <w:start w:val="1"/>
      <w:numFmt w:val="decimal"/>
      <w:lvlText w:val="%1.%2.%3.%4.%5.%6.%7.%8.%9"/>
      <w:lvlJc w:val="left"/>
      <w:pPr>
        <w:ind w:left="3840" w:hanging="2160"/>
      </w:pPr>
      <w:rPr>
        <w:rFonts w:hint="default"/>
      </w:rPr>
    </w:lvl>
  </w:abstractNum>
  <w:abstractNum w:abstractNumId="6">
    <w:nsid w:val="4FC04D3E"/>
    <w:multiLevelType w:val="multilevel"/>
    <w:tmpl w:val="4FC04D3E"/>
    <w:lvl w:ilvl="0" w:tentative="0">
      <w:start w:val="1"/>
      <w:numFmt w:val="decimal"/>
      <w:suff w:val="space"/>
      <w:lvlText w:val="%1."/>
      <w:lvlJc w:val="left"/>
      <w:pPr>
        <w:ind w:left="0" w:firstLine="0"/>
      </w:pPr>
      <w:rPr>
        <w:rFonts w:hint="eastAsia"/>
      </w:rPr>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0"/>
      <w:numFmt w:val="none"/>
      <w:lvlText w:val=""/>
      <w:lvlJc w:val="left"/>
      <w:pPr>
        <w:tabs>
          <w:tab w:val="left" w:pos="360"/>
        </w:tabs>
      </w:p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7">
    <w:nsid w:val="6DD26F8F"/>
    <w:multiLevelType w:val="multilevel"/>
    <w:tmpl w:val="6DD26F8F"/>
    <w:lvl w:ilvl="0" w:tentative="0">
      <w:start w:val="1"/>
      <w:numFmt w:val="lowerLetter"/>
      <w:lvlText w:val="%1) "/>
      <w:lvlJc w:val="left"/>
      <w:pPr>
        <w:tabs>
          <w:tab w:val="left" w:pos="594"/>
        </w:tabs>
        <w:ind w:left="0" w:firstLine="482"/>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6"/>
  </w:num>
  <w:num w:numId="2">
    <w:abstractNumId w:val="2"/>
  </w:num>
  <w:num w:numId="3">
    <w:abstractNumId w:val="3"/>
  </w:num>
  <w:num w:numId="4">
    <w:abstractNumId w:val="1"/>
  </w:num>
  <w:num w:numId="5">
    <w:abstractNumId w:val="4"/>
  </w:num>
  <w:num w:numId="6">
    <w:abstractNumId w:val="5"/>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FC7A3D"/>
    <w:rsid w:val="00027899"/>
    <w:rsid w:val="00042978"/>
    <w:rsid w:val="00106DE1"/>
    <w:rsid w:val="002A714D"/>
    <w:rsid w:val="002F5030"/>
    <w:rsid w:val="003C6750"/>
    <w:rsid w:val="004402AD"/>
    <w:rsid w:val="00473CD7"/>
    <w:rsid w:val="004E1936"/>
    <w:rsid w:val="005D4036"/>
    <w:rsid w:val="006538E9"/>
    <w:rsid w:val="007534C0"/>
    <w:rsid w:val="00757406"/>
    <w:rsid w:val="00790899"/>
    <w:rsid w:val="007C4543"/>
    <w:rsid w:val="00822364"/>
    <w:rsid w:val="008E5A91"/>
    <w:rsid w:val="00BC7DEE"/>
    <w:rsid w:val="00C42564"/>
    <w:rsid w:val="00C6212C"/>
    <w:rsid w:val="00CB5168"/>
    <w:rsid w:val="00D02CEE"/>
    <w:rsid w:val="00D14DE7"/>
    <w:rsid w:val="00D558A4"/>
    <w:rsid w:val="00E044DD"/>
    <w:rsid w:val="00FD2140"/>
    <w:rsid w:val="00FE0801"/>
    <w:rsid w:val="01032690"/>
    <w:rsid w:val="010D00B4"/>
    <w:rsid w:val="010D5772"/>
    <w:rsid w:val="0122469B"/>
    <w:rsid w:val="01246D44"/>
    <w:rsid w:val="012A48AF"/>
    <w:rsid w:val="014A3062"/>
    <w:rsid w:val="01563243"/>
    <w:rsid w:val="016B4E49"/>
    <w:rsid w:val="016F322F"/>
    <w:rsid w:val="01800046"/>
    <w:rsid w:val="01812891"/>
    <w:rsid w:val="018E003C"/>
    <w:rsid w:val="01A96AF3"/>
    <w:rsid w:val="01B43CDD"/>
    <w:rsid w:val="01BD40CF"/>
    <w:rsid w:val="01BF1D8F"/>
    <w:rsid w:val="01C27B50"/>
    <w:rsid w:val="01D0656D"/>
    <w:rsid w:val="01D27BAD"/>
    <w:rsid w:val="01D83D54"/>
    <w:rsid w:val="01EA2B6E"/>
    <w:rsid w:val="01F31DCE"/>
    <w:rsid w:val="01F335B2"/>
    <w:rsid w:val="01FB773E"/>
    <w:rsid w:val="02097CDD"/>
    <w:rsid w:val="0210335D"/>
    <w:rsid w:val="02280617"/>
    <w:rsid w:val="022813EA"/>
    <w:rsid w:val="022849B6"/>
    <w:rsid w:val="022E5947"/>
    <w:rsid w:val="02362400"/>
    <w:rsid w:val="024A44D8"/>
    <w:rsid w:val="0250228F"/>
    <w:rsid w:val="025472A4"/>
    <w:rsid w:val="02655855"/>
    <w:rsid w:val="0266545F"/>
    <w:rsid w:val="0274454C"/>
    <w:rsid w:val="028362CB"/>
    <w:rsid w:val="02842A31"/>
    <w:rsid w:val="028F51B3"/>
    <w:rsid w:val="02A82FB4"/>
    <w:rsid w:val="02B760DC"/>
    <w:rsid w:val="02BE1DB4"/>
    <w:rsid w:val="02C23D19"/>
    <w:rsid w:val="02CB190C"/>
    <w:rsid w:val="02CB5F7B"/>
    <w:rsid w:val="02DD1AFF"/>
    <w:rsid w:val="02DE076F"/>
    <w:rsid w:val="032C4663"/>
    <w:rsid w:val="033B47D8"/>
    <w:rsid w:val="033F1053"/>
    <w:rsid w:val="034217DE"/>
    <w:rsid w:val="0355512A"/>
    <w:rsid w:val="035D69D7"/>
    <w:rsid w:val="036103AA"/>
    <w:rsid w:val="03672107"/>
    <w:rsid w:val="036810E0"/>
    <w:rsid w:val="036A58A7"/>
    <w:rsid w:val="03826BCF"/>
    <w:rsid w:val="038336B1"/>
    <w:rsid w:val="0383497D"/>
    <w:rsid w:val="03847601"/>
    <w:rsid w:val="039C47B5"/>
    <w:rsid w:val="03A2170D"/>
    <w:rsid w:val="03AA36FB"/>
    <w:rsid w:val="03C30AEB"/>
    <w:rsid w:val="03CF09E7"/>
    <w:rsid w:val="03E06355"/>
    <w:rsid w:val="03E82078"/>
    <w:rsid w:val="03E93CA4"/>
    <w:rsid w:val="03EA09B7"/>
    <w:rsid w:val="03EF7606"/>
    <w:rsid w:val="03F13626"/>
    <w:rsid w:val="03F13A72"/>
    <w:rsid w:val="03F22409"/>
    <w:rsid w:val="03FD6DA4"/>
    <w:rsid w:val="04011111"/>
    <w:rsid w:val="041260C9"/>
    <w:rsid w:val="04194AEF"/>
    <w:rsid w:val="041E1F61"/>
    <w:rsid w:val="041E3109"/>
    <w:rsid w:val="0421489F"/>
    <w:rsid w:val="04260294"/>
    <w:rsid w:val="04350699"/>
    <w:rsid w:val="044B0117"/>
    <w:rsid w:val="044D1508"/>
    <w:rsid w:val="045E0AEA"/>
    <w:rsid w:val="046049B7"/>
    <w:rsid w:val="04647203"/>
    <w:rsid w:val="046E2537"/>
    <w:rsid w:val="04754463"/>
    <w:rsid w:val="048607CC"/>
    <w:rsid w:val="048C5E10"/>
    <w:rsid w:val="04926B8E"/>
    <w:rsid w:val="049758F7"/>
    <w:rsid w:val="049A5C38"/>
    <w:rsid w:val="049B0DB5"/>
    <w:rsid w:val="04C40CF8"/>
    <w:rsid w:val="04D04035"/>
    <w:rsid w:val="04D560C6"/>
    <w:rsid w:val="04DD4C80"/>
    <w:rsid w:val="04E77A47"/>
    <w:rsid w:val="04EB7CA4"/>
    <w:rsid w:val="04EF3B16"/>
    <w:rsid w:val="04F76F4B"/>
    <w:rsid w:val="050E6281"/>
    <w:rsid w:val="05192F13"/>
    <w:rsid w:val="051C0100"/>
    <w:rsid w:val="05226571"/>
    <w:rsid w:val="05227D9C"/>
    <w:rsid w:val="052640B0"/>
    <w:rsid w:val="05323283"/>
    <w:rsid w:val="05331EE8"/>
    <w:rsid w:val="05402A42"/>
    <w:rsid w:val="05464AEE"/>
    <w:rsid w:val="05503008"/>
    <w:rsid w:val="05645FD7"/>
    <w:rsid w:val="057842C7"/>
    <w:rsid w:val="058F7CBD"/>
    <w:rsid w:val="05927CF2"/>
    <w:rsid w:val="059B64F9"/>
    <w:rsid w:val="059C3E62"/>
    <w:rsid w:val="059F05C1"/>
    <w:rsid w:val="05A67E4C"/>
    <w:rsid w:val="05A71AE3"/>
    <w:rsid w:val="05B57759"/>
    <w:rsid w:val="05B72E39"/>
    <w:rsid w:val="05BF008D"/>
    <w:rsid w:val="05C023E7"/>
    <w:rsid w:val="05D15746"/>
    <w:rsid w:val="05D82280"/>
    <w:rsid w:val="05DB7E28"/>
    <w:rsid w:val="05E036D6"/>
    <w:rsid w:val="05E45540"/>
    <w:rsid w:val="05E75F2F"/>
    <w:rsid w:val="05ED2B1F"/>
    <w:rsid w:val="05EF1B29"/>
    <w:rsid w:val="06081E77"/>
    <w:rsid w:val="06131281"/>
    <w:rsid w:val="061B0248"/>
    <w:rsid w:val="06245950"/>
    <w:rsid w:val="062A68C4"/>
    <w:rsid w:val="062C3BC7"/>
    <w:rsid w:val="06315A29"/>
    <w:rsid w:val="063C7D28"/>
    <w:rsid w:val="06417553"/>
    <w:rsid w:val="06424EBE"/>
    <w:rsid w:val="064346B0"/>
    <w:rsid w:val="0649692F"/>
    <w:rsid w:val="065915A7"/>
    <w:rsid w:val="0660444E"/>
    <w:rsid w:val="06615662"/>
    <w:rsid w:val="066C1338"/>
    <w:rsid w:val="066C15ED"/>
    <w:rsid w:val="066F0BFF"/>
    <w:rsid w:val="067B0AA5"/>
    <w:rsid w:val="067E4658"/>
    <w:rsid w:val="06A55845"/>
    <w:rsid w:val="06A75EE6"/>
    <w:rsid w:val="06C015A1"/>
    <w:rsid w:val="06D50D76"/>
    <w:rsid w:val="06DE3FD3"/>
    <w:rsid w:val="071239A6"/>
    <w:rsid w:val="07130C94"/>
    <w:rsid w:val="07183A0B"/>
    <w:rsid w:val="07242E2F"/>
    <w:rsid w:val="072E5117"/>
    <w:rsid w:val="07313168"/>
    <w:rsid w:val="073239D5"/>
    <w:rsid w:val="07390D47"/>
    <w:rsid w:val="0742090F"/>
    <w:rsid w:val="07435A06"/>
    <w:rsid w:val="074D471A"/>
    <w:rsid w:val="074F5F72"/>
    <w:rsid w:val="075A4F35"/>
    <w:rsid w:val="075A79F0"/>
    <w:rsid w:val="07696689"/>
    <w:rsid w:val="07727851"/>
    <w:rsid w:val="0779254D"/>
    <w:rsid w:val="077A2A49"/>
    <w:rsid w:val="07883F54"/>
    <w:rsid w:val="07911318"/>
    <w:rsid w:val="07947322"/>
    <w:rsid w:val="07AF0F13"/>
    <w:rsid w:val="07AF2D82"/>
    <w:rsid w:val="07B42526"/>
    <w:rsid w:val="07BE683F"/>
    <w:rsid w:val="07BF3C30"/>
    <w:rsid w:val="07C20743"/>
    <w:rsid w:val="07D24879"/>
    <w:rsid w:val="07DA4545"/>
    <w:rsid w:val="07E5011D"/>
    <w:rsid w:val="07E80794"/>
    <w:rsid w:val="07F01FC7"/>
    <w:rsid w:val="07FF5209"/>
    <w:rsid w:val="0801543C"/>
    <w:rsid w:val="0818471F"/>
    <w:rsid w:val="08250A35"/>
    <w:rsid w:val="0829609A"/>
    <w:rsid w:val="082B22A0"/>
    <w:rsid w:val="083D1FC1"/>
    <w:rsid w:val="08522BE9"/>
    <w:rsid w:val="085B2F4C"/>
    <w:rsid w:val="08674F95"/>
    <w:rsid w:val="08734EE3"/>
    <w:rsid w:val="08754347"/>
    <w:rsid w:val="08794FBC"/>
    <w:rsid w:val="087A7F50"/>
    <w:rsid w:val="0884752A"/>
    <w:rsid w:val="088A5A69"/>
    <w:rsid w:val="088F0779"/>
    <w:rsid w:val="08A456F9"/>
    <w:rsid w:val="08AE215B"/>
    <w:rsid w:val="08B14398"/>
    <w:rsid w:val="08BC5221"/>
    <w:rsid w:val="08C33BA6"/>
    <w:rsid w:val="08CC1DC4"/>
    <w:rsid w:val="08CE538A"/>
    <w:rsid w:val="08D0751C"/>
    <w:rsid w:val="08D643A4"/>
    <w:rsid w:val="09016435"/>
    <w:rsid w:val="090E18F1"/>
    <w:rsid w:val="09135341"/>
    <w:rsid w:val="09345BE1"/>
    <w:rsid w:val="09347B13"/>
    <w:rsid w:val="09481DE3"/>
    <w:rsid w:val="09566D7F"/>
    <w:rsid w:val="095F3398"/>
    <w:rsid w:val="09705930"/>
    <w:rsid w:val="097B6003"/>
    <w:rsid w:val="097D4131"/>
    <w:rsid w:val="098717C2"/>
    <w:rsid w:val="09943AB0"/>
    <w:rsid w:val="09CE165E"/>
    <w:rsid w:val="09CE2123"/>
    <w:rsid w:val="09D707EB"/>
    <w:rsid w:val="09E70B3D"/>
    <w:rsid w:val="09ED1255"/>
    <w:rsid w:val="09ED547B"/>
    <w:rsid w:val="09F01579"/>
    <w:rsid w:val="09F17D60"/>
    <w:rsid w:val="09FA4992"/>
    <w:rsid w:val="0A056D41"/>
    <w:rsid w:val="0A066219"/>
    <w:rsid w:val="0A1419FC"/>
    <w:rsid w:val="0A162115"/>
    <w:rsid w:val="0A217228"/>
    <w:rsid w:val="0A2E7AFC"/>
    <w:rsid w:val="0A4D3109"/>
    <w:rsid w:val="0A510D7C"/>
    <w:rsid w:val="0A59709E"/>
    <w:rsid w:val="0A7D4A1A"/>
    <w:rsid w:val="0A8A7CD3"/>
    <w:rsid w:val="0A8C06F9"/>
    <w:rsid w:val="0A9132E9"/>
    <w:rsid w:val="0A947378"/>
    <w:rsid w:val="0AB244AD"/>
    <w:rsid w:val="0AD9152A"/>
    <w:rsid w:val="0AE020BA"/>
    <w:rsid w:val="0AE77B86"/>
    <w:rsid w:val="0AF02C97"/>
    <w:rsid w:val="0AF94BD7"/>
    <w:rsid w:val="0B0822EE"/>
    <w:rsid w:val="0B146C49"/>
    <w:rsid w:val="0B156449"/>
    <w:rsid w:val="0B1837C0"/>
    <w:rsid w:val="0B241B91"/>
    <w:rsid w:val="0B2500FC"/>
    <w:rsid w:val="0B2B6388"/>
    <w:rsid w:val="0B2D7A7F"/>
    <w:rsid w:val="0B411390"/>
    <w:rsid w:val="0B4F4770"/>
    <w:rsid w:val="0B591916"/>
    <w:rsid w:val="0B613E46"/>
    <w:rsid w:val="0B617F97"/>
    <w:rsid w:val="0B6F1305"/>
    <w:rsid w:val="0BA72FE9"/>
    <w:rsid w:val="0BA851DC"/>
    <w:rsid w:val="0BC050B6"/>
    <w:rsid w:val="0BEC1FFA"/>
    <w:rsid w:val="0BF946D3"/>
    <w:rsid w:val="0BFC030B"/>
    <w:rsid w:val="0C063CBF"/>
    <w:rsid w:val="0C090345"/>
    <w:rsid w:val="0C093084"/>
    <w:rsid w:val="0C0A1B92"/>
    <w:rsid w:val="0C113D71"/>
    <w:rsid w:val="0C2033F9"/>
    <w:rsid w:val="0C2A4B06"/>
    <w:rsid w:val="0C333BC3"/>
    <w:rsid w:val="0C387F16"/>
    <w:rsid w:val="0C572AD6"/>
    <w:rsid w:val="0C592B33"/>
    <w:rsid w:val="0C5C3B23"/>
    <w:rsid w:val="0C5D7A94"/>
    <w:rsid w:val="0C62077D"/>
    <w:rsid w:val="0C73584A"/>
    <w:rsid w:val="0C761779"/>
    <w:rsid w:val="0C780CE4"/>
    <w:rsid w:val="0C906BBF"/>
    <w:rsid w:val="0C9667C2"/>
    <w:rsid w:val="0C9715F7"/>
    <w:rsid w:val="0C9D65C5"/>
    <w:rsid w:val="0C9F0F59"/>
    <w:rsid w:val="0CA63341"/>
    <w:rsid w:val="0CAF767A"/>
    <w:rsid w:val="0CC2491A"/>
    <w:rsid w:val="0CC966B9"/>
    <w:rsid w:val="0CCE50FC"/>
    <w:rsid w:val="0CD4019D"/>
    <w:rsid w:val="0CD544F6"/>
    <w:rsid w:val="0CD70AF8"/>
    <w:rsid w:val="0CE74812"/>
    <w:rsid w:val="0CF9412E"/>
    <w:rsid w:val="0CFB7CBF"/>
    <w:rsid w:val="0D052139"/>
    <w:rsid w:val="0D066D60"/>
    <w:rsid w:val="0D2710FF"/>
    <w:rsid w:val="0D2924DE"/>
    <w:rsid w:val="0D3C64B7"/>
    <w:rsid w:val="0D43254F"/>
    <w:rsid w:val="0D47257B"/>
    <w:rsid w:val="0D4E4000"/>
    <w:rsid w:val="0D4F7DF5"/>
    <w:rsid w:val="0D5944E5"/>
    <w:rsid w:val="0D642272"/>
    <w:rsid w:val="0D6705C2"/>
    <w:rsid w:val="0D6E6A70"/>
    <w:rsid w:val="0D746365"/>
    <w:rsid w:val="0D7944C6"/>
    <w:rsid w:val="0D7A10B2"/>
    <w:rsid w:val="0D823965"/>
    <w:rsid w:val="0D857F3D"/>
    <w:rsid w:val="0D88388F"/>
    <w:rsid w:val="0D8B4A36"/>
    <w:rsid w:val="0DAC0B1B"/>
    <w:rsid w:val="0DB17FA2"/>
    <w:rsid w:val="0DC960DE"/>
    <w:rsid w:val="0DD93237"/>
    <w:rsid w:val="0DDD1B8C"/>
    <w:rsid w:val="0DE34C4A"/>
    <w:rsid w:val="0DE729B3"/>
    <w:rsid w:val="0DF53F5D"/>
    <w:rsid w:val="0DF76CA4"/>
    <w:rsid w:val="0DFC0593"/>
    <w:rsid w:val="0DFD28B4"/>
    <w:rsid w:val="0E0B3995"/>
    <w:rsid w:val="0E102383"/>
    <w:rsid w:val="0E185102"/>
    <w:rsid w:val="0E1D69C4"/>
    <w:rsid w:val="0E2C50C2"/>
    <w:rsid w:val="0E5B084D"/>
    <w:rsid w:val="0E5E042C"/>
    <w:rsid w:val="0E605CD9"/>
    <w:rsid w:val="0E62016E"/>
    <w:rsid w:val="0E6D2A5E"/>
    <w:rsid w:val="0E792756"/>
    <w:rsid w:val="0E7C0B5A"/>
    <w:rsid w:val="0E833C5D"/>
    <w:rsid w:val="0E85794C"/>
    <w:rsid w:val="0E8D7B7A"/>
    <w:rsid w:val="0E9B4E22"/>
    <w:rsid w:val="0E9C3F9F"/>
    <w:rsid w:val="0EB354A6"/>
    <w:rsid w:val="0EB42591"/>
    <w:rsid w:val="0EBA5565"/>
    <w:rsid w:val="0EC54A90"/>
    <w:rsid w:val="0EEE1B6F"/>
    <w:rsid w:val="0F1874E8"/>
    <w:rsid w:val="0F187BF1"/>
    <w:rsid w:val="0F1A595E"/>
    <w:rsid w:val="0F2C76E4"/>
    <w:rsid w:val="0F326758"/>
    <w:rsid w:val="0F3905B1"/>
    <w:rsid w:val="0F3E18E9"/>
    <w:rsid w:val="0F4F167A"/>
    <w:rsid w:val="0F514320"/>
    <w:rsid w:val="0F5C3334"/>
    <w:rsid w:val="0F62129B"/>
    <w:rsid w:val="0F64493F"/>
    <w:rsid w:val="0F680662"/>
    <w:rsid w:val="0F690BC9"/>
    <w:rsid w:val="0F6D5500"/>
    <w:rsid w:val="0F8834D5"/>
    <w:rsid w:val="0F961122"/>
    <w:rsid w:val="0FA53923"/>
    <w:rsid w:val="0FC451C1"/>
    <w:rsid w:val="0FD006E6"/>
    <w:rsid w:val="0FDE2B37"/>
    <w:rsid w:val="0FE603A0"/>
    <w:rsid w:val="0FE735A8"/>
    <w:rsid w:val="0FEB039D"/>
    <w:rsid w:val="0FFE2F18"/>
    <w:rsid w:val="0FFF3015"/>
    <w:rsid w:val="1009064D"/>
    <w:rsid w:val="100F51B1"/>
    <w:rsid w:val="101B2114"/>
    <w:rsid w:val="101C023D"/>
    <w:rsid w:val="10374EB5"/>
    <w:rsid w:val="103C5A75"/>
    <w:rsid w:val="10467FF7"/>
    <w:rsid w:val="10551FAE"/>
    <w:rsid w:val="10587178"/>
    <w:rsid w:val="105F724E"/>
    <w:rsid w:val="106571F0"/>
    <w:rsid w:val="106D4FCF"/>
    <w:rsid w:val="10712C3C"/>
    <w:rsid w:val="107D7683"/>
    <w:rsid w:val="107F7B4E"/>
    <w:rsid w:val="109048A6"/>
    <w:rsid w:val="10930E7E"/>
    <w:rsid w:val="109D0506"/>
    <w:rsid w:val="10C72610"/>
    <w:rsid w:val="10D01D8C"/>
    <w:rsid w:val="10D07A1E"/>
    <w:rsid w:val="10D97443"/>
    <w:rsid w:val="10DA77D5"/>
    <w:rsid w:val="10DC1A4B"/>
    <w:rsid w:val="10F37380"/>
    <w:rsid w:val="11002586"/>
    <w:rsid w:val="11175285"/>
    <w:rsid w:val="11187603"/>
    <w:rsid w:val="1122541D"/>
    <w:rsid w:val="11233174"/>
    <w:rsid w:val="11261B84"/>
    <w:rsid w:val="11277C6C"/>
    <w:rsid w:val="11306066"/>
    <w:rsid w:val="1138788D"/>
    <w:rsid w:val="1141524B"/>
    <w:rsid w:val="11575FE0"/>
    <w:rsid w:val="116216F5"/>
    <w:rsid w:val="116660E0"/>
    <w:rsid w:val="118D525C"/>
    <w:rsid w:val="11AA142F"/>
    <w:rsid w:val="11B31B3B"/>
    <w:rsid w:val="11C940BB"/>
    <w:rsid w:val="11D57946"/>
    <w:rsid w:val="11D75278"/>
    <w:rsid w:val="11DE0882"/>
    <w:rsid w:val="11E05E17"/>
    <w:rsid w:val="12033F83"/>
    <w:rsid w:val="120A4A2E"/>
    <w:rsid w:val="12213D7A"/>
    <w:rsid w:val="12257993"/>
    <w:rsid w:val="12277E5A"/>
    <w:rsid w:val="123B0808"/>
    <w:rsid w:val="12581175"/>
    <w:rsid w:val="126152AB"/>
    <w:rsid w:val="12617303"/>
    <w:rsid w:val="1272507D"/>
    <w:rsid w:val="1275030A"/>
    <w:rsid w:val="128541BC"/>
    <w:rsid w:val="12885203"/>
    <w:rsid w:val="128E1F96"/>
    <w:rsid w:val="12A406CC"/>
    <w:rsid w:val="12A50FF4"/>
    <w:rsid w:val="12A95336"/>
    <w:rsid w:val="12AC58DE"/>
    <w:rsid w:val="12B069E7"/>
    <w:rsid w:val="12BE7464"/>
    <w:rsid w:val="12C92B04"/>
    <w:rsid w:val="12C9629D"/>
    <w:rsid w:val="12D02330"/>
    <w:rsid w:val="12DC2B30"/>
    <w:rsid w:val="12E0209C"/>
    <w:rsid w:val="1309024F"/>
    <w:rsid w:val="13115A20"/>
    <w:rsid w:val="131E4C2A"/>
    <w:rsid w:val="13240F6B"/>
    <w:rsid w:val="13263A7D"/>
    <w:rsid w:val="13293CE4"/>
    <w:rsid w:val="132F42F4"/>
    <w:rsid w:val="1334519E"/>
    <w:rsid w:val="13347DE1"/>
    <w:rsid w:val="13372AFA"/>
    <w:rsid w:val="133C5AB7"/>
    <w:rsid w:val="13535DF5"/>
    <w:rsid w:val="135878ED"/>
    <w:rsid w:val="13680C7B"/>
    <w:rsid w:val="136A30B1"/>
    <w:rsid w:val="136A5043"/>
    <w:rsid w:val="137F365E"/>
    <w:rsid w:val="13843F05"/>
    <w:rsid w:val="138506D9"/>
    <w:rsid w:val="138D52FA"/>
    <w:rsid w:val="139C68FD"/>
    <w:rsid w:val="13A32590"/>
    <w:rsid w:val="13A67046"/>
    <w:rsid w:val="13AD33BE"/>
    <w:rsid w:val="13B048C9"/>
    <w:rsid w:val="13BC032D"/>
    <w:rsid w:val="13D31DDD"/>
    <w:rsid w:val="13D953CF"/>
    <w:rsid w:val="13EE3168"/>
    <w:rsid w:val="13F94CAC"/>
    <w:rsid w:val="13F96C09"/>
    <w:rsid w:val="13FB6B3D"/>
    <w:rsid w:val="142B60D6"/>
    <w:rsid w:val="142E4145"/>
    <w:rsid w:val="14315614"/>
    <w:rsid w:val="14340ECE"/>
    <w:rsid w:val="14395F49"/>
    <w:rsid w:val="1452795B"/>
    <w:rsid w:val="145F0992"/>
    <w:rsid w:val="14681D54"/>
    <w:rsid w:val="146C3C86"/>
    <w:rsid w:val="14720BA8"/>
    <w:rsid w:val="147E298D"/>
    <w:rsid w:val="148C1139"/>
    <w:rsid w:val="149A1398"/>
    <w:rsid w:val="149A18A4"/>
    <w:rsid w:val="14B9774A"/>
    <w:rsid w:val="14BF3E67"/>
    <w:rsid w:val="14D039FD"/>
    <w:rsid w:val="14D17B5B"/>
    <w:rsid w:val="14DA759D"/>
    <w:rsid w:val="14E702AC"/>
    <w:rsid w:val="14FC7F40"/>
    <w:rsid w:val="15061FB4"/>
    <w:rsid w:val="15151054"/>
    <w:rsid w:val="152C7BC8"/>
    <w:rsid w:val="1533323C"/>
    <w:rsid w:val="153D4153"/>
    <w:rsid w:val="153F10BD"/>
    <w:rsid w:val="154D49CC"/>
    <w:rsid w:val="154E1D83"/>
    <w:rsid w:val="155323AB"/>
    <w:rsid w:val="15580510"/>
    <w:rsid w:val="15587D34"/>
    <w:rsid w:val="1570603C"/>
    <w:rsid w:val="15762FC5"/>
    <w:rsid w:val="157C23DF"/>
    <w:rsid w:val="15804B0A"/>
    <w:rsid w:val="1596399C"/>
    <w:rsid w:val="15A30E15"/>
    <w:rsid w:val="15A6462B"/>
    <w:rsid w:val="15B4696B"/>
    <w:rsid w:val="15B75007"/>
    <w:rsid w:val="15BA6A08"/>
    <w:rsid w:val="15C12867"/>
    <w:rsid w:val="15CC4EBE"/>
    <w:rsid w:val="15DB5715"/>
    <w:rsid w:val="15DC0E3A"/>
    <w:rsid w:val="15DF64C7"/>
    <w:rsid w:val="15E3547D"/>
    <w:rsid w:val="15F40FBE"/>
    <w:rsid w:val="15F7567D"/>
    <w:rsid w:val="15F77B34"/>
    <w:rsid w:val="15F94F7C"/>
    <w:rsid w:val="15FE665E"/>
    <w:rsid w:val="160320A8"/>
    <w:rsid w:val="160D0B5F"/>
    <w:rsid w:val="161908CB"/>
    <w:rsid w:val="162331F7"/>
    <w:rsid w:val="162F22B9"/>
    <w:rsid w:val="16411B3B"/>
    <w:rsid w:val="164E6222"/>
    <w:rsid w:val="165703A7"/>
    <w:rsid w:val="16683910"/>
    <w:rsid w:val="166B0BD8"/>
    <w:rsid w:val="1673464F"/>
    <w:rsid w:val="16751B2E"/>
    <w:rsid w:val="16804D2F"/>
    <w:rsid w:val="16822767"/>
    <w:rsid w:val="168E2030"/>
    <w:rsid w:val="16964C8B"/>
    <w:rsid w:val="16987FBF"/>
    <w:rsid w:val="16A93021"/>
    <w:rsid w:val="16C27BD7"/>
    <w:rsid w:val="16C546DA"/>
    <w:rsid w:val="16C7003D"/>
    <w:rsid w:val="16CC79DD"/>
    <w:rsid w:val="16D40F8D"/>
    <w:rsid w:val="16E12D1C"/>
    <w:rsid w:val="16E93D18"/>
    <w:rsid w:val="16F03E59"/>
    <w:rsid w:val="17002E61"/>
    <w:rsid w:val="17057BB6"/>
    <w:rsid w:val="17073DC2"/>
    <w:rsid w:val="170B28C3"/>
    <w:rsid w:val="170D635C"/>
    <w:rsid w:val="17124001"/>
    <w:rsid w:val="1734553A"/>
    <w:rsid w:val="17392A9C"/>
    <w:rsid w:val="174235FE"/>
    <w:rsid w:val="175A7ED8"/>
    <w:rsid w:val="175F09D1"/>
    <w:rsid w:val="175F33F7"/>
    <w:rsid w:val="17620287"/>
    <w:rsid w:val="17685247"/>
    <w:rsid w:val="179221B7"/>
    <w:rsid w:val="179F1A46"/>
    <w:rsid w:val="17BD01F1"/>
    <w:rsid w:val="17BE6A47"/>
    <w:rsid w:val="17C35309"/>
    <w:rsid w:val="17CD02E4"/>
    <w:rsid w:val="17D47F81"/>
    <w:rsid w:val="17DD093E"/>
    <w:rsid w:val="17DF0FDD"/>
    <w:rsid w:val="181233EC"/>
    <w:rsid w:val="18223608"/>
    <w:rsid w:val="1829755F"/>
    <w:rsid w:val="18326117"/>
    <w:rsid w:val="18467E0A"/>
    <w:rsid w:val="18592718"/>
    <w:rsid w:val="18646A23"/>
    <w:rsid w:val="18843D89"/>
    <w:rsid w:val="188440C1"/>
    <w:rsid w:val="18861C4D"/>
    <w:rsid w:val="18922BE7"/>
    <w:rsid w:val="18A00171"/>
    <w:rsid w:val="18A960D5"/>
    <w:rsid w:val="18C14DF6"/>
    <w:rsid w:val="18CA67D7"/>
    <w:rsid w:val="18D257AD"/>
    <w:rsid w:val="18D64A82"/>
    <w:rsid w:val="18D82EDA"/>
    <w:rsid w:val="18EA38B6"/>
    <w:rsid w:val="18FC108C"/>
    <w:rsid w:val="18FC21B8"/>
    <w:rsid w:val="1923014E"/>
    <w:rsid w:val="192E2689"/>
    <w:rsid w:val="192F5E40"/>
    <w:rsid w:val="19366C51"/>
    <w:rsid w:val="194039E2"/>
    <w:rsid w:val="194235C3"/>
    <w:rsid w:val="19471818"/>
    <w:rsid w:val="194D7D30"/>
    <w:rsid w:val="195B6FA1"/>
    <w:rsid w:val="1967224D"/>
    <w:rsid w:val="196B1770"/>
    <w:rsid w:val="19793989"/>
    <w:rsid w:val="198340EF"/>
    <w:rsid w:val="198413E5"/>
    <w:rsid w:val="199F1DF0"/>
    <w:rsid w:val="19A42256"/>
    <w:rsid w:val="19AC3FFC"/>
    <w:rsid w:val="19B07B58"/>
    <w:rsid w:val="19B43D0D"/>
    <w:rsid w:val="19D2671E"/>
    <w:rsid w:val="19DF123A"/>
    <w:rsid w:val="19EE1360"/>
    <w:rsid w:val="19F0512F"/>
    <w:rsid w:val="19FB73E3"/>
    <w:rsid w:val="19FD5EFB"/>
    <w:rsid w:val="19FF0D3F"/>
    <w:rsid w:val="1A017FD9"/>
    <w:rsid w:val="1A043306"/>
    <w:rsid w:val="1A0D7B85"/>
    <w:rsid w:val="1A1A565A"/>
    <w:rsid w:val="1A1E5295"/>
    <w:rsid w:val="1A234D85"/>
    <w:rsid w:val="1A253946"/>
    <w:rsid w:val="1A397801"/>
    <w:rsid w:val="1A407B52"/>
    <w:rsid w:val="1A4542B6"/>
    <w:rsid w:val="1A4B76E8"/>
    <w:rsid w:val="1A566FAA"/>
    <w:rsid w:val="1A5D0585"/>
    <w:rsid w:val="1A613BB4"/>
    <w:rsid w:val="1A6413F2"/>
    <w:rsid w:val="1A6A02AA"/>
    <w:rsid w:val="1A705E4B"/>
    <w:rsid w:val="1A775269"/>
    <w:rsid w:val="1A800544"/>
    <w:rsid w:val="1A8162B3"/>
    <w:rsid w:val="1A827ADA"/>
    <w:rsid w:val="1A84617F"/>
    <w:rsid w:val="1A8A6475"/>
    <w:rsid w:val="1AA43BE5"/>
    <w:rsid w:val="1AAC088D"/>
    <w:rsid w:val="1AAF38F7"/>
    <w:rsid w:val="1AC20B66"/>
    <w:rsid w:val="1AD17048"/>
    <w:rsid w:val="1AD77CC6"/>
    <w:rsid w:val="1ADE76F3"/>
    <w:rsid w:val="1AFD3B6D"/>
    <w:rsid w:val="1B0043F0"/>
    <w:rsid w:val="1B056D10"/>
    <w:rsid w:val="1B074C91"/>
    <w:rsid w:val="1B0B3BF9"/>
    <w:rsid w:val="1B116288"/>
    <w:rsid w:val="1B12466C"/>
    <w:rsid w:val="1B13192F"/>
    <w:rsid w:val="1B1460A8"/>
    <w:rsid w:val="1B171832"/>
    <w:rsid w:val="1B203D2F"/>
    <w:rsid w:val="1B250A4A"/>
    <w:rsid w:val="1B2D0CAD"/>
    <w:rsid w:val="1B371864"/>
    <w:rsid w:val="1B37799A"/>
    <w:rsid w:val="1B384D25"/>
    <w:rsid w:val="1B3B3BBF"/>
    <w:rsid w:val="1B3B42DA"/>
    <w:rsid w:val="1B3D04AA"/>
    <w:rsid w:val="1B3F4452"/>
    <w:rsid w:val="1B456A9F"/>
    <w:rsid w:val="1B5B6D0F"/>
    <w:rsid w:val="1B5F0B2A"/>
    <w:rsid w:val="1B600ADB"/>
    <w:rsid w:val="1B603E03"/>
    <w:rsid w:val="1B68287E"/>
    <w:rsid w:val="1B6C7893"/>
    <w:rsid w:val="1B76441F"/>
    <w:rsid w:val="1B766391"/>
    <w:rsid w:val="1B8A5B68"/>
    <w:rsid w:val="1B8D5920"/>
    <w:rsid w:val="1BB11390"/>
    <w:rsid w:val="1BBB0D4A"/>
    <w:rsid w:val="1BCF48A9"/>
    <w:rsid w:val="1BD107A6"/>
    <w:rsid w:val="1BE26DF9"/>
    <w:rsid w:val="1BEF218D"/>
    <w:rsid w:val="1C014065"/>
    <w:rsid w:val="1C077EFC"/>
    <w:rsid w:val="1C0B0056"/>
    <w:rsid w:val="1C0D0656"/>
    <w:rsid w:val="1C1B1FFF"/>
    <w:rsid w:val="1C3F2256"/>
    <w:rsid w:val="1C436FF3"/>
    <w:rsid w:val="1C4E19FB"/>
    <w:rsid w:val="1C534A29"/>
    <w:rsid w:val="1C582CA3"/>
    <w:rsid w:val="1C622BFF"/>
    <w:rsid w:val="1C6551A6"/>
    <w:rsid w:val="1C665E8C"/>
    <w:rsid w:val="1C820B5B"/>
    <w:rsid w:val="1C907F98"/>
    <w:rsid w:val="1CB82B70"/>
    <w:rsid w:val="1CBA6BFB"/>
    <w:rsid w:val="1CBC2D05"/>
    <w:rsid w:val="1CC13B52"/>
    <w:rsid w:val="1CE67028"/>
    <w:rsid w:val="1CE853D7"/>
    <w:rsid w:val="1D002B33"/>
    <w:rsid w:val="1D06747D"/>
    <w:rsid w:val="1D096676"/>
    <w:rsid w:val="1D1B1E9F"/>
    <w:rsid w:val="1D1E00B1"/>
    <w:rsid w:val="1D256455"/>
    <w:rsid w:val="1D26604C"/>
    <w:rsid w:val="1D2935D9"/>
    <w:rsid w:val="1D332964"/>
    <w:rsid w:val="1D3615A3"/>
    <w:rsid w:val="1D374F02"/>
    <w:rsid w:val="1D533DD1"/>
    <w:rsid w:val="1D635636"/>
    <w:rsid w:val="1D7323BC"/>
    <w:rsid w:val="1D755812"/>
    <w:rsid w:val="1D7B75FE"/>
    <w:rsid w:val="1D7F18AB"/>
    <w:rsid w:val="1D900E27"/>
    <w:rsid w:val="1D9D37AA"/>
    <w:rsid w:val="1DBD24A0"/>
    <w:rsid w:val="1DC16666"/>
    <w:rsid w:val="1DC46B2A"/>
    <w:rsid w:val="1DC537F0"/>
    <w:rsid w:val="1DE34427"/>
    <w:rsid w:val="1DF11AD6"/>
    <w:rsid w:val="1DF75203"/>
    <w:rsid w:val="1DFB71D0"/>
    <w:rsid w:val="1E197365"/>
    <w:rsid w:val="1E1B4B24"/>
    <w:rsid w:val="1E245AB3"/>
    <w:rsid w:val="1E356B52"/>
    <w:rsid w:val="1E3B3A7F"/>
    <w:rsid w:val="1E3C117F"/>
    <w:rsid w:val="1E3E604F"/>
    <w:rsid w:val="1E4115A6"/>
    <w:rsid w:val="1E41344C"/>
    <w:rsid w:val="1E4E23EF"/>
    <w:rsid w:val="1E4F2942"/>
    <w:rsid w:val="1E6C366F"/>
    <w:rsid w:val="1E6E78A5"/>
    <w:rsid w:val="1E7A344E"/>
    <w:rsid w:val="1E7D1C41"/>
    <w:rsid w:val="1E8C01B5"/>
    <w:rsid w:val="1E962469"/>
    <w:rsid w:val="1E9F5A6F"/>
    <w:rsid w:val="1EA271F4"/>
    <w:rsid w:val="1EA6246A"/>
    <w:rsid w:val="1EBF1070"/>
    <w:rsid w:val="1EC17DC9"/>
    <w:rsid w:val="1EC57C4C"/>
    <w:rsid w:val="1EC836BA"/>
    <w:rsid w:val="1ED365BE"/>
    <w:rsid w:val="1ED72D62"/>
    <w:rsid w:val="1EDB392B"/>
    <w:rsid w:val="1EDC5CB4"/>
    <w:rsid w:val="1EF4563F"/>
    <w:rsid w:val="1EF500B2"/>
    <w:rsid w:val="1EF60880"/>
    <w:rsid w:val="1EFC0E4D"/>
    <w:rsid w:val="1F105090"/>
    <w:rsid w:val="1F260DCB"/>
    <w:rsid w:val="1F2917D2"/>
    <w:rsid w:val="1F2F2E56"/>
    <w:rsid w:val="1F360A0C"/>
    <w:rsid w:val="1F38555E"/>
    <w:rsid w:val="1F392C08"/>
    <w:rsid w:val="1F562FB7"/>
    <w:rsid w:val="1F5F6D72"/>
    <w:rsid w:val="1F646A6C"/>
    <w:rsid w:val="1F6533FD"/>
    <w:rsid w:val="1F7A010F"/>
    <w:rsid w:val="1F8817AE"/>
    <w:rsid w:val="1F931285"/>
    <w:rsid w:val="1F9B50DC"/>
    <w:rsid w:val="1FA73097"/>
    <w:rsid w:val="1FC2146B"/>
    <w:rsid w:val="1FD63E36"/>
    <w:rsid w:val="1FDB23F0"/>
    <w:rsid w:val="1FE363DC"/>
    <w:rsid w:val="1FE37976"/>
    <w:rsid w:val="1FF17CB5"/>
    <w:rsid w:val="20077792"/>
    <w:rsid w:val="200A3658"/>
    <w:rsid w:val="200C5997"/>
    <w:rsid w:val="201B3A15"/>
    <w:rsid w:val="202302D1"/>
    <w:rsid w:val="20301B36"/>
    <w:rsid w:val="20391D55"/>
    <w:rsid w:val="20453CB4"/>
    <w:rsid w:val="20483DD7"/>
    <w:rsid w:val="204F4399"/>
    <w:rsid w:val="20505EC6"/>
    <w:rsid w:val="205A1558"/>
    <w:rsid w:val="205D59B9"/>
    <w:rsid w:val="20690B76"/>
    <w:rsid w:val="206C2287"/>
    <w:rsid w:val="20727B2A"/>
    <w:rsid w:val="207576FF"/>
    <w:rsid w:val="2082083E"/>
    <w:rsid w:val="208C7AC3"/>
    <w:rsid w:val="20924560"/>
    <w:rsid w:val="209A56C8"/>
    <w:rsid w:val="20B36D57"/>
    <w:rsid w:val="20BE61EC"/>
    <w:rsid w:val="20C22B34"/>
    <w:rsid w:val="20C81455"/>
    <w:rsid w:val="20CF0086"/>
    <w:rsid w:val="20E162B2"/>
    <w:rsid w:val="20E92E86"/>
    <w:rsid w:val="20F92418"/>
    <w:rsid w:val="210416F3"/>
    <w:rsid w:val="2107349F"/>
    <w:rsid w:val="210E3DA6"/>
    <w:rsid w:val="21141A0B"/>
    <w:rsid w:val="21205CC1"/>
    <w:rsid w:val="212C33B3"/>
    <w:rsid w:val="21390BAC"/>
    <w:rsid w:val="214A283E"/>
    <w:rsid w:val="2159398D"/>
    <w:rsid w:val="216B0436"/>
    <w:rsid w:val="216E4C2A"/>
    <w:rsid w:val="218A77A4"/>
    <w:rsid w:val="218F1E08"/>
    <w:rsid w:val="21936361"/>
    <w:rsid w:val="219F3393"/>
    <w:rsid w:val="21AB1487"/>
    <w:rsid w:val="21B06CA3"/>
    <w:rsid w:val="21B421C1"/>
    <w:rsid w:val="21C22912"/>
    <w:rsid w:val="21C33789"/>
    <w:rsid w:val="21DC13EF"/>
    <w:rsid w:val="21DE2E0C"/>
    <w:rsid w:val="21E64659"/>
    <w:rsid w:val="21F07656"/>
    <w:rsid w:val="21F66810"/>
    <w:rsid w:val="21FD6CC9"/>
    <w:rsid w:val="22086817"/>
    <w:rsid w:val="220F2665"/>
    <w:rsid w:val="22164EFD"/>
    <w:rsid w:val="221E300C"/>
    <w:rsid w:val="221F32F7"/>
    <w:rsid w:val="222D2F1A"/>
    <w:rsid w:val="22390CE4"/>
    <w:rsid w:val="2248719B"/>
    <w:rsid w:val="224B6F8F"/>
    <w:rsid w:val="225E13CA"/>
    <w:rsid w:val="22616110"/>
    <w:rsid w:val="226211CF"/>
    <w:rsid w:val="22695AE4"/>
    <w:rsid w:val="22947F61"/>
    <w:rsid w:val="229B701E"/>
    <w:rsid w:val="229C0527"/>
    <w:rsid w:val="229D62BA"/>
    <w:rsid w:val="22B040FB"/>
    <w:rsid w:val="22B632EA"/>
    <w:rsid w:val="22CA2400"/>
    <w:rsid w:val="22CD236C"/>
    <w:rsid w:val="22DB77D0"/>
    <w:rsid w:val="22DD1E85"/>
    <w:rsid w:val="22E41800"/>
    <w:rsid w:val="22FF53DD"/>
    <w:rsid w:val="23092395"/>
    <w:rsid w:val="230A71AD"/>
    <w:rsid w:val="230C068C"/>
    <w:rsid w:val="230D3449"/>
    <w:rsid w:val="230D41DF"/>
    <w:rsid w:val="23142C06"/>
    <w:rsid w:val="23170CF5"/>
    <w:rsid w:val="23177034"/>
    <w:rsid w:val="23235A0F"/>
    <w:rsid w:val="233E3B6C"/>
    <w:rsid w:val="23427587"/>
    <w:rsid w:val="234B661C"/>
    <w:rsid w:val="234C602B"/>
    <w:rsid w:val="23527DDC"/>
    <w:rsid w:val="235E1DA7"/>
    <w:rsid w:val="236B6930"/>
    <w:rsid w:val="236B7E28"/>
    <w:rsid w:val="23740F42"/>
    <w:rsid w:val="237C4493"/>
    <w:rsid w:val="23991AFE"/>
    <w:rsid w:val="239C4FE5"/>
    <w:rsid w:val="23B64E71"/>
    <w:rsid w:val="23BD01DF"/>
    <w:rsid w:val="23C745AC"/>
    <w:rsid w:val="23CA27F3"/>
    <w:rsid w:val="23CF0577"/>
    <w:rsid w:val="23DF1B86"/>
    <w:rsid w:val="23E557E1"/>
    <w:rsid w:val="23EB1A23"/>
    <w:rsid w:val="24031340"/>
    <w:rsid w:val="240F5CA9"/>
    <w:rsid w:val="241A1C06"/>
    <w:rsid w:val="241D5F0F"/>
    <w:rsid w:val="24206C96"/>
    <w:rsid w:val="2430691B"/>
    <w:rsid w:val="243B7188"/>
    <w:rsid w:val="243E5633"/>
    <w:rsid w:val="244E4E40"/>
    <w:rsid w:val="2456631E"/>
    <w:rsid w:val="246F506C"/>
    <w:rsid w:val="24766180"/>
    <w:rsid w:val="24820C75"/>
    <w:rsid w:val="248F51A7"/>
    <w:rsid w:val="24945DD5"/>
    <w:rsid w:val="24B61A04"/>
    <w:rsid w:val="24B6499F"/>
    <w:rsid w:val="24B77405"/>
    <w:rsid w:val="24C544B4"/>
    <w:rsid w:val="24DF309B"/>
    <w:rsid w:val="24E0080A"/>
    <w:rsid w:val="24E93338"/>
    <w:rsid w:val="24EB6576"/>
    <w:rsid w:val="24F22E24"/>
    <w:rsid w:val="24FA6809"/>
    <w:rsid w:val="2501604F"/>
    <w:rsid w:val="25027DE0"/>
    <w:rsid w:val="254146B4"/>
    <w:rsid w:val="25420E4C"/>
    <w:rsid w:val="254C708E"/>
    <w:rsid w:val="254F63F5"/>
    <w:rsid w:val="25524C80"/>
    <w:rsid w:val="256372A3"/>
    <w:rsid w:val="256C2F3D"/>
    <w:rsid w:val="25720CC5"/>
    <w:rsid w:val="2572163A"/>
    <w:rsid w:val="25782F35"/>
    <w:rsid w:val="258E0F4D"/>
    <w:rsid w:val="258F6471"/>
    <w:rsid w:val="25AB6B20"/>
    <w:rsid w:val="25B3014D"/>
    <w:rsid w:val="25D55EF7"/>
    <w:rsid w:val="25F367A3"/>
    <w:rsid w:val="25F50E9B"/>
    <w:rsid w:val="25F86551"/>
    <w:rsid w:val="261C645E"/>
    <w:rsid w:val="26224464"/>
    <w:rsid w:val="26320D6F"/>
    <w:rsid w:val="26393CC3"/>
    <w:rsid w:val="2643029C"/>
    <w:rsid w:val="26473373"/>
    <w:rsid w:val="264A1F66"/>
    <w:rsid w:val="264D4D34"/>
    <w:rsid w:val="265F0C7D"/>
    <w:rsid w:val="26627717"/>
    <w:rsid w:val="26656FED"/>
    <w:rsid w:val="26666FFC"/>
    <w:rsid w:val="266D49EE"/>
    <w:rsid w:val="26771F9A"/>
    <w:rsid w:val="267E24D1"/>
    <w:rsid w:val="26852187"/>
    <w:rsid w:val="26866B81"/>
    <w:rsid w:val="268B5FBA"/>
    <w:rsid w:val="2695052C"/>
    <w:rsid w:val="26B56075"/>
    <w:rsid w:val="26BD65F5"/>
    <w:rsid w:val="26BF7DDC"/>
    <w:rsid w:val="26C46288"/>
    <w:rsid w:val="26F143A1"/>
    <w:rsid w:val="2717083A"/>
    <w:rsid w:val="273B484C"/>
    <w:rsid w:val="273D06E0"/>
    <w:rsid w:val="27466808"/>
    <w:rsid w:val="274C566A"/>
    <w:rsid w:val="274D2A5C"/>
    <w:rsid w:val="27696730"/>
    <w:rsid w:val="276C5426"/>
    <w:rsid w:val="27946830"/>
    <w:rsid w:val="279A0C3D"/>
    <w:rsid w:val="27A31131"/>
    <w:rsid w:val="27AA65D6"/>
    <w:rsid w:val="27C133D7"/>
    <w:rsid w:val="27C768FF"/>
    <w:rsid w:val="27F24797"/>
    <w:rsid w:val="27F95137"/>
    <w:rsid w:val="280E0383"/>
    <w:rsid w:val="280F6F4D"/>
    <w:rsid w:val="28116825"/>
    <w:rsid w:val="283071AB"/>
    <w:rsid w:val="28312590"/>
    <w:rsid w:val="283D6676"/>
    <w:rsid w:val="28421E2B"/>
    <w:rsid w:val="285170FC"/>
    <w:rsid w:val="287152CC"/>
    <w:rsid w:val="28794A7C"/>
    <w:rsid w:val="28964C0D"/>
    <w:rsid w:val="28972786"/>
    <w:rsid w:val="28AE190A"/>
    <w:rsid w:val="28C052AB"/>
    <w:rsid w:val="28D05C40"/>
    <w:rsid w:val="28E1686D"/>
    <w:rsid w:val="28E53AB1"/>
    <w:rsid w:val="28F51787"/>
    <w:rsid w:val="28FA62B2"/>
    <w:rsid w:val="28FE7062"/>
    <w:rsid w:val="29026F4E"/>
    <w:rsid w:val="290C75A7"/>
    <w:rsid w:val="290D0712"/>
    <w:rsid w:val="29112605"/>
    <w:rsid w:val="294D0F9B"/>
    <w:rsid w:val="2973129F"/>
    <w:rsid w:val="29745A6E"/>
    <w:rsid w:val="297474BD"/>
    <w:rsid w:val="29811D14"/>
    <w:rsid w:val="298F6F80"/>
    <w:rsid w:val="2995662C"/>
    <w:rsid w:val="29A10721"/>
    <w:rsid w:val="29A65255"/>
    <w:rsid w:val="29AF684A"/>
    <w:rsid w:val="29B92000"/>
    <w:rsid w:val="29BE63E8"/>
    <w:rsid w:val="29CA0853"/>
    <w:rsid w:val="29DB4AE4"/>
    <w:rsid w:val="29EA6E06"/>
    <w:rsid w:val="29F06C01"/>
    <w:rsid w:val="29F77DD7"/>
    <w:rsid w:val="2A0C6ACD"/>
    <w:rsid w:val="2A0E7F34"/>
    <w:rsid w:val="2A21735A"/>
    <w:rsid w:val="2A29393D"/>
    <w:rsid w:val="2A2B3F52"/>
    <w:rsid w:val="2A317B64"/>
    <w:rsid w:val="2A3752B6"/>
    <w:rsid w:val="2A603DCC"/>
    <w:rsid w:val="2A657489"/>
    <w:rsid w:val="2A6B6C5F"/>
    <w:rsid w:val="2AA75F92"/>
    <w:rsid w:val="2AB11212"/>
    <w:rsid w:val="2AB35BCD"/>
    <w:rsid w:val="2AB54FC5"/>
    <w:rsid w:val="2AC74B50"/>
    <w:rsid w:val="2AF2072A"/>
    <w:rsid w:val="2AF30AE4"/>
    <w:rsid w:val="2AFF0A73"/>
    <w:rsid w:val="2B071F0D"/>
    <w:rsid w:val="2B1579DF"/>
    <w:rsid w:val="2B281F33"/>
    <w:rsid w:val="2B2B3175"/>
    <w:rsid w:val="2B302ABE"/>
    <w:rsid w:val="2B465412"/>
    <w:rsid w:val="2B47529F"/>
    <w:rsid w:val="2B4C1984"/>
    <w:rsid w:val="2B513A03"/>
    <w:rsid w:val="2B651B5F"/>
    <w:rsid w:val="2B6554C5"/>
    <w:rsid w:val="2B687A90"/>
    <w:rsid w:val="2B696A7A"/>
    <w:rsid w:val="2B6B6561"/>
    <w:rsid w:val="2B6F6C6D"/>
    <w:rsid w:val="2B7040FC"/>
    <w:rsid w:val="2B833CB7"/>
    <w:rsid w:val="2B966B52"/>
    <w:rsid w:val="2BAC52C7"/>
    <w:rsid w:val="2BB775F5"/>
    <w:rsid w:val="2BBD51ED"/>
    <w:rsid w:val="2BC77AA1"/>
    <w:rsid w:val="2BD25688"/>
    <w:rsid w:val="2BD71627"/>
    <w:rsid w:val="2BDD0832"/>
    <w:rsid w:val="2BF0301C"/>
    <w:rsid w:val="2BFC31CA"/>
    <w:rsid w:val="2BFF744B"/>
    <w:rsid w:val="2C00026D"/>
    <w:rsid w:val="2C1E66A7"/>
    <w:rsid w:val="2C230DF2"/>
    <w:rsid w:val="2C30204B"/>
    <w:rsid w:val="2C5232BB"/>
    <w:rsid w:val="2C5E07B9"/>
    <w:rsid w:val="2C68141F"/>
    <w:rsid w:val="2C7F25F9"/>
    <w:rsid w:val="2C806A47"/>
    <w:rsid w:val="2C983E52"/>
    <w:rsid w:val="2C9C51B1"/>
    <w:rsid w:val="2CA3228D"/>
    <w:rsid w:val="2CA33D27"/>
    <w:rsid w:val="2CD0700C"/>
    <w:rsid w:val="2CD517DC"/>
    <w:rsid w:val="2CDF74D9"/>
    <w:rsid w:val="2CE82BC1"/>
    <w:rsid w:val="2CF51473"/>
    <w:rsid w:val="2CF80656"/>
    <w:rsid w:val="2CFD6453"/>
    <w:rsid w:val="2D0329F5"/>
    <w:rsid w:val="2D11780E"/>
    <w:rsid w:val="2D352B18"/>
    <w:rsid w:val="2D371E99"/>
    <w:rsid w:val="2D3D6DAB"/>
    <w:rsid w:val="2D3F0735"/>
    <w:rsid w:val="2D507A6C"/>
    <w:rsid w:val="2D51143D"/>
    <w:rsid w:val="2D535000"/>
    <w:rsid w:val="2D5C7A67"/>
    <w:rsid w:val="2D697FA4"/>
    <w:rsid w:val="2D6A37C1"/>
    <w:rsid w:val="2D6F3AAA"/>
    <w:rsid w:val="2D910D17"/>
    <w:rsid w:val="2D975754"/>
    <w:rsid w:val="2DB92BB0"/>
    <w:rsid w:val="2DC37C5B"/>
    <w:rsid w:val="2DC512F9"/>
    <w:rsid w:val="2DCC48E2"/>
    <w:rsid w:val="2DD6018B"/>
    <w:rsid w:val="2DD755F0"/>
    <w:rsid w:val="2DDD4CA1"/>
    <w:rsid w:val="2DDD68AD"/>
    <w:rsid w:val="2DDF3BA7"/>
    <w:rsid w:val="2DE32006"/>
    <w:rsid w:val="2DEE3245"/>
    <w:rsid w:val="2E073130"/>
    <w:rsid w:val="2E0F4078"/>
    <w:rsid w:val="2E140D6B"/>
    <w:rsid w:val="2E160F8E"/>
    <w:rsid w:val="2E1674C5"/>
    <w:rsid w:val="2E174D00"/>
    <w:rsid w:val="2E1A1369"/>
    <w:rsid w:val="2E1F3978"/>
    <w:rsid w:val="2E21195D"/>
    <w:rsid w:val="2E223D58"/>
    <w:rsid w:val="2E28065F"/>
    <w:rsid w:val="2E3E51F9"/>
    <w:rsid w:val="2E4A558D"/>
    <w:rsid w:val="2E55611F"/>
    <w:rsid w:val="2E582F04"/>
    <w:rsid w:val="2E5E1A86"/>
    <w:rsid w:val="2E6F1B7F"/>
    <w:rsid w:val="2E792011"/>
    <w:rsid w:val="2E835AE2"/>
    <w:rsid w:val="2E84181F"/>
    <w:rsid w:val="2E846E1D"/>
    <w:rsid w:val="2E8A23EA"/>
    <w:rsid w:val="2E8E181F"/>
    <w:rsid w:val="2E9F24CE"/>
    <w:rsid w:val="2EB369F8"/>
    <w:rsid w:val="2EB73AEF"/>
    <w:rsid w:val="2EBE3146"/>
    <w:rsid w:val="2EC30CB1"/>
    <w:rsid w:val="2EC867E5"/>
    <w:rsid w:val="2ECA6FA6"/>
    <w:rsid w:val="2ED135D6"/>
    <w:rsid w:val="2ED86408"/>
    <w:rsid w:val="2EEF6859"/>
    <w:rsid w:val="2F016B30"/>
    <w:rsid w:val="2F050C45"/>
    <w:rsid w:val="2F074CF6"/>
    <w:rsid w:val="2F105EE9"/>
    <w:rsid w:val="2F117496"/>
    <w:rsid w:val="2F240123"/>
    <w:rsid w:val="2F384084"/>
    <w:rsid w:val="2F3D2D42"/>
    <w:rsid w:val="2F581657"/>
    <w:rsid w:val="2F584066"/>
    <w:rsid w:val="2F725B5E"/>
    <w:rsid w:val="2F7974FD"/>
    <w:rsid w:val="2F7A4FB7"/>
    <w:rsid w:val="2F903540"/>
    <w:rsid w:val="2F974DF1"/>
    <w:rsid w:val="2FA12781"/>
    <w:rsid w:val="2FA771F3"/>
    <w:rsid w:val="2FAB0DA7"/>
    <w:rsid w:val="2FAC3D27"/>
    <w:rsid w:val="2FAD6D73"/>
    <w:rsid w:val="2FB66A00"/>
    <w:rsid w:val="2FBC2923"/>
    <w:rsid w:val="2FC73885"/>
    <w:rsid w:val="2FC73AED"/>
    <w:rsid w:val="2FD138E9"/>
    <w:rsid w:val="2FD173ED"/>
    <w:rsid w:val="2FE203AC"/>
    <w:rsid w:val="2FE34D2F"/>
    <w:rsid w:val="2FEF14BB"/>
    <w:rsid w:val="2FF210C3"/>
    <w:rsid w:val="2FF52F7C"/>
    <w:rsid w:val="2FF618B4"/>
    <w:rsid w:val="2FFA7882"/>
    <w:rsid w:val="300F763C"/>
    <w:rsid w:val="30205966"/>
    <w:rsid w:val="30262144"/>
    <w:rsid w:val="302821FA"/>
    <w:rsid w:val="30282355"/>
    <w:rsid w:val="302E5F24"/>
    <w:rsid w:val="303056D2"/>
    <w:rsid w:val="303F1777"/>
    <w:rsid w:val="303F6E45"/>
    <w:rsid w:val="30480893"/>
    <w:rsid w:val="304C53E1"/>
    <w:rsid w:val="305F4C87"/>
    <w:rsid w:val="30645CDE"/>
    <w:rsid w:val="30682F33"/>
    <w:rsid w:val="306D63FF"/>
    <w:rsid w:val="306F6636"/>
    <w:rsid w:val="30711052"/>
    <w:rsid w:val="30883BBE"/>
    <w:rsid w:val="308B62DB"/>
    <w:rsid w:val="308C5A82"/>
    <w:rsid w:val="3099794A"/>
    <w:rsid w:val="30AD1229"/>
    <w:rsid w:val="30BF3A28"/>
    <w:rsid w:val="30DA757A"/>
    <w:rsid w:val="30E75E29"/>
    <w:rsid w:val="30F850AA"/>
    <w:rsid w:val="30FB3FC5"/>
    <w:rsid w:val="31072F9D"/>
    <w:rsid w:val="310A56A8"/>
    <w:rsid w:val="310E40F1"/>
    <w:rsid w:val="311139B9"/>
    <w:rsid w:val="31213F8E"/>
    <w:rsid w:val="3126236C"/>
    <w:rsid w:val="312A3879"/>
    <w:rsid w:val="31327FA7"/>
    <w:rsid w:val="3139153F"/>
    <w:rsid w:val="314150FA"/>
    <w:rsid w:val="314C1E3E"/>
    <w:rsid w:val="314D3E9A"/>
    <w:rsid w:val="31632CDD"/>
    <w:rsid w:val="316B5E4D"/>
    <w:rsid w:val="317C3EE6"/>
    <w:rsid w:val="31856144"/>
    <w:rsid w:val="31874A42"/>
    <w:rsid w:val="318F2BA2"/>
    <w:rsid w:val="31992AE7"/>
    <w:rsid w:val="319C46F6"/>
    <w:rsid w:val="31AA0731"/>
    <w:rsid w:val="31AF6D34"/>
    <w:rsid w:val="31BD77A8"/>
    <w:rsid w:val="31DB6587"/>
    <w:rsid w:val="31F215FD"/>
    <w:rsid w:val="31F22ABE"/>
    <w:rsid w:val="31F4204F"/>
    <w:rsid w:val="31F475D3"/>
    <w:rsid w:val="320D63CA"/>
    <w:rsid w:val="320E272C"/>
    <w:rsid w:val="32154CA9"/>
    <w:rsid w:val="32235CB3"/>
    <w:rsid w:val="324B408C"/>
    <w:rsid w:val="32734B57"/>
    <w:rsid w:val="32813130"/>
    <w:rsid w:val="32830386"/>
    <w:rsid w:val="328A6B78"/>
    <w:rsid w:val="32925D17"/>
    <w:rsid w:val="32944F7F"/>
    <w:rsid w:val="329D259D"/>
    <w:rsid w:val="329E095F"/>
    <w:rsid w:val="32A0629F"/>
    <w:rsid w:val="32A76F65"/>
    <w:rsid w:val="32B32DDF"/>
    <w:rsid w:val="32C3270E"/>
    <w:rsid w:val="32CA71C9"/>
    <w:rsid w:val="32CF161A"/>
    <w:rsid w:val="32D66328"/>
    <w:rsid w:val="32D75335"/>
    <w:rsid w:val="32DB4A7A"/>
    <w:rsid w:val="32E9499A"/>
    <w:rsid w:val="32EA7C41"/>
    <w:rsid w:val="32ED5D2E"/>
    <w:rsid w:val="32F60677"/>
    <w:rsid w:val="32F648D4"/>
    <w:rsid w:val="33065158"/>
    <w:rsid w:val="33075C79"/>
    <w:rsid w:val="33086B68"/>
    <w:rsid w:val="330A5B95"/>
    <w:rsid w:val="330C7DD1"/>
    <w:rsid w:val="33181419"/>
    <w:rsid w:val="33183D16"/>
    <w:rsid w:val="33306A20"/>
    <w:rsid w:val="333730D2"/>
    <w:rsid w:val="33495202"/>
    <w:rsid w:val="334B0AAF"/>
    <w:rsid w:val="336B39E1"/>
    <w:rsid w:val="336E3940"/>
    <w:rsid w:val="33730297"/>
    <w:rsid w:val="337A19B1"/>
    <w:rsid w:val="33A00465"/>
    <w:rsid w:val="33B56951"/>
    <w:rsid w:val="33BC2A7D"/>
    <w:rsid w:val="33C109AC"/>
    <w:rsid w:val="33C21000"/>
    <w:rsid w:val="33C574DC"/>
    <w:rsid w:val="33C96871"/>
    <w:rsid w:val="33D1672F"/>
    <w:rsid w:val="33D4728E"/>
    <w:rsid w:val="33E261E1"/>
    <w:rsid w:val="33E322A7"/>
    <w:rsid w:val="33F36317"/>
    <w:rsid w:val="33FF56A8"/>
    <w:rsid w:val="340F52C8"/>
    <w:rsid w:val="34183303"/>
    <w:rsid w:val="34205063"/>
    <w:rsid w:val="34246708"/>
    <w:rsid w:val="342509FD"/>
    <w:rsid w:val="34271619"/>
    <w:rsid w:val="34272FB3"/>
    <w:rsid w:val="34297CF3"/>
    <w:rsid w:val="34345AE9"/>
    <w:rsid w:val="343903D2"/>
    <w:rsid w:val="343E5D63"/>
    <w:rsid w:val="3448750F"/>
    <w:rsid w:val="344B3046"/>
    <w:rsid w:val="344E62D0"/>
    <w:rsid w:val="34530994"/>
    <w:rsid w:val="346A3F3F"/>
    <w:rsid w:val="346C4A63"/>
    <w:rsid w:val="346E29AF"/>
    <w:rsid w:val="347105EF"/>
    <w:rsid w:val="3477412E"/>
    <w:rsid w:val="347C41E7"/>
    <w:rsid w:val="347F1656"/>
    <w:rsid w:val="34904162"/>
    <w:rsid w:val="34920BCF"/>
    <w:rsid w:val="34946434"/>
    <w:rsid w:val="349513F0"/>
    <w:rsid w:val="34AB3445"/>
    <w:rsid w:val="34B11A03"/>
    <w:rsid w:val="34B91E63"/>
    <w:rsid w:val="34C93EF8"/>
    <w:rsid w:val="34D0676A"/>
    <w:rsid w:val="34DE0C91"/>
    <w:rsid w:val="34E26417"/>
    <w:rsid w:val="34ED6DD8"/>
    <w:rsid w:val="34F82044"/>
    <w:rsid w:val="34FD0D67"/>
    <w:rsid w:val="35001231"/>
    <w:rsid w:val="351F6196"/>
    <w:rsid w:val="352832E1"/>
    <w:rsid w:val="35315123"/>
    <w:rsid w:val="35331A6A"/>
    <w:rsid w:val="3538607E"/>
    <w:rsid w:val="35447BE4"/>
    <w:rsid w:val="355938C8"/>
    <w:rsid w:val="35640346"/>
    <w:rsid w:val="356C6777"/>
    <w:rsid w:val="3581136E"/>
    <w:rsid w:val="35A00340"/>
    <w:rsid w:val="35A22008"/>
    <w:rsid w:val="35A3586E"/>
    <w:rsid w:val="35A615F0"/>
    <w:rsid w:val="35AD1409"/>
    <w:rsid w:val="35AF25A5"/>
    <w:rsid w:val="35B547ED"/>
    <w:rsid w:val="35B65800"/>
    <w:rsid w:val="35BE7691"/>
    <w:rsid w:val="35D10456"/>
    <w:rsid w:val="35D21436"/>
    <w:rsid w:val="35D50AB5"/>
    <w:rsid w:val="35DA54ED"/>
    <w:rsid w:val="35FE7B6D"/>
    <w:rsid w:val="36136A95"/>
    <w:rsid w:val="362D6B8C"/>
    <w:rsid w:val="362F50AE"/>
    <w:rsid w:val="3656204F"/>
    <w:rsid w:val="36596844"/>
    <w:rsid w:val="365C14E0"/>
    <w:rsid w:val="3664292D"/>
    <w:rsid w:val="36656B65"/>
    <w:rsid w:val="366829FA"/>
    <w:rsid w:val="366851ED"/>
    <w:rsid w:val="368A5BB2"/>
    <w:rsid w:val="368C24C2"/>
    <w:rsid w:val="368D4955"/>
    <w:rsid w:val="368E6AC7"/>
    <w:rsid w:val="36916543"/>
    <w:rsid w:val="3696109C"/>
    <w:rsid w:val="36B03175"/>
    <w:rsid w:val="36B53F58"/>
    <w:rsid w:val="36B91195"/>
    <w:rsid w:val="36D02BB1"/>
    <w:rsid w:val="36D572B3"/>
    <w:rsid w:val="36E40702"/>
    <w:rsid w:val="36E90940"/>
    <w:rsid w:val="36EF0B4C"/>
    <w:rsid w:val="36FC7FBC"/>
    <w:rsid w:val="36FD5D53"/>
    <w:rsid w:val="371A6544"/>
    <w:rsid w:val="3724217E"/>
    <w:rsid w:val="372B5B5E"/>
    <w:rsid w:val="373A39C6"/>
    <w:rsid w:val="375118C0"/>
    <w:rsid w:val="37633012"/>
    <w:rsid w:val="376756A7"/>
    <w:rsid w:val="3782040F"/>
    <w:rsid w:val="3789074C"/>
    <w:rsid w:val="37950F2E"/>
    <w:rsid w:val="37975C2D"/>
    <w:rsid w:val="37A76B32"/>
    <w:rsid w:val="37B2370C"/>
    <w:rsid w:val="37C617C4"/>
    <w:rsid w:val="37CD7B1B"/>
    <w:rsid w:val="37CE32B9"/>
    <w:rsid w:val="37CF6279"/>
    <w:rsid w:val="37D35CA1"/>
    <w:rsid w:val="37D36C1A"/>
    <w:rsid w:val="37D36E9E"/>
    <w:rsid w:val="37D5061B"/>
    <w:rsid w:val="37DB1676"/>
    <w:rsid w:val="37EB2C4E"/>
    <w:rsid w:val="37EC0AB3"/>
    <w:rsid w:val="37F538E5"/>
    <w:rsid w:val="3816159B"/>
    <w:rsid w:val="38232F17"/>
    <w:rsid w:val="382C0730"/>
    <w:rsid w:val="38315D8A"/>
    <w:rsid w:val="383624A0"/>
    <w:rsid w:val="384B792F"/>
    <w:rsid w:val="385E5D68"/>
    <w:rsid w:val="38743963"/>
    <w:rsid w:val="387462BD"/>
    <w:rsid w:val="38811FFF"/>
    <w:rsid w:val="3886192B"/>
    <w:rsid w:val="388F1F9D"/>
    <w:rsid w:val="3891143D"/>
    <w:rsid w:val="38933DD6"/>
    <w:rsid w:val="389E1E49"/>
    <w:rsid w:val="38B2381D"/>
    <w:rsid w:val="38B44366"/>
    <w:rsid w:val="38B5734A"/>
    <w:rsid w:val="38C026C5"/>
    <w:rsid w:val="38E142EC"/>
    <w:rsid w:val="39065547"/>
    <w:rsid w:val="39096F66"/>
    <w:rsid w:val="3923105B"/>
    <w:rsid w:val="3927708D"/>
    <w:rsid w:val="39667949"/>
    <w:rsid w:val="39802943"/>
    <w:rsid w:val="39813F04"/>
    <w:rsid w:val="39963702"/>
    <w:rsid w:val="39A75604"/>
    <w:rsid w:val="39AC495F"/>
    <w:rsid w:val="39B04E3D"/>
    <w:rsid w:val="39BF1481"/>
    <w:rsid w:val="39C1458B"/>
    <w:rsid w:val="39CB4CB5"/>
    <w:rsid w:val="39D36EAE"/>
    <w:rsid w:val="39EB6AE6"/>
    <w:rsid w:val="3A1A2DDA"/>
    <w:rsid w:val="3A284016"/>
    <w:rsid w:val="3A341D16"/>
    <w:rsid w:val="3A450407"/>
    <w:rsid w:val="3A50780E"/>
    <w:rsid w:val="3A523B4A"/>
    <w:rsid w:val="3A5B716C"/>
    <w:rsid w:val="3A5D7E4E"/>
    <w:rsid w:val="3A6546A2"/>
    <w:rsid w:val="3A694A11"/>
    <w:rsid w:val="3A7174C8"/>
    <w:rsid w:val="3A7654E3"/>
    <w:rsid w:val="3A795C85"/>
    <w:rsid w:val="3A827D04"/>
    <w:rsid w:val="3A900849"/>
    <w:rsid w:val="3AA90AE5"/>
    <w:rsid w:val="3AAB09D7"/>
    <w:rsid w:val="3AB02155"/>
    <w:rsid w:val="3ACC36E9"/>
    <w:rsid w:val="3AD85A54"/>
    <w:rsid w:val="3ADC4373"/>
    <w:rsid w:val="3AE46C0C"/>
    <w:rsid w:val="3AF81F5B"/>
    <w:rsid w:val="3B053E07"/>
    <w:rsid w:val="3B183238"/>
    <w:rsid w:val="3B18562A"/>
    <w:rsid w:val="3B2B6596"/>
    <w:rsid w:val="3B2B7032"/>
    <w:rsid w:val="3B2D090E"/>
    <w:rsid w:val="3B346A7F"/>
    <w:rsid w:val="3B48065B"/>
    <w:rsid w:val="3B613E3B"/>
    <w:rsid w:val="3B631007"/>
    <w:rsid w:val="3B6A1660"/>
    <w:rsid w:val="3B6C1E5B"/>
    <w:rsid w:val="3B7667C2"/>
    <w:rsid w:val="3B77284A"/>
    <w:rsid w:val="3B794A53"/>
    <w:rsid w:val="3B80498A"/>
    <w:rsid w:val="3B863BD9"/>
    <w:rsid w:val="3B8D5EFA"/>
    <w:rsid w:val="3BC145CD"/>
    <w:rsid w:val="3BC1622F"/>
    <w:rsid w:val="3BC65716"/>
    <w:rsid w:val="3BCB37F9"/>
    <w:rsid w:val="3BE17832"/>
    <w:rsid w:val="3BE35C84"/>
    <w:rsid w:val="3BED10A8"/>
    <w:rsid w:val="3C11444F"/>
    <w:rsid w:val="3C222F69"/>
    <w:rsid w:val="3C275917"/>
    <w:rsid w:val="3C2E5D7F"/>
    <w:rsid w:val="3C4135D4"/>
    <w:rsid w:val="3C615D0B"/>
    <w:rsid w:val="3C6A0008"/>
    <w:rsid w:val="3C7A7ED6"/>
    <w:rsid w:val="3C852DB2"/>
    <w:rsid w:val="3C8C64E1"/>
    <w:rsid w:val="3CA347C3"/>
    <w:rsid w:val="3CA372C0"/>
    <w:rsid w:val="3CA668CF"/>
    <w:rsid w:val="3CC41C11"/>
    <w:rsid w:val="3CCB16E4"/>
    <w:rsid w:val="3CD456CE"/>
    <w:rsid w:val="3CEE7AC4"/>
    <w:rsid w:val="3CF1343F"/>
    <w:rsid w:val="3CF13E77"/>
    <w:rsid w:val="3CF551B2"/>
    <w:rsid w:val="3D0042E5"/>
    <w:rsid w:val="3D0063ED"/>
    <w:rsid w:val="3D061A2B"/>
    <w:rsid w:val="3D170C06"/>
    <w:rsid w:val="3D207B3A"/>
    <w:rsid w:val="3D285050"/>
    <w:rsid w:val="3D3227D8"/>
    <w:rsid w:val="3D3D4797"/>
    <w:rsid w:val="3D4207C2"/>
    <w:rsid w:val="3D4C1F69"/>
    <w:rsid w:val="3D54544A"/>
    <w:rsid w:val="3D5E7DE5"/>
    <w:rsid w:val="3D60682B"/>
    <w:rsid w:val="3D650EDE"/>
    <w:rsid w:val="3D721E3A"/>
    <w:rsid w:val="3D82331A"/>
    <w:rsid w:val="3D8251EA"/>
    <w:rsid w:val="3D84652E"/>
    <w:rsid w:val="3D8872EE"/>
    <w:rsid w:val="3DAB1DC2"/>
    <w:rsid w:val="3DB01232"/>
    <w:rsid w:val="3DB23849"/>
    <w:rsid w:val="3DB3753F"/>
    <w:rsid w:val="3DB649F1"/>
    <w:rsid w:val="3DB96F19"/>
    <w:rsid w:val="3DBB1F21"/>
    <w:rsid w:val="3DBD3F86"/>
    <w:rsid w:val="3DC52B19"/>
    <w:rsid w:val="3DCC4BE2"/>
    <w:rsid w:val="3DD449EF"/>
    <w:rsid w:val="3DD53BC9"/>
    <w:rsid w:val="3DE322EF"/>
    <w:rsid w:val="3DE520C0"/>
    <w:rsid w:val="3DFA2C28"/>
    <w:rsid w:val="3DFA5EB0"/>
    <w:rsid w:val="3E0555B2"/>
    <w:rsid w:val="3E0C06B1"/>
    <w:rsid w:val="3E0C7388"/>
    <w:rsid w:val="3E1053EC"/>
    <w:rsid w:val="3E171050"/>
    <w:rsid w:val="3E186CD0"/>
    <w:rsid w:val="3E1A7696"/>
    <w:rsid w:val="3E1E46B9"/>
    <w:rsid w:val="3E2A53BC"/>
    <w:rsid w:val="3E380AFF"/>
    <w:rsid w:val="3E470C5B"/>
    <w:rsid w:val="3E5A2CC8"/>
    <w:rsid w:val="3E6517BE"/>
    <w:rsid w:val="3E707690"/>
    <w:rsid w:val="3E7476C4"/>
    <w:rsid w:val="3E7B43DF"/>
    <w:rsid w:val="3E8268F2"/>
    <w:rsid w:val="3E856995"/>
    <w:rsid w:val="3E863E4C"/>
    <w:rsid w:val="3E9873E0"/>
    <w:rsid w:val="3E9E0104"/>
    <w:rsid w:val="3EBB37CB"/>
    <w:rsid w:val="3ED24598"/>
    <w:rsid w:val="3EDD47E4"/>
    <w:rsid w:val="3EE52F62"/>
    <w:rsid w:val="3EEB1FE9"/>
    <w:rsid w:val="3EF81C06"/>
    <w:rsid w:val="3EFC4CED"/>
    <w:rsid w:val="3F150D98"/>
    <w:rsid w:val="3F252F23"/>
    <w:rsid w:val="3F4F7230"/>
    <w:rsid w:val="3F5F77E7"/>
    <w:rsid w:val="3F673267"/>
    <w:rsid w:val="3F70175E"/>
    <w:rsid w:val="3F735456"/>
    <w:rsid w:val="3F80703F"/>
    <w:rsid w:val="3F816E89"/>
    <w:rsid w:val="3F866650"/>
    <w:rsid w:val="3F922451"/>
    <w:rsid w:val="3FAD394B"/>
    <w:rsid w:val="3FAF61AD"/>
    <w:rsid w:val="3FB3493A"/>
    <w:rsid w:val="3FB758AD"/>
    <w:rsid w:val="3FC839BB"/>
    <w:rsid w:val="3FC83C03"/>
    <w:rsid w:val="3FCA0B01"/>
    <w:rsid w:val="3FE23703"/>
    <w:rsid w:val="3FF12A7A"/>
    <w:rsid w:val="3FF52C18"/>
    <w:rsid w:val="40017825"/>
    <w:rsid w:val="400D5741"/>
    <w:rsid w:val="40102BC0"/>
    <w:rsid w:val="40197193"/>
    <w:rsid w:val="403C50C1"/>
    <w:rsid w:val="403E2B0E"/>
    <w:rsid w:val="403E37B4"/>
    <w:rsid w:val="40406765"/>
    <w:rsid w:val="4043028A"/>
    <w:rsid w:val="404F664D"/>
    <w:rsid w:val="406B4903"/>
    <w:rsid w:val="4074426A"/>
    <w:rsid w:val="407734CF"/>
    <w:rsid w:val="40800C81"/>
    <w:rsid w:val="408157CB"/>
    <w:rsid w:val="40940340"/>
    <w:rsid w:val="40987AD1"/>
    <w:rsid w:val="40A561BD"/>
    <w:rsid w:val="40AD5C93"/>
    <w:rsid w:val="40B54781"/>
    <w:rsid w:val="40D036A4"/>
    <w:rsid w:val="40D413B9"/>
    <w:rsid w:val="40DA3F79"/>
    <w:rsid w:val="40E55ACF"/>
    <w:rsid w:val="40E808F9"/>
    <w:rsid w:val="40EB451F"/>
    <w:rsid w:val="40FC0C39"/>
    <w:rsid w:val="40FE42F3"/>
    <w:rsid w:val="41067F5E"/>
    <w:rsid w:val="4113218E"/>
    <w:rsid w:val="411E18B6"/>
    <w:rsid w:val="414370A1"/>
    <w:rsid w:val="41712BAA"/>
    <w:rsid w:val="418118DB"/>
    <w:rsid w:val="41912D47"/>
    <w:rsid w:val="41927623"/>
    <w:rsid w:val="419A015D"/>
    <w:rsid w:val="41A44F71"/>
    <w:rsid w:val="41B2776D"/>
    <w:rsid w:val="41CC4CC5"/>
    <w:rsid w:val="41D4687C"/>
    <w:rsid w:val="41DE5F21"/>
    <w:rsid w:val="420A07BA"/>
    <w:rsid w:val="421A49BD"/>
    <w:rsid w:val="421C0A0C"/>
    <w:rsid w:val="42243946"/>
    <w:rsid w:val="422A4286"/>
    <w:rsid w:val="422A7904"/>
    <w:rsid w:val="422B189C"/>
    <w:rsid w:val="422E165E"/>
    <w:rsid w:val="423273F6"/>
    <w:rsid w:val="423C1729"/>
    <w:rsid w:val="425D0835"/>
    <w:rsid w:val="425D22D6"/>
    <w:rsid w:val="42643E80"/>
    <w:rsid w:val="426467B8"/>
    <w:rsid w:val="42771A0B"/>
    <w:rsid w:val="4288747C"/>
    <w:rsid w:val="428B5468"/>
    <w:rsid w:val="429E5472"/>
    <w:rsid w:val="42A862F2"/>
    <w:rsid w:val="42AC44AE"/>
    <w:rsid w:val="42B80E1C"/>
    <w:rsid w:val="42BA482E"/>
    <w:rsid w:val="42C511AF"/>
    <w:rsid w:val="43021CE5"/>
    <w:rsid w:val="43092708"/>
    <w:rsid w:val="430F03D6"/>
    <w:rsid w:val="43174AE0"/>
    <w:rsid w:val="431E05D2"/>
    <w:rsid w:val="43303F6F"/>
    <w:rsid w:val="43323188"/>
    <w:rsid w:val="43337DFA"/>
    <w:rsid w:val="43430381"/>
    <w:rsid w:val="436336FB"/>
    <w:rsid w:val="43676C2B"/>
    <w:rsid w:val="436E0A27"/>
    <w:rsid w:val="436F0C26"/>
    <w:rsid w:val="437B07C2"/>
    <w:rsid w:val="437D3640"/>
    <w:rsid w:val="43933576"/>
    <w:rsid w:val="439578E7"/>
    <w:rsid w:val="439C59BF"/>
    <w:rsid w:val="439F6592"/>
    <w:rsid w:val="43A64073"/>
    <w:rsid w:val="43AA5A73"/>
    <w:rsid w:val="43B96DA5"/>
    <w:rsid w:val="43C36B06"/>
    <w:rsid w:val="43E15E61"/>
    <w:rsid w:val="43ED06EB"/>
    <w:rsid w:val="43F80454"/>
    <w:rsid w:val="44094BF0"/>
    <w:rsid w:val="440A6F6D"/>
    <w:rsid w:val="4429019B"/>
    <w:rsid w:val="443F4DB7"/>
    <w:rsid w:val="444E12C9"/>
    <w:rsid w:val="445004A4"/>
    <w:rsid w:val="445610E3"/>
    <w:rsid w:val="44585B1C"/>
    <w:rsid w:val="446C600A"/>
    <w:rsid w:val="446F6F50"/>
    <w:rsid w:val="44725566"/>
    <w:rsid w:val="4476691A"/>
    <w:rsid w:val="448C78C9"/>
    <w:rsid w:val="449A219E"/>
    <w:rsid w:val="44A43725"/>
    <w:rsid w:val="44B85D61"/>
    <w:rsid w:val="44D73872"/>
    <w:rsid w:val="44DF297A"/>
    <w:rsid w:val="44E61B05"/>
    <w:rsid w:val="44F725F1"/>
    <w:rsid w:val="451015B6"/>
    <w:rsid w:val="45131EB2"/>
    <w:rsid w:val="451445B2"/>
    <w:rsid w:val="45212B0C"/>
    <w:rsid w:val="45252CF0"/>
    <w:rsid w:val="45267AFE"/>
    <w:rsid w:val="4528167C"/>
    <w:rsid w:val="452A6BA8"/>
    <w:rsid w:val="453B4C30"/>
    <w:rsid w:val="45607658"/>
    <w:rsid w:val="45637B8D"/>
    <w:rsid w:val="457F62B0"/>
    <w:rsid w:val="458915CF"/>
    <w:rsid w:val="45902A17"/>
    <w:rsid w:val="45B95429"/>
    <w:rsid w:val="45BA588F"/>
    <w:rsid w:val="45C73595"/>
    <w:rsid w:val="45E35739"/>
    <w:rsid w:val="45FD5BA1"/>
    <w:rsid w:val="460C1C4E"/>
    <w:rsid w:val="4620298B"/>
    <w:rsid w:val="46222BF9"/>
    <w:rsid w:val="46363688"/>
    <w:rsid w:val="46382897"/>
    <w:rsid w:val="464C5CE4"/>
    <w:rsid w:val="46521815"/>
    <w:rsid w:val="465D4601"/>
    <w:rsid w:val="466A5E32"/>
    <w:rsid w:val="4674267D"/>
    <w:rsid w:val="46803896"/>
    <w:rsid w:val="468C23E7"/>
    <w:rsid w:val="469B3887"/>
    <w:rsid w:val="469B42ED"/>
    <w:rsid w:val="46A416A0"/>
    <w:rsid w:val="46AE27DB"/>
    <w:rsid w:val="46B23B94"/>
    <w:rsid w:val="46B331E7"/>
    <w:rsid w:val="46BE272A"/>
    <w:rsid w:val="46C0168E"/>
    <w:rsid w:val="46C42FDF"/>
    <w:rsid w:val="46DB4143"/>
    <w:rsid w:val="46DD12FA"/>
    <w:rsid w:val="46E103B5"/>
    <w:rsid w:val="46F4541D"/>
    <w:rsid w:val="46F80BB0"/>
    <w:rsid w:val="46FF37CA"/>
    <w:rsid w:val="46FF458F"/>
    <w:rsid w:val="47041460"/>
    <w:rsid w:val="47050CE5"/>
    <w:rsid w:val="47090026"/>
    <w:rsid w:val="470A13B8"/>
    <w:rsid w:val="47111BBC"/>
    <w:rsid w:val="47163B6C"/>
    <w:rsid w:val="471E314F"/>
    <w:rsid w:val="472479E4"/>
    <w:rsid w:val="472C6320"/>
    <w:rsid w:val="4750507A"/>
    <w:rsid w:val="475E0E7F"/>
    <w:rsid w:val="47605B87"/>
    <w:rsid w:val="476D72B3"/>
    <w:rsid w:val="477C643E"/>
    <w:rsid w:val="477F1AA0"/>
    <w:rsid w:val="47800942"/>
    <w:rsid w:val="4781471F"/>
    <w:rsid w:val="47AE1DCE"/>
    <w:rsid w:val="47BB629B"/>
    <w:rsid w:val="47BE403B"/>
    <w:rsid w:val="47C23B29"/>
    <w:rsid w:val="47CB0C96"/>
    <w:rsid w:val="47CD0D7A"/>
    <w:rsid w:val="47D20C4C"/>
    <w:rsid w:val="47F8541C"/>
    <w:rsid w:val="47FC3DB1"/>
    <w:rsid w:val="480E292A"/>
    <w:rsid w:val="480F0A8A"/>
    <w:rsid w:val="481438A8"/>
    <w:rsid w:val="48151892"/>
    <w:rsid w:val="481D6D8C"/>
    <w:rsid w:val="482C2802"/>
    <w:rsid w:val="482D2915"/>
    <w:rsid w:val="48374923"/>
    <w:rsid w:val="4837735A"/>
    <w:rsid w:val="4838608D"/>
    <w:rsid w:val="48564191"/>
    <w:rsid w:val="485752C6"/>
    <w:rsid w:val="486106A7"/>
    <w:rsid w:val="48650F68"/>
    <w:rsid w:val="48683C7A"/>
    <w:rsid w:val="486902B0"/>
    <w:rsid w:val="48894257"/>
    <w:rsid w:val="488F2673"/>
    <w:rsid w:val="4892710C"/>
    <w:rsid w:val="48935832"/>
    <w:rsid w:val="489C5AFD"/>
    <w:rsid w:val="48A557B3"/>
    <w:rsid w:val="48AA6373"/>
    <w:rsid w:val="48B96BC7"/>
    <w:rsid w:val="48BE3561"/>
    <w:rsid w:val="48C7009E"/>
    <w:rsid w:val="48C73EF9"/>
    <w:rsid w:val="48CE01A1"/>
    <w:rsid w:val="48F542AD"/>
    <w:rsid w:val="48FF7DDD"/>
    <w:rsid w:val="49157E8E"/>
    <w:rsid w:val="49257ADD"/>
    <w:rsid w:val="49293A10"/>
    <w:rsid w:val="493877B5"/>
    <w:rsid w:val="493B79B5"/>
    <w:rsid w:val="49455C04"/>
    <w:rsid w:val="49796EC9"/>
    <w:rsid w:val="49835E78"/>
    <w:rsid w:val="49932703"/>
    <w:rsid w:val="49973188"/>
    <w:rsid w:val="499B121C"/>
    <w:rsid w:val="49A161C6"/>
    <w:rsid w:val="49A17F86"/>
    <w:rsid w:val="49A67606"/>
    <w:rsid w:val="49AB36AE"/>
    <w:rsid w:val="49AC0065"/>
    <w:rsid w:val="49BF6374"/>
    <w:rsid w:val="49ED0C21"/>
    <w:rsid w:val="49F706F0"/>
    <w:rsid w:val="49FC08EB"/>
    <w:rsid w:val="49FD09D0"/>
    <w:rsid w:val="4A0328EB"/>
    <w:rsid w:val="4A104A44"/>
    <w:rsid w:val="4A107134"/>
    <w:rsid w:val="4A397595"/>
    <w:rsid w:val="4A423130"/>
    <w:rsid w:val="4A5A08DD"/>
    <w:rsid w:val="4A5B7B3F"/>
    <w:rsid w:val="4A6A67D3"/>
    <w:rsid w:val="4A7208DD"/>
    <w:rsid w:val="4A796EE5"/>
    <w:rsid w:val="4A9069CD"/>
    <w:rsid w:val="4A9B1685"/>
    <w:rsid w:val="4AA71640"/>
    <w:rsid w:val="4AAD745F"/>
    <w:rsid w:val="4ACA79A6"/>
    <w:rsid w:val="4AD64CBC"/>
    <w:rsid w:val="4AD735B2"/>
    <w:rsid w:val="4ADD0AFD"/>
    <w:rsid w:val="4AE857BE"/>
    <w:rsid w:val="4B066094"/>
    <w:rsid w:val="4B0B3FAB"/>
    <w:rsid w:val="4B0B4A50"/>
    <w:rsid w:val="4B0D210E"/>
    <w:rsid w:val="4B242056"/>
    <w:rsid w:val="4B3014E0"/>
    <w:rsid w:val="4B303A92"/>
    <w:rsid w:val="4B390616"/>
    <w:rsid w:val="4B5A781F"/>
    <w:rsid w:val="4B606025"/>
    <w:rsid w:val="4B667D15"/>
    <w:rsid w:val="4B700007"/>
    <w:rsid w:val="4B7E5831"/>
    <w:rsid w:val="4B8D650B"/>
    <w:rsid w:val="4B901F31"/>
    <w:rsid w:val="4B907575"/>
    <w:rsid w:val="4B95556D"/>
    <w:rsid w:val="4BAD0433"/>
    <w:rsid w:val="4BD56405"/>
    <w:rsid w:val="4BD86045"/>
    <w:rsid w:val="4BE744D9"/>
    <w:rsid w:val="4BF107AC"/>
    <w:rsid w:val="4C1768F5"/>
    <w:rsid w:val="4C1809DD"/>
    <w:rsid w:val="4C2625F6"/>
    <w:rsid w:val="4C2C71C9"/>
    <w:rsid w:val="4C472DCF"/>
    <w:rsid w:val="4C4B70FF"/>
    <w:rsid w:val="4C4D59D9"/>
    <w:rsid w:val="4C50018B"/>
    <w:rsid w:val="4C6071C8"/>
    <w:rsid w:val="4C652042"/>
    <w:rsid w:val="4C677A68"/>
    <w:rsid w:val="4C7310B1"/>
    <w:rsid w:val="4C8918EF"/>
    <w:rsid w:val="4C9A4C02"/>
    <w:rsid w:val="4CA92566"/>
    <w:rsid w:val="4CB047AA"/>
    <w:rsid w:val="4CB638F0"/>
    <w:rsid w:val="4CC94F4B"/>
    <w:rsid w:val="4CCC1F66"/>
    <w:rsid w:val="4CDA5AD3"/>
    <w:rsid w:val="4CDB6545"/>
    <w:rsid w:val="4CE85995"/>
    <w:rsid w:val="4CF01471"/>
    <w:rsid w:val="4CF62C56"/>
    <w:rsid w:val="4CFF2576"/>
    <w:rsid w:val="4D0522E3"/>
    <w:rsid w:val="4D110486"/>
    <w:rsid w:val="4D144441"/>
    <w:rsid w:val="4D150574"/>
    <w:rsid w:val="4D153284"/>
    <w:rsid w:val="4D1A1A84"/>
    <w:rsid w:val="4D38233A"/>
    <w:rsid w:val="4D3F0636"/>
    <w:rsid w:val="4D570A68"/>
    <w:rsid w:val="4D657D6E"/>
    <w:rsid w:val="4D684505"/>
    <w:rsid w:val="4D6909CF"/>
    <w:rsid w:val="4D7E69F6"/>
    <w:rsid w:val="4D884299"/>
    <w:rsid w:val="4D8D1634"/>
    <w:rsid w:val="4DA02BB3"/>
    <w:rsid w:val="4DB05F4C"/>
    <w:rsid w:val="4DB531B1"/>
    <w:rsid w:val="4DC525AF"/>
    <w:rsid w:val="4DD851E4"/>
    <w:rsid w:val="4DDD0F7C"/>
    <w:rsid w:val="4DE53E79"/>
    <w:rsid w:val="4DEB75D1"/>
    <w:rsid w:val="4DF55D6A"/>
    <w:rsid w:val="4E082362"/>
    <w:rsid w:val="4E0D2968"/>
    <w:rsid w:val="4E134E0F"/>
    <w:rsid w:val="4E1853E1"/>
    <w:rsid w:val="4E2E74F0"/>
    <w:rsid w:val="4E3674BA"/>
    <w:rsid w:val="4E3A302A"/>
    <w:rsid w:val="4E531CB1"/>
    <w:rsid w:val="4E567D47"/>
    <w:rsid w:val="4E5E1B9E"/>
    <w:rsid w:val="4E5E7048"/>
    <w:rsid w:val="4E6F0A52"/>
    <w:rsid w:val="4E73203F"/>
    <w:rsid w:val="4E741B16"/>
    <w:rsid w:val="4E766B62"/>
    <w:rsid w:val="4E7C4604"/>
    <w:rsid w:val="4E8B4FA3"/>
    <w:rsid w:val="4EB375AD"/>
    <w:rsid w:val="4EB62B96"/>
    <w:rsid w:val="4EB710BB"/>
    <w:rsid w:val="4EBB21F5"/>
    <w:rsid w:val="4ECD7381"/>
    <w:rsid w:val="4EDF072F"/>
    <w:rsid w:val="4EE03C2B"/>
    <w:rsid w:val="4EE10D6B"/>
    <w:rsid w:val="4EE134E6"/>
    <w:rsid w:val="4EE20D12"/>
    <w:rsid w:val="4EE7279B"/>
    <w:rsid w:val="4EEA30B0"/>
    <w:rsid w:val="4EFB3EF0"/>
    <w:rsid w:val="4F0A7142"/>
    <w:rsid w:val="4F100A64"/>
    <w:rsid w:val="4F15434E"/>
    <w:rsid w:val="4F1C0EC4"/>
    <w:rsid w:val="4F1C278A"/>
    <w:rsid w:val="4F1D7909"/>
    <w:rsid w:val="4F222AB1"/>
    <w:rsid w:val="4F321D63"/>
    <w:rsid w:val="4F363526"/>
    <w:rsid w:val="4F3A1B3E"/>
    <w:rsid w:val="4F573AD6"/>
    <w:rsid w:val="4F7115DA"/>
    <w:rsid w:val="4F7528F6"/>
    <w:rsid w:val="4F7654D9"/>
    <w:rsid w:val="4F7A125D"/>
    <w:rsid w:val="4F7B530D"/>
    <w:rsid w:val="4F8300C1"/>
    <w:rsid w:val="4F860F60"/>
    <w:rsid w:val="4F952C43"/>
    <w:rsid w:val="4F9B3F1C"/>
    <w:rsid w:val="4FA256E2"/>
    <w:rsid w:val="4FC05E97"/>
    <w:rsid w:val="4FC12EC8"/>
    <w:rsid w:val="4FC40069"/>
    <w:rsid w:val="4FC4306B"/>
    <w:rsid w:val="4FC6689D"/>
    <w:rsid w:val="4FCA5856"/>
    <w:rsid w:val="4FD142DE"/>
    <w:rsid w:val="4FDF1B6A"/>
    <w:rsid w:val="4FF92E11"/>
    <w:rsid w:val="4FFC17A8"/>
    <w:rsid w:val="500F4605"/>
    <w:rsid w:val="5014725B"/>
    <w:rsid w:val="501E0ABD"/>
    <w:rsid w:val="5028313A"/>
    <w:rsid w:val="5032260F"/>
    <w:rsid w:val="505244DB"/>
    <w:rsid w:val="505D74C2"/>
    <w:rsid w:val="505E0F41"/>
    <w:rsid w:val="5072763C"/>
    <w:rsid w:val="50796641"/>
    <w:rsid w:val="507D250C"/>
    <w:rsid w:val="507F38E3"/>
    <w:rsid w:val="50902A8E"/>
    <w:rsid w:val="50942836"/>
    <w:rsid w:val="509B234D"/>
    <w:rsid w:val="509B4E14"/>
    <w:rsid w:val="509E2511"/>
    <w:rsid w:val="50B66B4F"/>
    <w:rsid w:val="50C74B4C"/>
    <w:rsid w:val="50CE54AB"/>
    <w:rsid w:val="50D56572"/>
    <w:rsid w:val="51044029"/>
    <w:rsid w:val="512F6E0F"/>
    <w:rsid w:val="513F3AE9"/>
    <w:rsid w:val="516374BE"/>
    <w:rsid w:val="516C6EEA"/>
    <w:rsid w:val="51822AD2"/>
    <w:rsid w:val="519C1E99"/>
    <w:rsid w:val="51A1330A"/>
    <w:rsid w:val="51AC2A53"/>
    <w:rsid w:val="51B07154"/>
    <w:rsid w:val="51B51E9A"/>
    <w:rsid w:val="51B9099C"/>
    <w:rsid w:val="51D83A57"/>
    <w:rsid w:val="51DC7160"/>
    <w:rsid w:val="51DD2A35"/>
    <w:rsid w:val="51F31C94"/>
    <w:rsid w:val="51F5302E"/>
    <w:rsid w:val="51F5629A"/>
    <w:rsid w:val="51F64D00"/>
    <w:rsid w:val="52046C8C"/>
    <w:rsid w:val="52107E1F"/>
    <w:rsid w:val="52125CB1"/>
    <w:rsid w:val="52184D33"/>
    <w:rsid w:val="521F4E05"/>
    <w:rsid w:val="522D62FA"/>
    <w:rsid w:val="52327F6B"/>
    <w:rsid w:val="523706F0"/>
    <w:rsid w:val="52423859"/>
    <w:rsid w:val="524D7A78"/>
    <w:rsid w:val="524E7630"/>
    <w:rsid w:val="524F713B"/>
    <w:rsid w:val="52611814"/>
    <w:rsid w:val="52670364"/>
    <w:rsid w:val="52706482"/>
    <w:rsid w:val="52806A3E"/>
    <w:rsid w:val="52817C4C"/>
    <w:rsid w:val="52907953"/>
    <w:rsid w:val="529B341F"/>
    <w:rsid w:val="529F4242"/>
    <w:rsid w:val="52A15CF6"/>
    <w:rsid w:val="52A22BC4"/>
    <w:rsid w:val="52AA5074"/>
    <w:rsid w:val="52AB479D"/>
    <w:rsid w:val="52BB440F"/>
    <w:rsid w:val="52DA0B84"/>
    <w:rsid w:val="52DC2FE0"/>
    <w:rsid w:val="52F32F33"/>
    <w:rsid w:val="52FA65B7"/>
    <w:rsid w:val="52FF65BA"/>
    <w:rsid w:val="53043615"/>
    <w:rsid w:val="53053006"/>
    <w:rsid w:val="531257C8"/>
    <w:rsid w:val="531F7E1D"/>
    <w:rsid w:val="532C44BE"/>
    <w:rsid w:val="5335464F"/>
    <w:rsid w:val="53473C9A"/>
    <w:rsid w:val="5380762B"/>
    <w:rsid w:val="53851C70"/>
    <w:rsid w:val="538B0470"/>
    <w:rsid w:val="538C5C9B"/>
    <w:rsid w:val="53A91479"/>
    <w:rsid w:val="53AE2878"/>
    <w:rsid w:val="53B61D2A"/>
    <w:rsid w:val="53C12C51"/>
    <w:rsid w:val="53CA370B"/>
    <w:rsid w:val="53CB3CB1"/>
    <w:rsid w:val="53D85C5F"/>
    <w:rsid w:val="53DD70CD"/>
    <w:rsid w:val="5404681E"/>
    <w:rsid w:val="5406667C"/>
    <w:rsid w:val="540A38BD"/>
    <w:rsid w:val="54137A74"/>
    <w:rsid w:val="54171B3A"/>
    <w:rsid w:val="541C31AC"/>
    <w:rsid w:val="543E4679"/>
    <w:rsid w:val="544126A4"/>
    <w:rsid w:val="544E7A50"/>
    <w:rsid w:val="54530E7B"/>
    <w:rsid w:val="5453107C"/>
    <w:rsid w:val="54630167"/>
    <w:rsid w:val="546B1125"/>
    <w:rsid w:val="54747113"/>
    <w:rsid w:val="547B3C22"/>
    <w:rsid w:val="547F6D6E"/>
    <w:rsid w:val="54831D48"/>
    <w:rsid w:val="548E7383"/>
    <w:rsid w:val="549017A4"/>
    <w:rsid w:val="54960261"/>
    <w:rsid w:val="549766E0"/>
    <w:rsid w:val="54A91811"/>
    <w:rsid w:val="54AE4180"/>
    <w:rsid w:val="54B75AE7"/>
    <w:rsid w:val="54C416F7"/>
    <w:rsid w:val="54C5796C"/>
    <w:rsid w:val="54C82208"/>
    <w:rsid w:val="54CF07E1"/>
    <w:rsid w:val="54E66BCE"/>
    <w:rsid w:val="550675A4"/>
    <w:rsid w:val="55104594"/>
    <w:rsid w:val="55254C29"/>
    <w:rsid w:val="5526502E"/>
    <w:rsid w:val="55435D11"/>
    <w:rsid w:val="554436B8"/>
    <w:rsid w:val="554B7AA9"/>
    <w:rsid w:val="554F7D0E"/>
    <w:rsid w:val="555B3786"/>
    <w:rsid w:val="555B43EB"/>
    <w:rsid w:val="55755483"/>
    <w:rsid w:val="557A2D61"/>
    <w:rsid w:val="557B38C8"/>
    <w:rsid w:val="55825E7A"/>
    <w:rsid w:val="55884687"/>
    <w:rsid w:val="55925276"/>
    <w:rsid w:val="55937D8E"/>
    <w:rsid w:val="559B7A47"/>
    <w:rsid w:val="55A22482"/>
    <w:rsid w:val="55AC60D2"/>
    <w:rsid w:val="55B32FA4"/>
    <w:rsid w:val="55B52623"/>
    <w:rsid w:val="55B866DE"/>
    <w:rsid w:val="55D363E8"/>
    <w:rsid w:val="55E73A61"/>
    <w:rsid w:val="55EB0189"/>
    <w:rsid w:val="55EB5D17"/>
    <w:rsid w:val="56072B6D"/>
    <w:rsid w:val="560D35F8"/>
    <w:rsid w:val="562063CB"/>
    <w:rsid w:val="5621356D"/>
    <w:rsid w:val="563368CE"/>
    <w:rsid w:val="56351224"/>
    <w:rsid w:val="563D5C51"/>
    <w:rsid w:val="564A4BA0"/>
    <w:rsid w:val="56525CD2"/>
    <w:rsid w:val="566E7FDD"/>
    <w:rsid w:val="56774CE2"/>
    <w:rsid w:val="568704B9"/>
    <w:rsid w:val="56945BC5"/>
    <w:rsid w:val="569B43D3"/>
    <w:rsid w:val="56B43297"/>
    <w:rsid w:val="56BF016D"/>
    <w:rsid w:val="56C531E8"/>
    <w:rsid w:val="56CC61DF"/>
    <w:rsid w:val="56D35055"/>
    <w:rsid w:val="56DB0CBC"/>
    <w:rsid w:val="56FA63FB"/>
    <w:rsid w:val="570D140C"/>
    <w:rsid w:val="570F4AE2"/>
    <w:rsid w:val="5710144F"/>
    <w:rsid w:val="57106E08"/>
    <w:rsid w:val="57207610"/>
    <w:rsid w:val="57234B87"/>
    <w:rsid w:val="572516CF"/>
    <w:rsid w:val="57256A33"/>
    <w:rsid w:val="572B037E"/>
    <w:rsid w:val="572B05E0"/>
    <w:rsid w:val="572B735C"/>
    <w:rsid w:val="574B7C30"/>
    <w:rsid w:val="57500460"/>
    <w:rsid w:val="575159F1"/>
    <w:rsid w:val="57695613"/>
    <w:rsid w:val="57834B65"/>
    <w:rsid w:val="57912D94"/>
    <w:rsid w:val="57943C93"/>
    <w:rsid w:val="57A13443"/>
    <w:rsid w:val="57A56192"/>
    <w:rsid w:val="57A91CE0"/>
    <w:rsid w:val="57BB7068"/>
    <w:rsid w:val="57BF7D7E"/>
    <w:rsid w:val="57C05F4F"/>
    <w:rsid w:val="57E10C0B"/>
    <w:rsid w:val="57E77FD8"/>
    <w:rsid w:val="57E85F98"/>
    <w:rsid w:val="57F80DE6"/>
    <w:rsid w:val="580A1547"/>
    <w:rsid w:val="58116A73"/>
    <w:rsid w:val="581867C3"/>
    <w:rsid w:val="581B3F7C"/>
    <w:rsid w:val="582366DA"/>
    <w:rsid w:val="58401DF5"/>
    <w:rsid w:val="5846147B"/>
    <w:rsid w:val="585C6DED"/>
    <w:rsid w:val="588664F8"/>
    <w:rsid w:val="588D66AA"/>
    <w:rsid w:val="588E2676"/>
    <w:rsid w:val="589A09C8"/>
    <w:rsid w:val="589B2B44"/>
    <w:rsid w:val="589C0F33"/>
    <w:rsid w:val="58B3154D"/>
    <w:rsid w:val="58B708B8"/>
    <w:rsid w:val="58CF66BD"/>
    <w:rsid w:val="58D542BE"/>
    <w:rsid w:val="58F006FB"/>
    <w:rsid w:val="58F373CD"/>
    <w:rsid w:val="58F44712"/>
    <w:rsid w:val="59204954"/>
    <w:rsid w:val="59257D0A"/>
    <w:rsid w:val="59273134"/>
    <w:rsid w:val="59434642"/>
    <w:rsid w:val="594550A4"/>
    <w:rsid w:val="597E1426"/>
    <w:rsid w:val="59862F78"/>
    <w:rsid w:val="59874C36"/>
    <w:rsid w:val="598F0FEF"/>
    <w:rsid w:val="59927B2A"/>
    <w:rsid w:val="59942D49"/>
    <w:rsid w:val="599D138B"/>
    <w:rsid w:val="59A20269"/>
    <w:rsid w:val="59A525E1"/>
    <w:rsid w:val="59B5611E"/>
    <w:rsid w:val="59BC49F9"/>
    <w:rsid w:val="59BE512E"/>
    <w:rsid w:val="59D01E8B"/>
    <w:rsid w:val="59D671CC"/>
    <w:rsid w:val="59EA7659"/>
    <w:rsid w:val="5A006930"/>
    <w:rsid w:val="5A34011F"/>
    <w:rsid w:val="5A3C169C"/>
    <w:rsid w:val="5A493545"/>
    <w:rsid w:val="5A4F4D0C"/>
    <w:rsid w:val="5A6D283A"/>
    <w:rsid w:val="5A76014B"/>
    <w:rsid w:val="5A917AC7"/>
    <w:rsid w:val="5AAB3E82"/>
    <w:rsid w:val="5AC17CA8"/>
    <w:rsid w:val="5ACC1FD1"/>
    <w:rsid w:val="5AD72B9B"/>
    <w:rsid w:val="5AF81B4F"/>
    <w:rsid w:val="5AFE123B"/>
    <w:rsid w:val="5B0D75A8"/>
    <w:rsid w:val="5B1A4500"/>
    <w:rsid w:val="5B260483"/>
    <w:rsid w:val="5B441489"/>
    <w:rsid w:val="5B57477B"/>
    <w:rsid w:val="5B6B0F96"/>
    <w:rsid w:val="5B832BD0"/>
    <w:rsid w:val="5B884CE9"/>
    <w:rsid w:val="5B8A2FEB"/>
    <w:rsid w:val="5BA51913"/>
    <w:rsid w:val="5BAA416A"/>
    <w:rsid w:val="5BAE0DE7"/>
    <w:rsid w:val="5BAF1A02"/>
    <w:rsid w:val="5BB25E07"/>
    <w:rsid w:val="5BB94472"/>
    <w:rsid w:val="5BBB0C64"/>
    <w:rsid w:val="5BC92441"/>
    <w:rsid w:val="5BCD2C1B"/>
    <w:rsid w:val="5BE1285C"/>
    <w:rsid w:val="5BE159B4"/>
    <w:rsid w:val="5BEA2379"/>
    <w:rsid w:val="5BF57A96"/>
    <w:rsid w:val="5C1F424B"/>
    <w:rsid w:val="5C3022C7"/>
    <w:rsid w:val="5C32401F"/>
    <w:rsid w:val="5C3754D9"/>
    <w:rsid w:val="5C411361"/>
    <w:rsid w:val="5C4571E9"/>
    <w:rsid w:val="5C4D6154"/>
    <w:rsid w:val="5C5007BE"/>
    <w:rsid w:val="5C517C6E"/>
    <w:rsid w:val="5C5F0704"/>
    <w:rsid w:val="5C61490C"/>
    <w:rsid w:val="5C6E65AE"/>
    <w:rsid w:val="5C856588"/>
    <w:rsid w:val="5C886E04"/>
    <w:rsid w:val="5C8D2968"/>
    <w:rsid w:val="5C95541D"/>
    <w:rsid w:val="5C9F119C"/>
    <w:rsid w:val="5CAC3CDC"/>
    <w:rsid w:val="5CBD5C01"/>
    <w:rsid w:val="5CBE4B75"/>
    <w:rsid w:val="5CC87779"/>
    <w:rsid w:val="5CCD0317"/>
    <w:rsid w:val="5CE16C40"/>
    <w:rsid w:val="5CEE6736"/>
    <w:rsid w:val="5CF758CA"/>
    <w:rsid w:val="5CFC71E3"/>
    <w:rsid w:val="5D04320F"/>
    <w:rsid w:val="5D147D75"/>
    <w:rsid w:val="5D175F64"/>
    <w:rsid w:val="5D230554"/>
    <w:rsid w:val="5D2B1205"/>
    <w:rsid w:val="5D2E3F00"/>
    <w:rsid w:val="5D38290C"/>
    <w:rsid w:val="5D3A1C6A"/>
    <w:rsid w:val="5D455B02"/>
    <w:rsid w:val="5D4A721E"/>
    <w:rsid w:val="5D5F3FA9"/>
    <w:rsid w:val="5D841AFA"/>
    <w:rsid w:val="5D8451B3"/>
    <w:rsid w:val="5D9752B8"/>
    <w:rsid w:val="5DA632AE"/>
    <w:rsid w:val="5DA81182"/>
    <w:rsid w:val="5DB063F7"/>
    <w:rsid w:val="5DC20CA0"/>
    <w:rsid w:val="5DCC0440"/>
    <w:rsid w:val="5DD200F1"/>
    <w:rsid w:val="5DDF04CC"/>
    <w:rsid w:val="5DE0590A"/>
    <w:rsid w:val="5DE537DD"/>
    <w:rsid w:val="5DE677F9"/>
    <w:rsid w:val="5DEC47C9"/>
    <w:rsid w:val="5DF75003"/>
    <w:rsid w:val="5E0268D6"/>
    <w:rsid w:val="5E252FAA"/>
    <w:rsid w:val="5E2F7A75"/>
    <w:rsid w:val="5E2F7AEC"/>
    <w:rsid w:val="5E54340F"/>
    <w:rsid w:val="5E6306E6"/>
    <w:rsid w:val="5E6A3074"/>
    <w:rsid w:val="5E781C05"/>
    <w:rsid w:val="5E8577B5"/>
    <w:rsid w:val="5E873CB1"/>
    <w:rsid w:val="5E957DE2"/>
    <w:rsid w:val="5EA643AF"/>
    <w:rsid w:val="5EAD24D4"/>
    <w:rsid w:val="5EB64C40"/>
    <w:rsid w:val="5EBF0028"/>
    <w:rsid w:val="5EC34E7C"/>
    <w:rsid w:val="5ED2207F"/>
    <w:rsid w:val="5EDB580A"/>
    <w:rsid w:val="5EDF7D8A"/>
    <w:rsid w:val="5EE60C15"/>
    <w:rsid w:val="5F3D1565"/>
    <w:rsid w:val="5F426389"/>
    <w:rsid w:val="5F4C5102"/>
    <w:rsid w:val="5F636674"/>
    <w:rsid w:val="5F7B3A32"/>
    <w:rsid w:val="5F7E3E22"/>
    <w:rsid w:val="5FA76844"/>
    <w:rsid w:val="5FBF6F1F"/>
    <w:rsid w:val="5FCB16B1"/>
    <w:rsid w:val="5FD17B46"/>
    <w:rsid w:val="5FD36969"/>
    <w:rsid w:val="5FDA07AC"/>
    <w:rsid w:val="5FE259E3"/>
    <w:rsid w:val="5FE55648"/>
    <w:rsid w:val="5FFF2EBB"/>
    <w:rsid w:val="600E274C"/>
    <w:rsid w:val="601214CA"/>
    <w:rsid w:val="60241A24"/>
    <w:rsid w:val="602D0F02"/>
    <w:rsid w:val="602F504F"/>
    <w:rsid w:val="6037781C"/>
    <w:rsid w:val="60383659"/>
    <w:rsid w:val="603968E7"/>
    <w:rsid w:val="60594AFD"/>
    <w:rsid w:val="605A054F"/>
    <w:rsid w:val="605E2873"/>
    <w:rsid w:val="60676992"/>
    <w:rsid w:val="607525C1"/>
    <w:rsid w:val="607B01C0"/>
    <w:rsid w:val="607E64FD"/>
    <w:rsid w:val="6098650F"/>
    <w:rsid w:val="60992180"/>
    <w:rsid w:val="609E6F65"/>
    <w:rsid w:val="60A07DA2"/>
    <w:rsid w:val="60AF06F0"/>
    <w:rsid w:val="60B24F14"/>
    <w:rsid w:val="60B87B24"/>
    <w:rsid w:val="60C23223"/>
    <w:rsid w:val="60C307E6"/>
    <w:rsid w:val="60CA355B"/>
    <w:rsid w:val="61083369"/>
    <w:rsid w:val="610A4519"/>
    <w:rsid w:val="61102D10"/>
    <w:rsid w:val="6113302A"/>
    <w:rsid w:val="61147E8C"/>
    <w:rsid w:val="611B0E68"/>
    <w:rsid w:val="612D444C"/>
    <w:rsid w:val="612E21F5"/>
    <w:rsid w:val="61300152"/>
    <w:rsid w:val="614B6D87"/>
    <w:rsid w:val="614E3E90"/>
    <w:rsid w:val="615A448C"/>
    <w:rsid w:val="61640C3E"/>
    <w:rsid w:val="61652154"/>
    <w:rsid w:val="61675B1B"/>
    <w:rsid w:val="617B1B6D"/>
    <w:rsid w:val="61800D74"/>
    <w:rsid w:val="61896864"/>
    <w:rsid w:val="6196373B"/>
    <w:rsid w:val="61B16FE1"/>
    <w:rsid w:val="61B54FE9"/>
    <w:rsid w:val="61CF35D9"/>
    <w:rsid w:val="61E00019"/>
    <w:rsid w:val="61E453F4"/>
    <w:rsid w:val="61F11C1B"/>
    <w:rsid w:val="620229A9"/>
    <w:rsid w:val="62116460"/>
    <w:rsid w:val="62154CF3"/>
    <w:rsid w:val="62157B9D"/>
    <w:rsid w:val="6216230C"/>
    <w:rsid w:val="62252494"/>
    <w:rsid w:val="62453955"/>
    <w:rsid w:val="626700AC"/>
    <w:rsid w:val="6269603F"/>
    <w:rsid w:val="626D73C4"/>
    <w:rsid w:val="626F1F08"/>
    <w:rsid w:val="6276344A"/>
    <w:rsid w:val="62774859"/>
    <w:rsid w:val="628A4E6C"/>
    <w:rsid w:val="628E0607"/>
    <w:rsid w:val="629E5C6F"/>
    <w:rsid w:val="62A72D57"/>
    <w:rsid w:val="62B90F61"/>
    <w:rsid w:val="62BC44E2"/>
    <w:rsid w:val="62CA561C"/>
    <w:rsid w:val="62CB7D76"/>
    <w:rsid w:val="62D552FD"/>
    <w:rsid w:val="62D77030"/>
    <w:rsid w:val="62DE5968"/>
    <w:rsid w:val="62E101E9"/>
    <w:rsid w:val="62EA0F97"/>
    <w:rsid w:val="62F23165"/>
    <w:rsid w:val="62F46079"/>
    <w:rsid w:val="62F911B9"/>
    <w:rsid w:val="62FC0E9B"/>
    <w:rsid w:val="630776D7"/>
    <w:rsid w:val="630B0007"/>
    <w:rsid w:val="630C1D24"/>
    <w:rsid w:val="63167C17"/>
    <w:rsid w:val="634010C1"/>
    <w:rsid w:val="63477B79"/>
    <w:rsid w:val="63691FE1"/>
    <w:rsid w:val="636F64DC"/>
    <w:rsid w:val="637628EE"/>
    <w:rsid w:val="637C0472"/>
    <w:rsid w:val="6382308A"/>
    <w:rsid w:val="63986E69"/>
    <w:rsid w:val="63A04B43"/>
    <w:rsid w:val="63A46CB4"/>
    <w:rsid w:val="63AE7112"/>
    <w:rsid w:val="63B47C80"/>
    <w:rsid w:val="63B50F3D"/>
    <w:rsid w:val="63BD0319"/>
    <w:rsid w:val="63CE3D73"/>
    <w:rsid w:val="63CF45D7"/>
    <w:rsid w:val="63D045E4"/>
    <w:rsid w:val="63D57137"/>
    <w:rsid w:val="63D92EBB"/>
    <w:rsid w:val="63D95AE6"/>
    <w:rsid w:val="63DC03F5"/>
    <w:rsid w:val="63F71AD7"/>
    <w:rsid w:val="64071182"/>
    <w:rsid w:val="64076F0D"/>
    <w:rsid w:val="6411535F"/>
    <w:rsid w:val="6414113E"/>
    <w:rsid w:val="64225363"/>
    <w:rsid w:val="642E262E"/>
    <w:rsid w:val="6437145A"/>
    <w:rsid w:val="64384442"/>
    <w:rsid w:val="643F171C"/>
    <w:rsid w:val="64436CC6"/>
    <w:rsid w:val="64563F18"/>
    <w:rsid w:val="645960D1"/>
    <w:rsid w:val="647A2CDF"/>
    <w:rsid w:val="647D1C9D"/>
    <w:rsid w:val="6483695C"/>
    <w:rsid w:val="64854683"/>
    <w:rsid w:val="649A5756"/>
    <w:rsid w:val="64A111B0"/>
    <w:rsid w:val="64B45985"/>
    <w:rsid w:val="64BB7B2F"/>
    <w:rsid w:val="64C6049C"/>
    <w:rsid w:val="64C851CA"/>
    <w:rsid w:val="64CC5CEF"/>
    <w:rsid w:val="64DD4D14"/>
    <w:rsid w:val="64DE5AE2"/>
    <w:rsid w:val="64E62DE1"/>
    <w:rsid w:val="64EB3219"/>
    <w:rsid w:val="64F93A9A"/>
    <w:rsid w:val="65041F78"/>
    <w:rsid w:val="65267DEE"/>
    <w:rsid w:val="65272E31"/>
    <w:rsid w:val="653A19B2"/>
    <w:rsid w:val="65471E7E"/>
    <w:rsid w:val="65523083"/>
    <w:rsid w:val="65572EBF"/>
    <w:rsid w:val="655C43EB"/>
    <w:rsid w:val="65867D16"/>
    <w:rsid w:val="658B17DB"/>
    <w:rsid w:val="659E500B"/>
    <w:rsid w:val="65A53284"/>
    <w:rsid w:val="65AA0C78"/>
    <w:rsid w:val="65AC36CA"/>
    <w:rsid w:val="65B05448"/>
    <w:rsid w:val="65B71E22"/>
    <w:rsid w:val="65BA37B2"/>
    <w:rsid w:val="65DB306D"/>
    <w:rsid w:val="65EE65ED"/>
    <w:rsid w:val="65EE778D"/>
    <w:rsid w:val="65FE5BC1"/>
    <w:rsid w:val="6616573B"/>
    <w:rsid w:val="66265CC0"/>
    <w:rsid w:val="66350F5C"/>
    <w:rsid w:val="663C180A"/>
    <w:rsid w:val="663D02DA"/>
    <w:rsid w:val="663D6346"/>
    <w:rsid w:val="66442257"/>
    <w:rsid w:val="66493D04"/>
    <w:rsid w:val="665965C2"/>
    <w:rsid w:val="665C7ABC"/>
    <w:rsid w:val="666E2D05"/>
    <w:rsid w:val="666F5127"/>
    <w:rsid w:val="668712D7"/>
    <w:rsid w:val="668B2C4D"/>
    <w:rsid w:val="66976D65"/>
    <w:rsid w:val="66AF619E"/>
    <w:rsid w:val="66B07AF4"/>
    <w:rsid w:val="66B93919"/>
    <w:rsid w:val="66BD7B0F"/>
    <w:rsid w:val="66BF2F9A"/>
    <w:rsid w:val="66C044F1"/>
    <w:rsid w:val="66D93025"/>
    <w:rsid w:val="66F9754A"/>
    <w:rsid w:val="67091709"/>
    <w:rsid w:val="671E1E65"/>
    <w:rsid w:val="67256B42"/>
    <w:rsid w:val="674716E9"/>
    <w:rsid w:val="674F0536"/>
    <w:rsid w:val="67514D8D"/>
    <w:rsid w:val="676A14C2"/>
    <w:rsid w:val="676F413D"/>
    <w:rsid w:val="679944E4"/>
    <w:rsid w:val="679A650F"/>
    <w:rsid w:val="67A337EE"/>
    <w:rsid w:val="67A82AC1"/>
    <w:rsid w:val="67B04D04"/>
    <w:rsid w:val="67B262D6"/>
    <w:rsid w:val="67BE27CB"/>
    <w:rsid w:val="67D27E18"/>
    <w:rsid w:val="67E55AEB"/>
    <w:rsid w:val="67EC1080"/>
    <w:rsid w:val="67EF1252"/>
    <w:rsid w:val="67FF1E4F"/>
    <w:rsid w:val="680820EE"/>
    <w:rsid w:val="680E4A9F"/>
    <w:rsid w:val="68146D1E"/>
    <w:rsid w:val="68153765"/>
    <w:rsid w:val="683C2945"/>
    <w:rsid w:val="683E638C"/>
    <w:rsid w:val="68446AE0"/>
    <w:rsid w:val="686001E8"/>
    <w:rsid w:val="686768BB"/>
    <w:rsid w:val="686B1776"/>
    <w:rsid w:val="6871776A"/>
    <w:rsid w:val="68792D62"/>
    <w:rsid w:val="68892A51"/>
    <w:rsid w:val="688A1225"/>
    <w:rsid w:val="68904F4C"/>
    <w:rsid w:val="6893247B"/>
    <w:rsid w:val="68970784"/>
    <w:rsid w:val="68987AAE"/>
    <w:rsid w:val="689E5185"/>
    <w:rsid w:val="68B92C98"/>
    <w:rsid w:val="68CB75F5"/>
    <w:rsid w:val="68D262F8"/>
    <w:rsid w:val="68D56BFD"/>
    <w:rsid w:val="68DD4AB7"/>
    <w:rsid w:val="68E26151"/>
    <w:rsid w:val="69035725"/>
    <w:rsid w:val="69101691"/>
    <w:rsid w:val="691364E6"/>
    <w:rsid w:val="69161AC0"/>
    <w:rsid w:val="69174BCF"/>
    <w:rsid w:val="691B5229"/>
    <w:rsid w:val="692475C9"/>
    <w:rsid w:val="69272937"/>
    <w:rsid w:val="694F6D44"/>
    <w:rsid w:val="69546ACB"/>
    <w:rsid w:val="69614498"/>
    <w:rsid w:val="69674E66"/>
    <w:rsid w:val="69691240"/>
    <w:rsid w:val="696F475C"/>
    <w:rsid w:val="6972019F"/>
    <w:rsid w:val="69765F98"/>
    <w:rsid w:val="697A2166"/>
    <w:rsid w:val="697D5BA6"/>
    <w:rsid w:val="697F2811"/>
    <w:rsid w:val="699455FB"/>
    <w:rsid w:val="699A55AD"/>
    <w:rsid w:val="69A36077"/>
    <w:rsid w:val="69A925F3"/>
    <w:rsid w:val="69B953A6"/>
    <w:rsid w:val="69CC6507"/>
    <w:rsid w:val="69CD2676"/>
    <w:rsid w:val="69CF0B0B"/>
    <w:rsid w:val="69D97930"/>
    <w:rsid w:val="69DF5E84"/>
    <w:rsid w:val="69ED2FEB"/>
    <w:rsid w:val="69FB22FE"/>
    <w:rsid w:val="6A010645"/>
    <w:rsid w:val="6A181920"/>
    <w:rsid w:val="6A245EBF"/>
    <w:rsid w:val="6A3931AB"/>
    <w:rsid w:val="6A4341EF"/>
    <w:rsid w:val="6A46324E"/>
    <w:rsid w:val="6A4762E9"/>
    <w:rsid w:val="6A4D1A55"/>
    <w:rsid w:val="6A501651"/>
    <w:rsid w:val="6A552891"/>
    <w:rsid w:val="6A570249"/>
    <w:rsid w:val="6A596928"/>
    <w:rsid w:val="6A5B530B"/>
    <w:rsid w:val="6A5D6A4B"/>
    <w:rsid w:val="6A6C4C80"/>
    <w:rsid w:val="6A7A3588"/>
    <w:rsid w:val="6A8F24C8"/>
    <w:rsid w:val="6AA1134D"/>
    <w:rsid w:val="6AA32A7D"/>
    <w:rsid w:val="6AA4167F"/>
    <w:rsid w:val="6AB37453"/>
    <w:rsid w:val="6AB63F98"/>
    <w:rsid w:val="6AC83043"/>
    <w:rsid w:val="6ACA40EF"/>
    <w:rsid w:val="6AD874F4"/>
    <w:rsid w:val="6AE340F3"/>
    <w:rsid w:val="6AF3364D"/>
    <w:rsid w:val="6AF40FD8"/>
    <w:rsid w:val="6B041C28"/>
    <w:rsid w:val="6B234515"/>
    <w:rsid w:val="6B375474"/>
    <w:rsid w:val="6B426549"/>
    <w:rsid w:val="6B4A23F6"/>
    <w:rsid w:val="6B4C47BF"/>
    <w:rsid w:val="6B4E6FC0"/>
    <w:rsid w:val="6B803655"/>
    <w:rsid w:val="6B8C7E61"/>
    <w:rsid w:val="6B9142E9"/>
    <w:rsid w:val="6B925FE7"/>
    <w:rsid w:val="6B930850"/>
    <w:rsid w:val="6B9B7107"/>
    <w:rsid w:val="6BAC5A06"/>
    <w:rsid w:val="6BAD3B7C"/>
    <w:rsid w:val="6BB25135"/>
    <w:rsid w:val="6BBC1300"/>
    <w:rsid w:val="6BCE182D"/>
    <w:rsid w:val="6BCE7158"/>
    <w:rsid w:val="6BD21F12"/>
    <w:rsid w:val="6BE5062F"/>
    <w:rsid w:val="6BEC0955"/>
    <w:rsid w:val="6BFF1994"/>
    <w:rsid w:val="6C0336DC"/>
    <w:rsid w:val="6C065149"/>
    <w:rsid w:val="6C072363"/>
    <w:rsid w:val="6C0A0544"/>
    <w:rsid w:val="6C161C92"/>
    <w:rsid w:val="6C2B74BB"/>
    <w:rsid w:val="6C41745C"/>
    <w:rsid w:val="6C5F4826"/>
    <w:rsid w:val="6C604496"/>
    <w:rsid w:val="6C722908"/>
    <w:rsid w:val="6C7F0740"/>
    <w:rsid w:val="6C965B26"/>
    <w:rsid w:val="6CAD4DE1"/>
    <w:rsid w:val="6CC5034C"/>
    <w:rsid w:val="6CCB2DEA"/>
    <w:rsid w:val="6CCF081F"/>
    <w:rsid w:val="6CD13F72"/>
    <w:rsid w:val="6CD702CD"/>
    <w:rsid w:val="6CDD1B1A"/>
    <w:rsid w:val="6CF77D16"/>
    <w:rsid w:val="6CFD7936"/>
    <w:rsid w:val="6D07649D"/>
    <w:rsid w:val="6D107C7E"/>
    <w:rsid w:val="6D135B40"/>
    <w:rsid w:val="6D171474"/>
    <w:rsid w:val="6D1D38CA"/>
    <w:rsid w:val="6D282539"/>
    <w:rsid w:val="6D4E318B"/>
    <w:rsid w:val="6D574C6E"/>
    <w:rsid w:val="6D5C1162"/>
    <w:rsid w:val="6D665257"/>
    <w:rsid w:val="6D6A1BED"/>
    <w:rsid w:val="6D6B3F20"/>
    <w:rsid w:val="6D6F3FF2"/>
    <w:rsid w:val="6D853590"/>
    <w:rsid w:val="6D8768C1"/>
    <w:rsid w:val="6DB81E3E"/>
    <w:rsid w:val="6DC61623"/>
    <w:rsid w:val="6DC71A8C"/>
    <w:rsid w:val="6DCB666D"/>
    <w:rsid w:val="6DCD7C6F"/>
    <w:rsid w:val="6DD23D97"/>
    <w:rsid w:val="6DDD4E09"/>
    <w:rsid w:val="6DE75C33"/>
    <w:rsid w:val="6DE85455"/>
    <w:rsid w:val="6DEA1D78"/>
    <w:rsid w:val="6DEC4FF7"/>
    <w:rsid w:val="6E006097"/>
    <w:rsid w:val="6E0F469D"/>
    <w:rsid w:val="6E132671"/>
    <w:rsid w:val="6E1A17D5"/>
    <w:rsid w:val="6E2D43B5"/>
    <w:rsid w:val="6E357BDE"/>
    <w:rsid w:val="6E454569"/>
    <w:rsid w:val="6E4B70C1"/>
    <w:rsid w:val="6E4F1E3E"/>
    <w:rsid w:val="6E551D24"/>
    <w:rsid w:val="6E5B6A37"/>
    <w:rsid w:val="6E5D1E4E"/>
    <w:rsid w:val="6E6334B2"/>
    <w:rsid w:val="6E6476FF"/>
    <w:rsid w:val="6E673488"/>
    <w:rsid w:val="6E6D4BB9"/>
    <w:rsid w:val="6E6F2080"/>
    <w:rsid w:val="6E79315E"/>
    <w:rsid w:val="6E85769D"/>
    <w:rsid w:val="6E895F34"/>
    <w:rsid w:val="6E8F358B"/>
    <w:rsid w:val="6E9B727E"/>
    <w:rsid w:val="6EA46E07"/>
    <w:rsid w:val="6EAF7E4C"/>
    <w:rsid w:val="6EBC3BF8"/>
    <w:rsid w:val="6EC21545"/>
    <w:rsid w:val="6EC43B08"/>
    <w:rsid w:val="6EC46C1D"/>
    <w:rsid w:val="6EC774B9"/>
    <w:rsid w:val="6ED06846"/>
    <w:rsid w:val="6ED955FC"/>
    <w:rsid w:val="6EE45937"/>
    <w:rsid w:val="6EE70AEF"/>
    <w:rsid w:val="6EEE0A23"/>
    <w:rsid w:val="6EEF7E2A"/>
    <w:rsid w:val="6F057016"/>
    <w:rsid w:val="6F0E7056"/>
    <w:rsid w:val="6F173270"/>
    <w:rsid w:val="6F425B9B"/>
    <w:rsid w:val="6F4C15E0"/>
    <w:rsid w:val="6F4F5C0E"/>
    <w:rsid w:val="6F675EF1"/>
    <w:rsid w:val="6F753BD0"/>
    <w:rsid w:val="6F766949"/>
    <w:rsid w:val="6FD411F3"/>
    <w:rsid w:val="6FDD5F26"/>
    <w:rsid w:val="6FDE7220"/>
    <w:rsid w:val="6FE12F6D"/>
    <w:rsid w:val="6FEB08CA"/>
    <w:rsid w:val="6FEC3C59"/>
    <w:rsid w:val="6FF12ED0"/>
    <w:rsid w:val="6FFA79B1"/>
    <w:rsid w:val="6FFE1CAF"/>
    <w:rsid w:val="700D3DB7"/>
    <w:rsid w:val="700F11E9"/>
    <w:rsid w:val="7011411E"/>
    <w:rsid w:val="70240CDD"/>
    <w:rsid w:val="703424BE"/>
    <w:rsid w:val="70466223"/>
    <w:rsid w:val="705E7429"/>
    <w:rsid w:val="70701641"/>
    <w:rsid w:val="707B6D16"/>
    <w:rsid w:val="7083144A"/>
    <w:rsid w:val="709A0084"/>
    <w:rsid w:val="709E6511"/>
    <w:rsid w:val="70A73E4C"/>
    <w:rsid w:val="70B940BC"/>
    <w:rsid w:val="70C117C6"/>
    <w:rsid w:val="70C6417C"/>
    <w:rsid w:val="70CD7F95"/>
    <w:rsid w:val="70D22321"/>
    <w:rsid w:val="70E344A3"/>
    <w:rsid w:val="70E70ABC"/>
    <w:rsid w:val="70F43CBE"/>
    <w:rsid w:val="70F757CE"/>
    <w:rsid w:val="70FC0C1E"/>
    <w:rsid w:val="71010420"/>
    <w:rsid w:val="7105465C"/>
    <w:rsid w:val="710E4981"/>
    <w:rsid w:val="710F56DD"/>
    <w:rsid w:val="711D2266"/>
    <w:rsid w:val="711F5363"/>
    <w:rsid w:val="712E1777"/>
    <w:rsid w:val="713B6EE2"/>
    <w:rsid w:val="71454B58"/>
    <w:rsid w:val="716A57E1"/>
    <w:rsid w:val="716B1233"/>
    <w:rsid w:val="718A0791"/>
    <w:rsid w:val="7191522F"/>
    <w:rsid w:val="71971582"/>
    <w:rsid w:val="7197218A"/>
    <w:rsid w:val="71A46AA0"/>
    <w:rsid w:val="71AF134B"/>
    <w:rsid w:val="71B73708"/>
    <w:rsid w:val="71B75F9E"/>
    <w:rsid w:val="71B8670B"/>
    <w:rsid w:val="71C932CE"/>
    <w:rsid w:val="71CB4A87"/>
    <w:rsid w:val="71CC7845"/>
    <w:rsid w:val="71CD1BCD"/>
    <w:rsid w:val="71DB6BF8"/>
    <w:rsid w:val="71EF12D3"/>
    <w:rsid w:val="721D6516"/>
    <w:rsid w:val="72372AC2"/>
    <w:rsid w:val="724662BC"/>
    <w:rsid w:val="724B7FE1"/>
    <w:rsid w:val="72565B6A"/>
    <w:rsid w:val="726C37D5"/>
    <w:rsid w:val="726F69D8"/>
    <w:rsid w:val="727519EE"/>
    <w:rsid w:val="72905C1B"/>
    <w:rsid w:val="72940CF3"/>
    <w:rsid w:val="72943909"/>
    <w:rsid w:val="7298488C"/>
    <w:rsid w:val="729F363C"/>
    <w:rsid w:val="72A2466C"/>
    <w:rsid w:val="72A64AC2"/>
    <w:rsid w:val="72CE2C1D"/>
    <w:rsid w:val="72D4158D"/>
    <w:rsid w:val="72D51D1F"/>
    <w:rsid w:val="72DB61AF"/>
    <w:rsid w:val="72E10210"/>
    <w:rsid w:val="72F3190C"/>
    <w:rsid w:val="72F6763D"/>
    <w:rsid w:val="730B209E"/>
    <w:rsid w:val="730E2B44"/>
    <w:rsid w:val="732F5B0B"/>
    <w:rsid w:val="73371026"/>
    <w:rsid w:val="73410CE9"/>
    <w:rsid w:val="73444F40"/>
    <w:rsid w:val="734B6262"/>
    <w:rsid w:val="735B7D69"/>
    <w:rsid w:val="738F59DD"/>
    <w:rsid w:val="73A105D0"/>
    <w:rsid w:val="73AF5F94"/>
    <w:rsid w:val="73C35EB5"/>
    <w:rsid w:val="73D2749D"/>
    <w:rsid w:val="73DC505B"/>
    <w:rsid w:val="73DF1FF4"/>
    <w:rsid w:val="73E00541"/>
    <w:rsid w:val="73ED412C"/>
    <w:rsid w:val="740876DC"/>
    <w:rsid w:val="740E43F7"/>
    <w:rsid w:val="741F3881"/>
    <w:rsid w:val="74233247"/>
    <w:rsid w:val="742D03D3"/>
    <w:rsid w:val="74356AAF"/>
    <w:rsid w:val="743D5D40"/>
    <w:rsid w:val="744210E4"/>
    <w:rsid w:val="744F6007"/>
    <w:rsid w:val="74522D47"/>
    <w:rsid w:val="745A1DAE"/>
    <w:rsid w:val="746731D3"/>
    <w:rsid w:val="74691A89"/>
    <w:rsid w:val="746D59B2"/>
    <w:rsid w:val="7479796C"/>
    <w:rsid w:val="74846453"/>
    <w:rsid w:val="74863BA5"/>
    <w:rsid w:val="748A4C40"/>
    <w:rsid w:val="749145E7"/>
    <w:rsid w:val="749F7DA3"/>
    <w:rsid w:val="74A30383"/>
    <w:rsid w:val="74B60F35"/>
    <w:rsid w:val="74CE0CB2"/>
    <w:rsid w:val="74DB26DA"/>
    <w:rsid w:val="74EB02AA"/>
    <w:rsid w:val="74ED65D3"/>
    <w:rsid w:val="74FC7A3D"/>
    <w:rsid w:val="7503182F"/>
    <w:rsid w:val="752662BE"/>
    <w:rsid w:val="75271170"/>
    <w:rsid w:val="752F4478"/>
    <w:rsid w:val="753A495A"/>
    <w:rsid w:val="75480307"/>
    <w:rsid w:val="754A4424"/>
    <w:rsid w:val="75544204"/>
    <w:rsid w:val="755C7324"/>
    <w:rsid w:val="7567183B"/>
    <w:rsid w:val="75682214"/>
    <w:rsid w:val="757501AB"/>
    <w:rsid w:val="757E58E6"/>
    <w:rsid w:val="75815267"/>
    <w:rsid w:val="75A002BD"/>
    <w:rsid w:val="75BD0903"/>
    <w:rsid w:val="75BE065C"/>
    <w:rsid w:val="75C24A88"/>
    <w:rsid w:val="75C30834"/>
    <w:rsid w:val="75E01DC7"/>
    <w:rsid w:val="75E060C2"/>
    <w:rsid w:val="75EB4937"/>
    <w:rsid w:val="75F97A88"/>
    <w:rsid w:val="76046D47"/>
    <w:rsid w:val="760B6A71"/>
    <w:rsid w:val="76197B76"/>
    <w:rsid w:val="761A6A08"/>
    <w:rsid w:val="76283C3E"/>
    <w:rsid w:val="762A7777"/>
    <w:rsid w:val="762D3311"/>
    <w:rsid w:val="76316A36"/>
    <w:rsid w:val="76375790"/>
    <w:rsid w:val="7639103E"/>
    <w:rsid w:val="764636AD"/>
    <w:rsid w:val="764B20A1"/>
    <w:rsid w:val="76584650"/>
    <w:rsid w:val="7658586A"/>
    <w:rsid w:val="76596CBD"/>
    <w:rsid w:val="766B6468"/>
    <w:rsid w:val="76730517"/>
    <w:rsid w:val="76733AA8"/>
    <w:rsid w:val="767E7822"/>
    <w:rsid w:val="768A4109"/>
    <w:rsid w:val="768F7A0D"/>
    <w:rsid w:val="76A67117"/>
    <w:rsid w:val="76AB1124"/>
    <w:rsid w:val="76B10D55"/>
    <w:rsid w:val="76B8377D"/>
    <w:rsid w:val="76C30CFB"/>
    <w:rsid w:val="76CD70EF"/>
    <w:rsid w:val="76D04BF4"/>
    <w:rsid w:val="76DB609E"/>
    <w:rsid w:val="76F077EB"/>
    <w:rsid w:val="77321DB6"/>
    <w:rsid w:val="774201B1"/>
    <w:rsid w:val="775016E5"/>
    <w:rsid w:val="77542828"/>
    <w:rsid w:val="77564E63"/>
    <w:rsid w:val="775A0170"/>
    <w:rsid w:val="77774D41"/>
    <w:rsid w:val="778C3AEF"/>
    <w:rsid w:val="77A1775B"/>
    <w:rsid w:val="77A5287A"/>
    <w:rsid w:val="77A772DE"/>
    <w:rsid w:val="77AB1106"/>
    <w:rsid w:val="77AB6B1C"/>
    <w:rsid w:val="77AC45A1"/>
    <w:rsid w:val="77AE50CA"/>
    <w:rsid w:val="77B107C6"/>
    <w:rsid w:val="77BF6BA3"/>
    <w:rsid w:val="77C542FB"/>
    <w:rsid w:val="77CC3389"/>
    <w:rsid w:val="77F343FB"/>
    <w:rsid w:val="77F950C0"/>
    <w:rsid w:val="77FF08BC"/>
    <w:rsid w:val="781D049C"/>
    <w:rsid w:val="782716D1"/>
    <w:rsid w:val="7836100F"/>
    <w:rsid w:val="78434EF4"/>
    <w:rsid w:val="78493B83"/>
    <w:rsid w:val="784E0B9B"/>
    <w:rsid w:val="785116E6"/>
    <w:rsid w:val="78546895"/>
    <w:rsid w:val="7857352A"/>
    <w:rsid w:val="786D6BAD"/>
    <w:rsid w:val="786E1CB8"/>
    <w:rsid w:val="787818C0"/>
    <w:rsid w:val="788472B5"/>
    <w:rsid w:val="78A13727"/>
    <w:rsid w:val="78A37B0A"/>
    <w:rsid w:val="78A534A9"/>
    <w:rsid w:val="78A70501"/>
    <w:rsid w:val="78A9007C"/>
    <w:rsid w:val="78B401A2"/>
    <w:rsid w:val="78BA4784"/>
    <w:rsid w:val="78C56F9B"/>
    <w:rsid w:val="78C824EC"/>
    <w:rsid w:val="78CC54B0"/>
    <w:rsid w:val="78D814F1"/>
    <w:rsid w:val="78F030D3"/>
    <w:rsid w:val="78F920B5"/>
    <w:rsid w:val="78F94FDA"/>
    <w:rsid w:val="78FB088B"/>
    <w:rsid w:val="79006B2A"/>
    <w:rsid w:val="790927A3"/>
    <w:rsid w:val="790E2EFC"/>
    <w:rsid w:val="7916159E"/>
    <w:rsid w:val="79174770"/>
    <w:rsid w:val="79226208"/>
    <w:rsid w:val="79282FC4"/>
    <w:rsid w:val="79291039"/>
    <w:rsid w:val="792A5746"/>
    <w:rsid w:val="79487B89"/>
    <w:rsid w:val="794C1B4A"/>
    <w:rsid w:val="794F3B76"/>
    <w:rsid w:val="795A4271"/>
    <w:rsid w:val="7967148A"/>
    <w:rsid w:val="796A6BEC"/>
    <w:rsid w:val="798B386F"/>
    <w:rsid w:val="7990222E"/>
    <w:rsid w:val="799A25F3"/>
    <w:rsid w:val="799F225F"/>
    <w:rsid w:val="79A03B94"/>
    <w:rsid w:val="79A23763"/>
    <w:rsid w:val="79A27959"/>
    <w:rsid w:val="79A6122D"/>
    <w:rsid w:val="79C11284"/>
    <w:rsid w:val="79C144E8"/>
    <w:rsid w:val="79E025EC"/>
    <w:rsid w:val="79F80227"/>
    <w:rsid w:val="7A006AAE"/>
    <w:rsid w:val="7A1825A9"/>
    <w:rsid w:val="7A187F3D"/>
    <w:rsid w:val="7A1C28F0"/>
    <w:rsid w:val="7A1E678C"/>
    <w:rsid w:val="7A1F5051"/>
    <w:rsid w:val="7A2D461F"/>
    <w:rsid w:val="7A2E74A5"/>
    <w:rsid w:val="7A5C49D6"/>
    <w:rsid w:val="7A5E1889"/>
    <w:rsid w:val="7A603D81"/>
    <w:rsid w:val="7A6B6ECE"/>
    <w:rsid w:val="7A881658"/>
    <w:rsid w:val="7A895F53"/>
    <w:rsid w:val="7A9C6551"/>
    <w:rsid w:val="7AA66955"/>
    <w:rsid w:val="7AAB08AD"/>
    <w:rsid w:val="7AAF56CB"/>
    <w:rsid w:val="7ABF243B"/>
    <w:rsid w:val="7AC0138D"/>
    <w:rsid w:val="7AC64553"/>
    <w:rsid w:val="7AD06201"/>
    <w:rsid w:val="7AE645AE"/>
    <w:rsid w:val="7AE76882"/>
    <w:rsid w:val="7AF10AF8"/>
    <w:rsid w:val="7B065F59"/>
    <w:rsid w:val="7B0F639C"/>
    <w:rsid w:val="7B157284"/>
    <w:rsid w:val="7B291C56"/>
    <w:rsid w:val="7B397349"/>
    <w:rsid w:val="7B611D15"/>
    <w:rsid w:val="7B65229F"/>
    <w:rsid w:val="7B6B5DD6"/>
    <w:rsid w:val="7B717D66"/>
    <w:rsid w:val="7B733573"/>
    <w:rsid w:val="7B7A6457"/>
    <w:rsid w:val="7B7F6208"/>
    <w:rsid w:val="7B901387"/>
    <w:rsid w:val="7B9A47D3"/>
    <w:rsid w:val="7BAD7256"/>
    <w:rsid w:val="7BB014D6"/>
    <w:rsid w:val="7BB46C27"/>
    <w:rsid w:val="7BBD3F47"/>
    <w:rsid w:val="7BBD72E7"/>
    <w:rsid w:val="7BBF5CDE"/>
    <w:rsid w:val="7BC53535"/>
    <w:rsid w:val="7BC70438"/>
    <w:rsid w:val="7BCE4AFB"/>
    <w:rsid w:val="7BD2773F"/>
    <w:rsid w:val="7BDD3013"/>
    <w:rsid w:val="7BE85A56"/>
    <w:rsid w:val="7BEE1E09"/>
    <w:rsid w:val="7C012240"/>
    <w:rsid w:val="7C111216"/>
    <w:rsid w:val="7C142016"/>
    <w:rsid w:val="7C1468A0"/>
    <w:rsid w:val="7C1D630C"/>
    <w:rsid w:val="7C216B37"/>
    <w:rsid w:val="7C4146B7"/>
    <w:rsid w:val="7C5C7E66"/>
    <w:rsid w:val="7C776EEC"/>
    <w:rsid w:val="7C784652"/>
    <w:rsid w:val="7C825036"/>
    <w:rsid w:val="7C8B644D"/>
    <w:rsid w:val="7CAF3F80"/>
    <w:rsid w:val="7CBC535F"/>
    <w:rsid w:val="7CBD7042"/>
    <w:rsid w:val="7CC21E39"/>
    <w:rsid w:val="7CC92C0F"/>
    <w:rsid w:val="7CD11DD0"/>
    <w:rsid w:val="7CE67E3E"/>
    <w:rsid w:val="7CF81F39"/>
    <w:rsid w:val="7CFA236F"/>
    <w:rsid w:val="7D126324"/>
    <w:rsid w:val="7D1A39FE"/>
    <w:rsid w:val="7D2C365E"/>
    <w:rsid w:val="7D38601F"/>
    <w:rsid w:val="7D4A13BD"/>
    <w:rsid w:val="7D550489"/>
    <w:rsid w:val="7D5618EC"/>
    <w:rsid w:val="7D6506EF"/>
    <w:rsid w:val="7D6729D9"/>
    <w:rsid w:val="7D6B28FE"/>
    <w:rsid w:val="7D841821"/>
    <w:rsid w:val="7D846B04"/>
    <w:rsid w:val="7D8A109E"/>
    <w:rsid w:val="7D9E4059"/>
    <w:rsid w:val="7DA30F9D"/>
    <w:rsid w:val="7DA66980"/>
    <w:rsid w:val="7DAF4872"/>
    <w:rsid w:val="7DB01552"/>
    <w:rsid w:val="7DB80F81"/>
    <w:rsid w:val="7DEA3E6D"/>
    <w:rsid w:val="7DEE3160"/>
    <w:rsid w:val="7DF261F0"/>
    <w:rsid w:val="7DFB518C"/>
    <w:rsid w:val="7E087CAB"/>
    <w:rsid w:val="7E0F5514"/>
    <w:rsid w:val="7E162FBA"/>
    <w:rsid w:val="7E1F6E08"/>
    <w:rsid w:val="7E240641"/>
    <w:rsid w:val="7E2677D1"/>
    <w:rsid w:val="7E2C378C"/>
    <w:rsid w:val="7E490CEE"/>
    <w:rsid w:val="7E610A91"/>
    <w:rsid w:val="7E6233FE"/>
    <w:rsid w:val="7E636AE3"/>
    <w:rsid w:val="7E68081C"/>
    <w:rsid w:val="7E6F216E"/>
    <w:rsid w:val="7E7B0DC4"/>
    <w:rsid w:val="7EA141C5"/>
    <w:rsid w:val="7EAE7B46"/>
    <w:rsid w:val="7EBD7AF2"/>
    <w:rsid w:val="7EC64C31"/>
    <w:rsid w:val="7ECA549A"/>
    <w:rsid w:val="7EDB2A81"/>
    <w:rsid w:val="7EE07490"/>
    <w:rsid w:val="7EF12485"/>
    <w:rsid w:val="7EF321A6"/>
    <w:rsid w:val="7F036E25"/>
    <w:rsid w:val="7F0803FD"/>
    <w:rsid w:val="7F122F4F"/>
    <w:rsid w:val="7F1A0F84"/>
    <w:rsid w:val="7F212EDC"/>
    <w:rsid w:val="7F291C6C"/>
    <w:rsid w:val="7F2C17B0"/>
    <w:rsid w:val="7F2C6C9C"/>
    <w:rsid w:val="7F2F2ED3"/>
    <w:rsid w:val="7F333567"/>
    <w:rsid w:val="7F3D565F"/>
    <w:rsid w:val="7F4B791A"/>
    <w:rsid w:val="7F5E45C2"/>
    <w:rsid w:val="7F6B5867"/>
    <w:rsid w:val="7F946319"/>
    <w:rsid w:val="7F9B24C8"/>
    <w:rsid w:val="7FA223D6"/>
    <w:rsid w:val="7FA26113"/>
    <w:rsid w:val="7FA74240"/>
    <w:rsid w:val="7FB975E1"/>
    <w:rsid w:val="7FC513E0"/>
    <w:rsid w:val="7FCD5DA0"/>
    <w:rsid w:val="7FCF088C"/>
    <w:rsid w:val="7FD36140"/>
    <w:rsid w:val="7FD37C00"/>
    <w:rsid w:val="7FD82FFB"/>
    <w:rsid w:val="7FDA0611"/>
    <w:rsid w:val="7FE550E8"/>
    <w:rsid w:val="7FE67213"/>
    <w:rsid w:val="7FE93094"/>
    <w:rsid w:val="7FEB0461"/>
    <w:rsid w:val="7FFF08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ind w:firstLine="360"/>
    </w:pPr>
    <w:rPr>
      <w:rFonts w:ascii="Times New Roman" w:hAnsi="Times New Roman" w:eastAsia="宋体" w:cs="Times New Roman"/>
      <w:sz w:val="24"/>
      <w:szCs w:val="22"/>
      <w:lang w:val="en-US" w:eastAsia="en-US" w:bidi="en-US"/>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rPr>
      <w:kern w:val="2"/>
      <w:sz w:val="21"/>
      <w:szCs w:val="24"/>
      <w:lang w:bidi="ar-SA"/>
    </w:rPr>
  </w:style>
  <w:style w:type="paragraph" w:styleId="3">
    <w:name w:val="Plain Text"/>
    <w:basedOn w:val="1"/>
    <w:qFormat/>
    <w:uiPriority w:val="0"/>
    <w:rPr>
      <w:rFonts w:ascii="宋体" w:hAnsi="Courier New"/>
      <w:kern w:val="2"/>
      <w:sz w:val="21"/>
      <w:szCs w:val="21"/>
      <w:lang w:bidi="ar-SA"/>
    </w:rPr>
  </w:style>
  <w:style w:type="paragraph" w:styleId="4">
    <w:name w:val="footer"/>
    <w:basedOn w:val="1"/>
    <w:qFormat/>
    <w:uiPriority w:val="0"/>
    <w:pPr>
      <w:tabs>
        <w:tab w:val="center" w:pos="4153"/>
        <w:tab w:val="right" w:pos="8306"/>
      </w:tabs>
      <w:snapToGrid w:val="0"/>
      <w:ind w:right="210" w:rightChars="100"/>
      <w:jc w:val="right"/>
    </w:pPr>
    <w:rPr>
      <w:kern w:val="2"/>
      <w:sz w:val="18"/>
      <w:szCs w:val="18"/>
      <w:lang w:bidi="ar-SA"/>
    </w:rPr>
  </w:style>
  <w:style w:type="paragraph" w:styleId="5">
    <w:name w:val="header"/>
    <w:basedOn w:val="1"/>
    <w:qFormat/>
    <w:uiPriority w:val="0"/>
    <w:pPr>
      <w:pBdr>
        <w:bottom w:val="single" w:color="auto" w:sz="6" w:space="1"/>
      </w:pBdr>
      <w:tabs>
        <w:tab w:val="center" w:pos="4153"/>
        <w:tab w:val="right" w:pos="8306"/>
      </w:tabs>
      <w:snapToGrid w:val="0"/>
      <w:jc w:val="center"/>
    </w:pPr>
    <w:rPr>
      <w:kern w:val="2"/>
      <w:sz w:val="18"/>
      <w:szCs w:val="18"/>
      <w:lang w:bidi="ar-SA"/>
    </w:rPr>
  </w:style>
  <w:style w:type="paragraph" w:styleId="6">
    <w:name w:val="toc 1"/>
    <w:basedOn w:val="1"/>
    <w:next w:val="1"/>
    <w:qFormat/>
    <w:uiPriority w:val="39"/>
    <w:pPr>
      <w:tabs>
        <w:tab w:val="right" w:leader="dot" w:pos="8296"/>
      </w:tabs>
    </w:pPr>
  </w:style>
  <w:style w:type="character" w:styleId="9">
    <w:name w:val="page number"/>
    <w:qFormat/>
    <w:uiPriority w:val="0"/>
    <w:rPr>
      <w:rFonts w:ascii="Times New Roman" w:hAnsi="Times New Roman" w:eastAsia="宋体"/>
      <w:sz w:val="18"/>
    </w:rPr>
  </w:style>
  <w:style w:type="character" w:styleId="10">
    <w:name w:val="Hyperlink"/>
    <w:qFormat/>
    <w:uiPriority w:val="99"/>
    <w:rPr>
      <w:rFonts w:hint="default" w:ascii="Arial" w:hAnsi="Arial" w:cs="Arial"/>
      <w:color w:val="0000AA"/>
      <w:u w:val="single"/>
    </w:rPr>
  </w:style>
  <w:style w:type="paragraph" w:customStyle="1" w:styleId="11">
    <w:name w:val="首行缩进"/>
    <w:basedOn w:val="1"/>
    <w:qFormat/>
    <w:uiPriority w:val="99"/>
    <w:pPr>
      <w:spacing w:line="300" w:lineRule="auto"/>
      <w:ind w:firstLine="420" w:firstLineChars="200"/>
    </w:pPr>
    <w:rPr>
      <w:rFonts w:eastAsia="方正书宋简体"/>
      <w:kern w:val="2"/>
      <w:sz w:val="21"/>
      <w:szCs w:val="20"/>
      <w:lang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1.wmf"/><Relationship Id="rId10" Type="http://schemas.openxmlformats.org/officeDocument/2006/relationships/oleObject" Target="embeddings/oleObject1.bin"/><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21</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2026-01-23T12:09:00Z</dcterms:created>
  <dc:creator>杨礼锋</dc:creator>
  <cp:lastModifiedBy>杨礼锋</cp:lastModifiedBy>
  <dcterms:modified xsi:type="dcterms:W3CDTF">2026-01-23T12:10:05Z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A68C653394674BB0B1692D7E586304CD</vt:lpwstr>
  </property>
</Properties>
</file>