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E68BCF">
      <w:pPr>
        <w:ind w:firstLine="720"/>
        <w:jc w:val="center"/>
        <w:rPr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35560</wp:posOffset>
                </wp:positionH>
                <wp:positionV relativeFrom="paragraph">
                  <wp:posOffset>10795</wp:posOffset>
                </wp:positionV>
                <wp:extent cx="3547745" cy="512445"/>
                <wp:effectExtent l="0" t="0" r="0" b="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007110" y="1022350"/>
                          <a:ext cx="3547745" cy="5124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6475942">
                            <w:pPr>
                              <w:rPr>
                                <w:rFonts w:ascii="黑体" w:hAnsi="黑体" w:eastAsia="黑体" w:cs="黑体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.8pt;margin-top:0.85pt;height:40.35pt;width:279.35pt;z-index:251661312;mso-width-relative:page;mso-height-relative:page;" filled="f" stroked="f" coordsize="21600,21600" o:gfxdata="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NmkZbXXAAAABgEAAA8AAAAAAAAAAQAg&#10;AAAAIgAAAGRycy9kb3ducmV2LnhtbFBLAQIUABQAAAAIAIdO4kBHOdv/SAIAAIAEAAAOAAAAAAAA&#10;AAEAIAAAACYBAABkcnMvZTJvRG9jLnhtbFBLBQYAAAAABgAGAFkBAADg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6475942">
                      <w:pPr>
                        <w:rPr>
                          <w:rFonts w:ascii="黑体" w:hAnsi="黑体" w:eastAsia="黑体" w:cs="黑体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C8984C7">
      <w:pPr>
        <w:ind w:firstLine="720"/>
        <w:jc w:val="center"/>
        <w:rPr>
          <w:sz w:val="36"/>
          <w:szCs w:val="36"/>
        </w:rPr>
      </w:pPr>
    </w:p>
    <w:p w14:paraId="1121CDD7">
      <w:pPr>
        <w:ind w:firstLine="480"/>
        <w:jc w:val="center"/>
        <w:rPr>
          <w:b/>
          <w:sz w:val="36"/>
          <w:szCs w:val="36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-137795</wp:posOffset>
            </wp:positionH>
            <wp:positionV relativeFrom="page">
              <wp:posOffset>-24130</wp:posOffset>
            </wp:positionV>
            <wp:extent cx="7919720" cy="6276975"/>
            <wp:effectExtent l="0" t="0" r="5080" b="9525"/>
            <wp:wrapNone/>
            <wp:docPr id="1" name="图片 586" descr="说明: 说明: D02-L [Converted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586" descr="说明: 说明: D02-L [Converted]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919720" cy="627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F00C59F">
      <w:pPr>
        <w:ind w:firstLine="723"/>
        <w:jc w:val="center"/>
        <w:rPr>
          <w:b/>
          <w:sz w:val="36"/>
          <w:szCs w:val="36"/>
        </w:rPr>
      </w:pPr>
    </w:p>
    <w:p w14:paraId="159766BB">
      <w:pPr>
        <w:ind w:firstLine="723"/>
        <w:jc w:val="center"/>
        <w:rPr>
          <w:b/>
          <w:sz w:val="36"/>
          <w:szCs w:val="36"/>
        </w:rPr>
      </w:pPr>
    </w:p>
    <w:p w14:paraId="230E9F66">
      <w:pPr>
        <w:ind w:firstLine="723"/>
        <w:jc w:val="center"/>
        <w:rPr>
          <w:b/>
          <w:sz w:val="36"/>
          <w:szCs w:val="36"/>
        </w:rPr>
      </w:pPr>
    </w:p>
    <w:p w14:paraId="2C740DFD">
      <w:pPr>
        <w:ind w:firstLine="723"/>
        <w:jc w:val="center"/>
        <w:rPr>
          <w:b/>
          <w:sz w:val="36"/>
          <w:szCs w:val="36"/>
        </w:rPr>
      </w:pPr>
    </w:p>
    <w:p w14:paraId="13C154CC">
      <w:pPr>
        <w:ind w:firstLine="480"/>
        <w:rPr>
          <w:b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99060</wp:posOffset>
                </wp:positionH>
                <wp:positionV relativeFrom="page">
                  <wp:posOffset>4213860</wp:posOffset>
                </wp:positionV>
                <wp:extent cx="6584950" cy="108204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4950" cy="1082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22AE9E7">
                            <w:pPr>
                              <w:spacing w:line="240" w:lineRule="auto"/>
                              <w:ind w:left="0" w:leftChars="0" w:firstLine="0" w:firstLineChars="0"/>
                              <w:jc w:val="right"/>
                              <w:rPr>
                                <w:rFonts w:ascii="黑体" w:hAnsi="黑体" w:eastAsia="黑体"/>
                                <w:b/>
                                <w:bCs/>
                                <w:color w:val="00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 w:ascii="黑体" w:hAnsi="黑体" w:eastAsia="黑体" w:cs="方正小标宋_GBK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贵州电力建设监理咨询有限责任公司2026年AED除颤仪零星采购技术说明书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.8pt;margin-top:331.8pt;height:85.2pt;width:518.5pt;mso-position-horizontal-relative:page;mso-position-vertical-relative:page;z-index:251660288;mso-width-relative:page;mso-height-relative:page;" filled="f" stroked="f" coordsize="21600,21600" o:gfxdata="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uBpr3tcAAAAL&#10;AQAADwAAAAAAAAABACAAAAAiAAAAZHJzL2Rvd25yZXYueG1sUEsBAhQAFAAAAAgAh07iQKGrHy8d&#10;AgAAJAQAAA4AAAAAAAAAAQAgAAAAJgEAAGRycy9lMm9Eb2MueG1sUEsFBgAAAAAGAAYAWQEAALUF&#10;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222AE9E7">
                      <w:pPr>
                        <w:spacing w:line="240" w:lineRule="auto"/>
                        <w:ind w:left="0" w:leftChars="0" w:firstLine="0" w:firstLineChars="0"/>
                        <w:jc w:val="right"/>
                        <w:rPr>
                          <w:rFonts w:ascii="黑体" w:hAnsi="黑体" w:eastAsia="黑体"/>
                          <w:b/>
                          <w:bCs/>
                          <w:color w:val="000000"/>
                          <w:sz w:val="44"/>
                          <w:szCs w:val="44"/>
                        </w:rPr>
                      </w:pPr>
                      <w:r>
                        <w:rPr>
                          <w:rFonts w:hint="eastAsia" w:ascii="黑体" w:hAnsi="黑体" w:eastAsia="黑体" w:cs="方正小标宋_GBK"/>
                          <w:b/>
                          <w:bCs/>
                          <w:sz w:val="44"/>
                          <w:szCs w:val="44"/>
                          <w:lang w:val="en-US" w:eastAsia="zh-CN"/>
                        </w:rPr>
                        <w:t>贵州电力建设监理咨询有限责任公司2026年AED除颤仪零星采购技术说明书</w:t>
                      </w:r>
                    </w:p>
                  </w:txbxContent>
                </v:textbox>
              </v:shape>
            </w:pict>
          </mc:Fallback>
        </mc:AlternateContent>
      </w:r>
    </w:p>
    <w:p w14:paraId="4E9611E8">
      <w:pPr>
        <w:ind w:firstLine="723"/>
        <w:jc w:val="center"/>
        <w:rPr>
          <w:b/>
          <w:sz w:val="36"/>
          <w:szCs w:val="36"/>
        </w:rPr>
      </w:pPr>
    </w:p>
    <w:p w14:paraId="322674C2">
      <w:pPr>
        <w:ind w:firstLine="723"/>
        <w:jc w:val="center"/>
        <w:rPr>
          <w:b/>
          <w:sz w:val="36"/>
          <w:szCs w:val="36"/>
        </w:rPr>
      </w:pPr>
    </w:p>
    <w:p w14:paraId="1849F83C">
      <w:pPr>
        <w:ind w:firstLine="723"/>
        <w:jc w:val="center"/>
        <w:rPr>
          <w:b/>
          <w:sz w:val="36"/>
          <w:szCs w:val="36"/>
        </w:rPr>
      </w:pPr>
    </w:p>
    <w:p w14:paraId="43658FA8">
      <w:pPr>
        <w:ind w:firstLine="723"/>
        <w:jc w:val="center"/>
        <w:rPr>
          <w:b/>
          <w:sz w:val="36"/>
          <w:szCs w:val="36"/>
        </w:rPr>
      </w:pPr>
    </w:p>
    <w:p w14:paraId="54E79766">
      <w:pPr>
        <w:ind w:firstLine="723"/>
        <w:jc w:val="center"/>
        <w:rPr>
          <w:b/>
          <w:sz w:val="36"/>
          <w:szCs w:val="36"/>
        </w:rPr>
      </w:pPr>
    </w:p>
    <w:p w14:paraId="653FBA16">
      <w:pPr>
        <w:ind w:firstLine="480"/>
      </w:pPr>
    </w:p>
    <w:p w14:paraId="09F4FC20">
      <w:pPr>
        <w:ind w:firstLine="480"/>
      </w:pPr>
    </w:p>
    <w:p w14:paraId="57D04870">
      <w:pPr>
        <w:ind w:firstLine="480"/>
      </w:pPr>
    </w:p>
    <w:p w14:paraId="328884A5">
      <w:pPr>
        <w:ind w:firstLine="480"/>
      </w:pPr>
    </w:p>
    <w:p w14:paraId="3B42A51B">
      <w:pPr>
        <w:ind w:firstLine="480"/>
      </w:pPr>
    </w:p>
    <w:p w14:paraId="2E03D149">
      <w:pPr>
        <w:pStyle w:val="3"/>
        <w:ind w:firstLine="480"/>
        <w:rPr>
          <w:color w:val="auto"/>
        </w:rPr>
      </w:pPr>
    </w:p>
    <w:p w14:paraId="574728C5">
      <w:pPr>
        <w:snapToGrid/>
        <w:spacing w:after="160" w:line="348" w:lineRule="auto"/>
        <w:ind w:firstLine="643"/>
        <w:jc w:val="center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1082040</wp:posOffset>
                </wp:positionH>
                <wp:positionV relativeFrom="paragraph">
                  <wp:posOffset>372110</wp:posOffset>
                </wp:positionV>
                <wp:extent cx="1828800" cy="1828800"/>
                <wp:effectExtent l="0" t="0" r="0" b="0"/>
                <wp:wrapSquare wrapText="bothSides"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2AEA81B">
                            <w:pPr>
                              <w:adjustRightInd/>
                              <w:snapToGrid/>
                              <w:spacing w:after="160" w:line="348" w:lineRule="auto"/>
                              <w:ind w:left="0" w:leftChars="0" w:firstLine="0" w:firstLineChars="0"/>
                              <w:jc w:val="center"/>
                              <w:rPr>
                                <w:rFonts w:hint="default" w:ascii="黑体" w:hAnsi="黑体" w:eastAsia="黑体" w:cs="黑体"/>
                                <w:b w:val="0"/>
                                <w:bCs w:val="0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 w:val="0"/>
                                <w:sz w:val="32"/>
                                <w:szCs w:val="32"/>
                                <w:lang w:val="en-US" w:eastAsia="zh-CN"/>
                              </w:rPr>
                              <w:t>贵州电力建设监理咨询有限责任公司</w:t>
                            </w:r>
                          </w:p>
                          <w:p w14:paraId="14F6A78E">
                            <w:pPr>
                              <w:adjustRightInd/>
                              <w:snapToGrid/>
                              <w:spacing w:after="160" w:line="348" w:lineRule="auto"/>
                              <w:ind w:left="0" w:leftChars="0" w:firstLine="0" w:firstLineChars="0"/>
                              <w:jc w:val="center"/>
                              <w:rPr>
                                <w:rFonts w:hint="eastAsia" w:ascii="黑体" w:hAnsi="黑体" w:eastAsia="黑体" w:cs="黑体"/>
                                <w:b w:val="0"/>
                                <w:bCs w:val="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 w:val="0"/>
                                <w:sz w:val="32"/>
                                <w:szCs w:val="32"/>
                              </w:rPr>
                              <w:t>202</w:t>
                            </w: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 w:val="0"/>
                                <w:sz w:val="32"/>
                                <w:szCs w:val="32"/>
                                <w:lang w:val="en-US" w:eastAsia="zh-CN"/>
                              </w:rPr>
                              <w:t>6</w:t>
                            </w: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 w:val="0"/>
                                <w:sz w:val="32"/>
                                <w:szCs w:val="32"/>
                              </w:rPr>
                              <w:t>年</w:t>
                            </w: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 w:val="0"/>
                                <w:sz w:val="32"/>
                                <w:szCs w:val="32"/>
                                <w:lang w:val="en-US" w:eastAsia="zh-CN"/>
                              </w:rPr>
                              <w:t>1</w:t>
                            </w: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 w:val="0"/>
                                <w:sz w:val="32"/>
                                <w:szCs w:val="32"/>
                              </w:rPr>
                              <w:t>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5.2pt;margin-top:29.3pt;height:144pt;width:144pt;mso-wrap-distance-bottom:0pt;mso-wrap-distance-left:9pt;mso-wrap-distance-right:9pt;mso-wrap-distance-top:0pt;mso-wrap-style:none;z-index:251662336;mso-width-relative:page;mso-height-relative:page;" filled="f" stroked="f" coordsize="21600,21600" o:gfxdata="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B5NazZ2AAAAAoBAAAPAAAAAAAAAAEAIAAAACIAAABkcnMv&#10;ZG93bnJldi54bWxQSwECFAAUAAAACACHTuJAyJySLjwCAABzBAAADgAAAAAAAAABACAAAAAnAQAA&#10;ZHJzL2Uyb0RvYy54bWxQSwUGAAAAAAYABgBZAQAA1QUAAAAA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72AEA81B">
                      <w:pPr>
                        <w:adjustRightInd/>
                        <w:snapToGrid/>
                        <w:spacing w:after="160" w:line="348" w:lineRule="auto"/>
                        <w:ind w:left="0" w:leftChars="0" w:firstLine="0" w:firstLineChars="0"/>
                        <w:jc w:val="center"/>
                        <w:rPr>
                          <w:rFonts w:hint="default" w:ascii="黑体" w:hAnsi="黑体" w:eastAsia="黑体" w:cs="黑体"/>
                          <w:b w:val="0"/>
                          <w:bCs w:val="0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 w:val="0"/>
                          <w:bCs w:val="0"/>
                          <w:sz w:val="32"/>
                          <w:szCs w:val="32"/>
                          <w:lang w:val="en-US" w:eastAsia="zh-CN"/>
                        </w:rPr>
                        <w:t>贵州电力建设监理咨询有限责任公司</w:t>
                      </w:r>
                    </w:p>
                    <w:p w14:paraId="14F6A78E">
                      <w:pPr>
                        <w:adjustRightInd/>
                        <w:snapToGrid/>
                        <w:spacing w:after="160" w:line="348" w:lineRule="auto"/>
                        <w:ind w:left="0" w:leftChars="0" w:firstLine="0" w:firstLineChars="0"/>
                        <w:jc w:val="center"/>
                        <w:rPr>
                          <w:rFonts w:hint="eastAsia" w:ascii="黑体" w:hAnsi="黑体" w:eastAsia="黑体" w:cs="黑体"/>
                          <w:b w:val="0"/>
                          <w:bCs w:val="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 w:val="0"/>
                          <w:bCs w:val="0"/>
                          <w:sz w:val="32"/>
                          <w:szCs w:val="32"/>
                        </w:rPr>
                        <w:t>202</w:t>
                      </w:r>
                      <w:r>
                        <w:rPr>
                          <w:rFonts w:hint="eastAsia" w:ascii="黑体" w:hAnsi="黑体" w:eastAsia="黑体" w:cs="黑体"/>
                          <w:b w:val="0"/>
                          <w:bCs w:val="0"/>
                          <w:sz w:val="32"/>
                          <w:szCs w:val="32"/>
                          <w:lang w:val="en-US" w:eastAsia="zh-CN"/>
                        </w:rPr>
                        <w:t>6</w:t>
                      </w:r>
                      <w:r>
                        <w:rPr>
                          <w:rFonts w:hint="eastAsia" w:ascii="黑体" w:hAnsi="黑体" w:eastAsia="黑体" w:cs="黑体"/>
                          <w:b w:val="0"/>
                          <w:bCs w:val="0"/>
                          <w:sz w:val="32"/>
                          <w:szCs w:val="32"/>
                        </w:rPr>
                        <w:t>年</w:t>
                      </w:r>
                      <w:r>
                        <w:rPr>
                          <w:rFonts w:hint="eastAsia" w:ascii="黑体" w:hAnsi="黑体" w:eastAsia="黑体" w:cs="黑体"/>
                          <w:b w:val="0"/>
                          <w:bCs w:val="0"/>
                          <w:sz w:val="32"/>
                          <w:szCs w:val="32"/>
                          <w:lang w:val="en-US" w:eastAsia="zh-CN"/>
                        </w:rPr>
                        <w:t>1</w:t>
                      </w:r>
                      <w:r>
                        <w:rPr>
                          <w:rFonts w:hint="eastAsia" w:ascii="黑体" w:hAnsi="黑体" w:eastAsia="黑体" w:cs="黑体"/>
                          <w:b w:val="0"/>
                          <w:bCs w:val="0"/>
                          <w:sz w:val="32"/>
                          <w:szCs w:val="32"/>
                        </w:rPr>
                        <w:t>月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7DB5996">
      <w:pPr>
        <w:rPr>
          <w:b/>
          <w:sz w:val="32"/>
          <w:szCs w:val="32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907" w:h="16840"/>
          <w:pgMar w:top="1440" w:right="1800" w:bottom="1440" w:left="1800" w:header="1304" w:footer="1304" w:gutter="0"/>
          <w:cols w:space="720" w:num="1"/>
          <w:docGrid w:linePitch="326" w:charSpace="0"/>
        </w:sectPr>
      </w:pPr>
      <w:bookmarkStart w:id="0" w:name="_GoBack"/>
      <w:bookmarkEnd w:id="0"/>
    </w:p>
    <w:p w14:paraId="1BC0A410">
      <w:pPr>
        <w:rPr>
          <w:rFonts w:ascii="微软雅黑" w:hAnsi="微软雅黑" w:eastAsia="微软雅黑" w:cs="微软雅黑"/>
          <w:szCs w:val="21"/>
          <w:lang w:eastAsia="zh-Hans"/>
        </w:rPr>
      </w:pPr>
      <w:r>
        <w:rPr>
          <w:rFonts w:hint="eastAsia" w:ascii="微软雅黑" w:hAnsi="微软雅黑" w:eastAsia="微软雅黑" w:cs="微软雅黑"/>
          <w:szCs w:val="21"/>
          <w:lang w:eastAsia="zh-Hans"/>
        </w:rPr>
        <w:t>物理规格</w:t>
      </w:r>
    </w:p>
    <w:p w14:paraId="4862BBAD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kern w:val="0"/>
          <w:szCs w:val="21"/>
        </w:rPr>
        <w:t>整机重量（含电池，电极片）2</w:t>
      </w: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.5</w:t>
      </w:r>
      <w:r>
        <w:rPr>
          <w:rFonts w:hint="eastAsia" w:ascii="微软雅黑" w:hAnsi="微软雅黑" w:eastAsia="微软雅黑" w:cs="微软雅黑"/>
          <w:kern w:val="0"/>
          <w:szCs w:val="21"/>
        </w:rPr>
        <w:t>Kg，具备便携把手，适用于公共场所，供不具备医学及相关专业背景的普通群众培训后，对心脏骤停伤病员进行心脏除颤急救时使用</w:t>
      </w:r>
    </w:p>
    <w:p w14:paraId="0EC6A8BA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主机</w:t>
      </w:r>
      <w:r>
        <w:rPr>
          <w:rFonts w:hint="eastAsia" w:ascii="微软雅黑" w:hAnsi="微软雅黑" w:eastAsia="微软雅黑" w:cs="微软雅黑"/>
          <w:kern w:val="0"/>
          <w:szCs w:val="21"/>
        </w:rPr>
        <w:t>可承受1.6米高度跌落</w:t>
      </w: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后</w:t>
      </w:r>
      <w:r>
        <w:rPr>
          <w:rFonts w:hint="eastAsia" w:ascii="微软雅黑" w:hAnsi="微软雅黑" w:eastAsia="微软雅黑" w:cs="微软雅黑"/>
          <w:kern w:val="0"/>
          <w:szCs w:val="21"/>
        </w:rPr>
        <w:t>保持正常使用</w:t>
      </w:r>
    </w:p>
    <w:p w14:paraId="7643A8FB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主机</w:t>
      </w:r>
      <w:r>
        <w:rPr>
          <w:rFonts w:hint="eastAsia" w:ascii="微软雅黑" w:hAnsi="微软雅黑" w:eastAsia="微软雅黑" w:cs="微软雅黑"/>
          <w:kern w:val="0"/>
          <w:szCs w:val="21"/>
        </w:rPr>
        <w:t>防尘防水级别达到IP55</w:t>
      </w:r>
    </w:p>
    <w:p w14:paraId="1CB694FB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主机</w:t>
      </w:r>
      <w:r>
        <w:rPr>
          <w:rFonts w:hint="eastAsia" w:ascii="微软雅黑" w:hAnsi="微软雅黑" w:eastAsia="微软雅黑" w:cs="微软雅黑"/>
          <w:kern w:val="0"/>
          <w:szCs w:val="21"/>
        </w:rPr>
        <w:t>工作温度范围-5ºC ～55ºC，从室温环境进入到-20°C 环境后，至少能工作 70 分钟</w:t>
      </w:r>
    </w:p>
    <w:p w14:paraId="237E14F6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  <w:lang w:eastAsia="zh-Hans"/>
        </w:rPr>
        <w:t>主机气压海拔</w:t>
      </w:r>
      <w:r>
        <w:rPr>
          <w:rFonts w:hint="eastAsia" w:ascii="微软雅黑" w:hAnsi="微软雅黑" w:eastAsia="微软雅黑" w:cs="微软雅黑"/>
          <w:szCs w:val="21"/>
        </w:rPr>
        <w:t>510hPa~1062hPa，</w:t>
      </w:r>
      <w:r>
        <w:rPr>
          <w:rFonts w:hint="eastAsia" w:ascii="微软雅黑" w:hAnsi="微软雅黑" w:eastAsia="微软雅黑" w:cs="微软雅黑"/>
          <w:szCs w:val="21"/>
          <w:lang w:eastAsia="zh-Hans"/>
        </w:rPr>
        <w:t>产品可支持最高</w:t>
      </w:r>
      <w:r>
        <w:rPr>
          <w:rFonts w:hint="eastAsia" w:ascii="微软雅黑" w:hAnsi="微软雅黑" w:eastAsia="微软雅黑" w:cs="微软雅黑"/>
          <w:szCs w:val="21"/>
        </w:rPr>
        <w:t>5400m</w:t>
      </w:r>
      <w:r>
        <w:rPr>
          <w:rFonts w:hint="eastAsia" w:ascii="微软雅黑" w:hAnsi="微软雅黑" w:eastAsia="微软雅黑" w:cs="微软雅黑"/>
          <w:szCs w:val="21"/>
          <w:lang w:eastAsia="zh-Hans"/>
        </w:rPr>
        <w:t>海拔使用</w:t>
      </w:r>
    </w:p>
    <w:p w14:paraId="36F6E88D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设备铭牌上标注</w:t>
      </w:r>
      <w:r>
        <w:rPr>
          <w:rFonts w:hint="eastAsia" w:ascii="微软雅黑" w:hAnsi="微软雅黑" w:eastAsia="微软雅黑" w:cs="微软雅黑"/>
          <w:kern w:val="0"/>
          <w:szCs w:val="21"/>
        </w:rPr>
        <w:t>主机使用寿命10年</w:t>
      </w:r>
    </w:p>
    <w:p w14:paraId="39443221">
      <w:pPr>
        <w:pStyle w:val="12"/>
        <w:ind w:firstLine="0" w:firstLineChars="0"/>
        <w:rPr>
          <w:rFonts w:ascii="微软雅黑" w:hAnsi="微软雅黑" w:eastAsia="微软雅黑" w:cs="微软雅黑"/>
          <w:szCs w:val="21"/>
          <w:lang w:eastAsia="zh-Hans"/>
        </w:rPr>
      </w:pPr>
      <w:r>
        <w:rPr>
          <w:rFonts w:hint="eastAsia" w:ascii="微软雅黑" w:hAnsi="微软雅黑" w:eastAsia="微软雅黑" w:cs="微软雅黑"/>
          <w:szCs w:val="21"/>
          <w:lang w:eastAsia="zh-Hans"/>
        </w:rPr>
        <w:t>除颤功能</w:t>
      </w:r>
    </w:p>
    <w:p w14:paraId="0843EBB7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kern w:val="0"/>
          <w:szCs w:val="21"/>
        </w:rPr>
        <w:t>除颤技术：采用双相波技术，</w:t>
      </w: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阻抗自动调节</w:t>
      </w:r>
    </w:p>
    <w:p w14:paraId="30B68926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kern w:val="0"/>
          <w:szCs w:val="21"/>
        </w:rPr>
        <w:t>除颤能量：</w:t>
      </w:r>
      <w:r>
        <w:rPr>
          <w:rFonts w:hint="eastAsia" w:ascii="微软雅黑" w:hAnsi="微软雅黑" w:eastAsia="微软雅黑" w:cs="微软雅黑"/>
          <w:kern w:val="0"/>
          <w:szCs w:val="21"/>
          <w:lang w:val="en-US" w:eastAsia="zh-CN"/>
        </w:rPr>
        <w:t>成人</w:t>
      </w:r>
      <w:r>
        <w:rPr>
          <w:rFonts w:hint="eastAsia" w:ascii="微软雅黑" w:hAnsi="微软雅黑" w:eastAsia="微软雅黑" w:cs="微软雅黑"/>
          <w:kern w:val="0"/>
          <w:szCs w:val="21"/>
        </w:rPr>
        <w:t>最大输出能量360J</w:t>
      </w:r>
    </w:p>
    <w:p w14:paraId="65B83D16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支持</w:t>
      </w:r>
      <w:r>
        <w:rPr>
          <w:rFonts w:hint="eastAsia" w:ascii="微软雅黑" w:hAnsi="微软雅黑" w:eastAsia="微软雅黑" w:cs="微软雅黑"/>
          <w:szCs w:val="21"/>
          <w:lang w:val="en-US" w:eastAsia="zh-CN"/>
        </w:rPr>
        <w:t>至少</w:t>
      </w:r>
      <w:r>
        <w:rPr>
          <w:rFonts w:hint="eastAsia" w:ascii="微软雅黑" w:hAnsi="微软雅黑" w:eastAsia="微软雅黑" w:cs="微软雅黑"/>
          <w:szCs w:val="21"/>
        </w:rPr>
        <w:t>300次200J</w:t>
      </w:r>
      <w:r>
        <w:rPr>
          <w:rFonts w:hint="eastAsia" w:ascii="微软雅黑" w:hAnsi="微软雅黑" w:eastAsia="微软雅黑" w:cs="微软雅黑"/>
          <w:szCs w:val="21"/>
          <w:lang w:eastAsia="zh-Hans"/>
        </w:rPr>
        <w:t>或200次360J除颤放电</w:t>
      </w:r>
      <w:r>
        <w:rPr>
          <w:rFonts w:hint="eastAsia" w:ascii="微软雅黑" w:hAnsi="微软雅黑" w:eastAsia="微软雅黑" w:cs="微软雅黑"/>
          <w:szCs w:val="21"/>
          <w:lang w:eastAsia="zh-CN"/>
        </w:rPr>
        <w:t>（</w:t>
      </w:r>
      <w:r>
        <w:rPr>
          <w:rFonts w:hint="eastAsia" w:ascii="微软雅黑" w:hAnsi="微软雅黑" w:eastAsia="微软雅黑" w:cs="微软雅黑"/>
          <w:szCs w:val="21"/>
          <w:lang w:val="en-US" w:eastAsia="zh-CN"/>
        </w:rPr>
        <w:t>带屏款</w:t>
      </w:r>
      <w:r>
        <w:rPr>
          <w:rFonts w:hint="eastAsia" w:ascii="微软雅黑" w:hAnsi="微软雅黑" w:eastAsia="微软雅黑" w:cs="微软雅黑"/>
          <w:szCs w:val="21"/>
          <w:lang w:eastAsia="zh-CN"/>
        </w:rPr>
        <w:t>），</w:t>
      </w:r>
      <w:r>
        <w:rPr>
          <w:rFonts w:hint="eastAsia" w:ascii="微软雅黑" w:hAnsi="微软雅黑" w:eastAsia="微软雅黑" w:cs="微软雅黑"/>
          <w:szCs w:val="21"/>
        </w:rPr>
        <w:t>支持</w:t>
      </w:r>
      <w:r>
        <w:rPr>
          <w:rFonts w:hint="eastAsia" w:ascii="微软雅黑" w:hAnsi="微软雅黑" w:eastAsia="微软雅黑" w:cs="微软雅黑"/>
          <w:szCs w:val="21"/>
          <w:lang w:val="en-US" w:eastAsia="zh-CN"/>
        </w:rPr>
        <w:t>至少</w:t>
      </w:r>
      <w:r>
        <w:rPr>
          <w:rFonts w:hint="eastAsia" w:ascii="微软雅黑" w:hAnsi="微软雅黑" w:eastAsia="微软雅黑" w:cs="微软雅黑"/>
          <w:szCs w:val="21"/>
        </w:rPr>
        <w:t>3</w:t>
      </w:r>
      <w:r>
        <w:rPr>
          <w:rFonts w:hint="eastAsia" w:ascii="微软雅黑" w:hAnsi="微软雅黑" w:eastAsia="微软雅黑" w:cs="微软雅黑"/>
          <w:szCs w:val="21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szCs w:val="21"/>
        </w:rPr>
        <w:t>0次200J</w:t>
      </w:r>
      <w:r>
        <w:rPr>
          <w:rFonts w:hint="eastAsia" w:ascii="微软雅黑" w:hAnsi="微软雅黑" w:eastAsia="微软雅黑" w:cs="微软雅黑"/>
          <w:szCs w:val="21"/>
          <w:lang w:eastAsia="zh-Hans"/>
        </w:rPr>
        <w:t>或2</w:t>
      </w:r>
      <w:r>
        <w:rPr>
          <w:rFonts w:hint="eastAsia" w:ascii="微软雅黑" w:hAnsi="微软雅黑" w:eastAsia="微软雅黑" w:cs="微软雅黑"/>
          <w:szCs w:val="21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Cs w:val="21"/>
          <w:lang w:eastAsia="zh-Hans"/>
        </w:rPr>
        <w:t>0次360J除颤放电</w:t>
      </w:r>
      <w:r>
        <w:rPr>
          <w:rFonts w:hint="eastAsia" w:ascii="微软雅黑" w:hAnsi="微软雅黑" w:eastAsia="微软雅黑" w:cs="微软雅黑"/>
          <w:szCs w:val="21"/>
          <w:lang w:eastAsia="zh-CN"/>
        </w:rPr>
        <w:t>（</w:t>
      </w:r>
      <w:r>
        <w:rPr>
          <w:rFonts w:hint="eastAsia" w:ascii="微软雅黑" w:hAnsi="微软雅黑" w:eastAsia="微软雅黑" w:cs="微软雅黑"/>
          <w:szCs w:val="21"/>
          <w:lang w:val="en-US" w:eastAsia="zh-CN"/>
        </w:rPr>
        <w:t>不带屏款</w:t>
      </w:r>
      <w:r>
        <w:rPr>
          <w:rFonts w:hint="eastAsia" w:ascii="微软雅黑" w:hAnsi="微软雅黑" w:eastAsia="微软雅黑" w:cs="微软雅黑"/>
          <w:szCs w:val="21"/>
          <w:lang w:eastAsia="zh-CN"/>
        </w:rPr>
        <w:t>）</w:t>
      </w:r>
    </w:p>
    <w:p w14:paraId="680C5D5D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开</w:t>
      </w:r>
      <w:r>
        <w:rPr>
          <w:rFonts w:hint="eastAsia" w:ascii="微软雅黑" w:hAnsi="微软雅黑" w:eastAsia="微软雅黑" w:cs="微软雅黑"/>
          <w:szCs w:val="21"/>
          <w:lang w:eastAsia="zh-Hans"/>
        </w:rPr>
        <w:t>机</w:t>
      </w:r>
      <w:r>
        <w:rPr>
          <w:rFonts w:hint="eastAsia" w:ascii="微软雅黑" w:hAnsi="微软雅黑" w:eastAsia="微软雅黑" w:cs="微软雅黑"/>
          <w:szCs w:val="21"/>
        </w:rPr>
        <w:t>到充电至200J</w:t>
      </w:r>
      <w:r>
        <w:rPr>
          <w:rFonts w:hint="eastAsia" w:ascii="微软雅黑" w:hAnsi="微软雅黑" w:eastAsia="微软雅黑" w:cs="微软雅黑"/>
          <w:szCs w:val="21"/>
          <w:lang w:eastAsia="zh-Hans"/>
        </w:rPr>
        <w:t>就绪</w:t>
      </w:r>
      <w:r>
        <w:rPr>
          <w:rFonts w:hint="eastAsia" w:ascii="微软雅黑" w:hAnsi="微软雅黑" w:eastAsia="微软雅黑" w:cs="微软雅黑"/>
          <w:szCs w:val="21"/>
        </w:rPr>
        <w:t>时间6</w:t>
      </w:r>
      <w:r>
        <w:rPr>
          <w:rFonts w:hint="eastAsia" w:ascii="微软雅黑" w:hAnsi="微软雅黑" w:eastAsia="微软雅黑" w:cs="微软雅黑"/>
          <w:szCs w:val="21"/>
          <w:lang w:eastAsia="zh-Hans"/>
        </w:rPr>
        <w:t>秒</w:t>
      </w:r>
    </w:p>
    <w:p w14:paraId="28D1D1D5">
      <w:pPr>
        <w:pStyle w:val="12"/>
        <w:numPr>
          <w:ilvl w:val="0"/>
          <w:numId w:val="2"/>
        </w:numPr>
        <w:ind w:firstLineChars="0"/>
        <w:rPr>
          <w:rFonts w:hint="default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kern w:val="0"/>
          <w:szCs w:val="21"/>
        </w:rPr>
        <w:t>正确粘贴电极片后，能自动进行心律分析，心律</w:t>
      </w: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分析</w:t>
      </w:r>
      <w:r>
        <w:rPr>
          <w:rFonts w:hint="eastAsia" w:ascii="微软雅黑" w:hAnsi="微软雅黑" w:eastAsia="微软雅黑" w:cs="微软雅黑"/>
          <w:kern w:val="0"/>
          <w:szCs w:val="21"/>
        </w:rPr>
        <w:t>到放电准备就绪时间5</w:t>
      </w: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秒</w:t>
      </w:r>
    </w:p>
    <w:p w14:paraId="596DC0B8">
      <w:pPr>
        <w:pStyle w:val="12"/>
        <w:numPr>
          <w:ilvl w:val="0"/>
          <w:numId w:val="2"/>
        </w:numPr>
        <w:ind w:firstLineChars="0"/>
        <w:rPr>
          <w:rFonts w:hint="default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支持12种心律分析数据库（● VFDB：MIT-BIH恶性心室异位数据库；CUDB：CU室速数据库；MITDB：MIT-BIH心律失常数据库；EDB：欧洲ST-T数据库；SVDB：MIT-BIH室上性心律失常数据库；AFDB：MIT-BIH房颤数据库；LTAFDB：长时程房颤数据库；SDDB：心脏猝死动态心电数据库；SHAOXING：用于心律失常研究的大型12导联心电图数据库；AHA：用于评价室性心率失常检测性能的数据库；NST：MIT-BIH噪声压力数据库）</w:t>
      </w:r>
    </w:p>
    <w:p w14:paraId="4785BF84">
      <w:pPr>
        <w:pStyle w:val="12"/>
        <w:numPr>
          <w:ilvl w:val="0"/>
          <w:numId w:val="0"/>
        </w:numPr>
        <w:ind w:leftChars="0"/>
        <w:rPr>
          <w:rFonts w:hint="default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显示屏</w:t>
      </w:r>
    </w:p>
    <w:p w14:paraId="24A6720E">
      <w:pPr>
        <w:pStyle w:val="12"/>
        <w:numPr>
          <w:ilvl w:val="0"/>
          <w:numId w:val="2"/>
        </w:numPr>
        <w:ind w:firstLineChars="0"/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7英寸彩色液晶显示屏，显示ECG波形。</w:t>
      </w:r>
    </w:p>
    <w:p w14:paraId="7BA94BDF">
      <w:pPr>
        <w:pStyle w:val="12"/>
        <w:numPr>
          <w:ilvl w:val="0"/>
          <w:numId w:val="2"/>
        </w:numPr>
        <w:ind w:firstLineChars="0"/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显示屏分辨率：800×480像素</w:t>
      </w:r>
    </w:p>
    <w:p w14:paraId="703AED81">
      <w:pPr>
        <w:pStyle w:val="12"/>
        <w:numPr>
          <w:ilvl w:val="0"/>
          <w:numId w:val="2"/>
        </w:numPr>
        <w:ind w:firstLineChars="0"/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具有自动、室内、室外三种显示模式，自动模式下，显示屏会根据环境光线亮度自动调节亮度</w:t>
      </w:r>
    </w:p>
    <w:p w14:paraId="0509CFA1">
      <w:pPr>
        <w:pStyle w:val="12"/>
        <w:numPr>
          <w:ilvl w:val="0"/>
          <w:numId w:val="2"/>
        </w:numPr>
        <w:ind w:firstLineChars="0"/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除颤后波形恢复时间＜2s</w:t>
      </w:r>
    </w:p>
    <w:p w14:paraId="32A0A875">
      <w:pPr>
        <w:pStyle w:val="12"/>
        <w:numPr>
          <w:ilvl w:val="0"/>
          <w:numId w:val="2"/>
        </w:numPr>
        <w:ind w:firstLineChars="0"/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心电波形显示时间最大不小于6s</w:t>
      </w:r>
    </w:p>
    <w:p w14:paraId="561A6812">
      <w:pPr>
        <w:pStyle w:val="12"/>
        <w:numPr>
          <w:ilvl w:val="0"/>
          <w:numId w:val="2"/>
        </w:numPr>
        <w:ind w:firstLineChars="0"/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电池电量支持多档位分格显示和百分比显示</w:t>
      </w:r>
    </w:p>
    <w:p w14:paraId="3B46863C">
      <w:pPr>
        <w:pStyle w:val="12"/>
        <w:numPr>
          <w:ilvl w:val="0"/>
          <w:numId w:val="2"/>
        </w:numPr>
        <w:ind w:firstLineChars="0"/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屏幕上具有电极片粘贴位置提示</w:t>
      </w:r>
    </w:p>
    <w:p w14:paraId="57B7E268">
      <w:pPr>
        <w:pStyle w:val="12"/>
        <w:numPr>
          <w:ilvl w:val="0"/>
          <w:numId w:val="2"/>
        </w:numPr>
        <w:ind w:firstLineChars="0"/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可对操作者进行动画指导，提示操作者</w:t>
      </w:r>
    </w:p>
    <w:p w14:paraId="79E77CA3">
      <w:pPr>
        <w:pStyle w:val="12"/>
        <w:numPr>
          <w:ilvl w:val="0"/>
          <w:numId w:val="2"/>
        </w:numPr>
        <w:ind w:firstLineChars="0"/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主机屏幕支持通过不同颜色，显示按压频率，指导操作者</w:t>
      </w:r>
    </w:p>
    <w:p w14:paraId="7164F518">
      <w:pPr>
        <w:pStyle w:val="12"/>
        <w:ind w:firstLine="0" w:firstLineChars="0"/>
        <w:rPr>
          <w:rFonts w:ascii="微软雅黑" w:hAnsi="微软雅黑" w:eastAsia="微软雅黑" w:cs="微软雅黑"/>
          <w:szCs w:val="21"/>
          <w:lang w:eastAsia="zh-Hans"/>
        </w:rPr>
      </w:pPr>
      <w:r>
        <w:rPr>
          <w:rFonts w:hint="eastAsia" w:ascii="微软雅黑" w:hAnsi="微软雅黑" w:eastAsia="微软雅黑" w:cs="微软雅黑"/>
          <w:szCs w:val="21"/>
          <w:lang w:eastAsia="zh-Hans"/>
        </w:rPr>
        <w:t>设备操作</w:t>
      </w:r>
    </w:p>
    <w:p w14:paraId="491B932D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设备支持一键切换</w:t>
      </w:r>
      <w:r>
        <w:rPr>
          <w:rFonts w:hint="eastAsia" w:ascii="微软雅黑" w:hAnsi="微软雅黑" w:eastAsia="微软雅黑" w:cs="微软雅黑"/>
          <w:szCs w:val="21"/>
          <w:lang w:eastAsia="zh-Hans"/>
        </w:rPr>
        <w:t>语言，</w:t>
      </w: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最高支持</w:t>
      </w:r>
      <w:r>
        <w:rPr>
          <w:rFonts w:hint="eastAsia" w:ascii="微软雅黑" w:hAnsi="微软雅黑" w:eastAsia="微软雅黑" w:cs="微软雅黑"/>
          <w:kern w:val="0"/>
          <w:szCs w:val="21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种语音（</w:t>
      </w:r>
      <w:r>
        <w:rPr>
          <w:rFonts w:hint="eastAsia" w:ascii="微软雅黑" w:hAnsi="微软雅黑" w:eastAsia="微软雅黑" w:cs="微软雅黑"/>
          <w:kern w:val="0"/>
          <w:szCs w:val="21"/>
          <w:lang w:val="en-US" w:eastAsia="zh-CN"/>
        </w:rPr>
        <w:t>默认</w:t>
      </w: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中、英</w:t>
      </w:r>
      <w:r>
        <w:rPr>
          <w:rFonts w:ascii="微软雅黑" w:hAnsi="微软雅黑" w:eastAsia="微软雅黑" w:cs="微软雅黑"/>
          <w:kern w:val="0"/>
          <w:szCs w:val="21"/>
          <w:lang w:eastAsia="zh-Hans"/>
        </w:rPr>
        <w:t>、</w:t>
      </w:r>
      <w:r>
        <w:rPr>
          <w:rFonts w:hint="eastAsia" w:ascii="微软雅黑" w:hAnsi="微软雅黑" w:eastAsia="微软雅黑" w:cs="微软雅黑"/>
          <w:kern w:val="0"/>
          <w:szCs w:val="21"/>
          <w:lang w:val="en-US" w:eastAsia="zh-CN"/>
        </w:rPr>
        <w:t>可配置</w:t>
      </w: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）</w:t>
      </w:r>
    </w:p>
    <w:p w14:paraId="41EA101F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一键切换</w:t>
      </w: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成人/儿童模式</w:t>
      </w:r>
    </w:p>
    <w:p w14:paraId="4B7948E2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具</w:t>
      </w:r>
      <w:r>
        <w:rPr>
          <w:rFonts w:hint="eastAsia" w:ascii="微软雅黑" w:hAnsi="微软雅黑" w:eastAsia="微软雅黑" w:cs="微软雅黑"/>
          <w:szCs w:val="21"/>
          <w:lang w:eastAsia="zh-Hans"/>
        </w:rPr>
        <w:t>备</w:t>
      </w:r>
      <w:r>
        <w:rPr>
          <w:rFonts w:hint="eastAsia" w:ascii="微软雅黑" w:hAnsi="微软雅黑" w:eastAsia="微软雅黑" w:cs="微软雅黑"/>
          <w:szCs w:val="21"/>
        </w:rPr>
        <w:t>语音</w:t>
      </w:r>
      <w:r>
        <w:rPr>
          <w:rFonts w:hint="eastAsia" w:ascii="微软雅黑" w:hAnsi="微软雅黑" w:eastAsia="微软雅黑" w:cs="微软雅黑"/>
          <w:szCs w:val="21"/>
          <w:lang w:val="en-US" w:eastAsia="zh-CN"/>
        </w:rPr>
        <w:t>/动画/图文</w:t>
      </w:r>
      <w:r>
        <w:rPr>
          <w:rFonts w:hint="eastAsia" w:ascii="微软雅黑" w:hAnsi="微软雅黑" w:eastAsia="微软雅黑" w:cs="微软雅黑"/>
          <w:szCs w:val="21"/>
        </w:rPr>
        <w:t>指导用户执行急救操作</w:t>
      </w:r>
    </w:p>
    <w:p w14:paraId="6D0B855C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  <w:lang w:eastAsia="zh-Hans"/>
        </w:rPr>
        <w:t>可根据环境噪音自动调节音量</w:t>
      </w:r>
      <w:r>
        <w:rPr>
          <w:rFonts w:ascii="微软雅黑" w:hAnsi="微软雅黑" w:eastAsia="微软雅黑" w:cs="微软雅黑"/>
          <w:szCs w:val="21"/>
          <w:lang w:eastAsia="zh-Hans"/>
        </w:rPr>
        <w:t>，</w:t>
      </w:r>
      <w:r>
        <w:rPr>
          <w:rFonts w:hint="eastAsia" w:ascii="微软雅黑" w:hAnsi="微软雅黑" w:eastAsia="微软雅黑" w:cs="微软雅黑"/>
          <w:szCs w:val="21"/>
          <w:lang w:eastAsia="zh-Hans"/>
        </w:rPr>
        <w:t>音量</w:t>
      </w:r>
      <w:r>
        <w:rPr>
          <w:rFonts w:ascii="微软雅黑" w:hAnsi="微软雅黑" w:eastAsia="微软雅黑" w:cs="微软雅黑"/>
          <w:szCs w:val="21"/>
          <w:lang w:eastAsia="zh-Hans"/>
        </w:rPr>
        <w:t>最高可达90分贝</w:t>
      </w:r>
    </w:p>
    <w:p w14:paraId="6E081647">
      <w:pPr>
        <w:pStyle w:val="12"/>
        <w:ind w:firstLine="0" w:firstLineChars="0"/>
        <w:rPr>
          <w:rFonts w:ascii="微软雅黑" w:hAnsi="微软雅黑" w:eastAsia="微软雅黑" w:cs="微软雅黑"/>
          <w:szCs w:val="21"/>
          <w:lang w:eastAsia="zh-Hans"/>
        </w:rPr>
      </w:pPr>
      <w:r>
        <w:rPr>
          <w:rFonts w:hint="eastAsia" w:ascii="微软雅黑" w:hAnsi="微软雅黑" w:eastAsia="微软雅黑" w:cs="微软雅黑"/>
          <w:szCs w:val="21"/>
          <w:lang w:eastAsia="zh-Hans"/>
        </w:rPr>
        <w:t>数据传输和存储</w:t>
      </w:r>
    </w:p>
    <w:p w14:paraId="474B855F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支持内置4G无线数据传输功能</w:t>
      </w:r>
    </w:p>
    <w:p w14:paraId="374876C9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kern w:val="0"/>
          <w:szCs w:val="21"/>
        </w:rPr>
        <w:t>设备</w:t>
      </w: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标配内部存储容量</w:t>
      </w:r>
      <w:r>
        <w:rPr>
          <w:rFonts w:hint="eastAsia" w:ascii="微软雅黑" w:hAnsi="微软雅黑" w:eastAsia="微软雅黑" w:cs="微软雅黑"/>
          <w:kern w:val="0"/>
          <w:szCs w:val="21"/>
        </w:rPr>
        <w:t>3GB</w:t>
      </w:r>
    </w:p>
    <w:p w14:paraId="7201DEB9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  <w:lang w:eastAsia="zh-Hans"/>
        </w:rPr>
        <w:t>设备</w:t>
      </w:r>
      <w:r>
        <w:rPr>
          <w:rFonts w:hint="eastAsia" w:ascii="微软雅黑" w:hAnsi="微软雅黑" w:eastAsia="微软雅黑" w:cs="微软雅黑"/>
          <w:szCs w:val="21"/>
        </w:rPr>
        <w:t>可存储记录数据：自检记录、</w:t>
      </w:r>
      <w:r>
        <w:rPr>
          <w:rFonts w:hint="eastAsia" w:ascii="微软雅黑" w:hAnsi="微软雅黑" w:eastAsia="微软雅黑" w:cs="微软雅黑"/>
          <w:color w:val="333333"/>
          <w:szCs w:val="21"/>
        </w:rPr>
        <w:t>ECG波形记录、</w:t>
      </w:r>
      <w:r>
        <w:rPr>
          <w:rFonts w:hint="eastAsia" w:ascii="微软雅黑" w:hAnsi="微软雅黑" w:eastAsia="微软雅黑" w:cs="微软雅黑"/>
          <w:szCs w:val="21"/>
        </w:rPr>
        <w:t>事件数据、</w:t>
      </w:r>
      <w:r>
        <w:rPr>
          <w:rFonts w:hint="eastAsia" w:ascii="微软雅黑" w:hAnsi="微软雅黑" w:eastAsia="微软雅黑" w:cs="微软雅黑"/>
          <w:color w:val="333333"/>
          <w:szCs w:val="21"/>
        </w:rPr>
        <w:t>现场录音记录</w:t>
      </w:r>
      <w:r>
        <w:rPr>
          <w:rFonts w:hint="eastAsia" w:ascii="微软雅黑" w:hAnsi="微软雅黑" w:eastAsia="微软雅黑" w:cs="微软雅黑"/>
          <w:szCs w:val="21"/>
        </w:rPr>
        <w:t>等</w:t>
      </w:r>
    </w:p>
    <w:p w14:paraId="4CCA5A04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设备</w:t>
      </w:r>
      <w:r>
        <w:rPr>
          <w:rFonts w:hint="eastAsia" w:ascii="微软雅黑" w:hAnsi="微软雅黑" w:eastAsia="微软雅黑" w:cs="微软雅黑"/>
          <w:kern w:val="0"/>
          <w:szCs w:val="21"/>
        </w:rPr>
        <w:t>可存储ECG波形10</w:t>
      </w: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小时，</w:t>
      </w:r>
      <w:r>
        <w:rPr>
          <w:rFonts w:hint="eastAsia" w:ascii="微软雅黑" w:hAnsi="微软雅黑" w:eastAsia="微软雅黑" w:cs="微软雅黑"/>
          <w:kern w:val="0"/>
          <w:szCs w:val="21"/>
        </w:rPr>
        <w:t>自检数据3650</w:t>
      </w: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份，</w:t>
      </w:r>
      <w:r>
        <w:rPr>
          <w:rFonts w:hint="eastAsia" w:ascii="微软雅黑" w:hAnsi="微软雅黑" w:eastAsia="微软雅黑" w:cs="微软雅黑"/>
          <w:kern w:val="0"/>
          <w:szCs w:val="21"/>
        </w:rPr>
        <w:t>日志数10000</w:t>
      </w: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份，</w:t>
      </w:r>
      <w:r>
        <w:rPr>
          <w:rFonts w:hint="eastAsia" w:ascii="微软雅黑" w:hAnsi="微软雅黑" w:eastAsia="微软雅黑" w:cs="微软雅黑"/>
          <w:kern w:val="0"/>
          <w:szCs w:val="21"/>
        </w:rPr>
        <w:t>可保存120分钟抢救现场录音</w:t>
      </w:r>
    </w:p>
    <w:p w14:paraId="09EC1A35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支持USB接口，可通过外部闪存设备导出抢救记录数据</w:t>
      </w:r>
      <w:r>
        <w:rPr>
          <w:rFonts w:hint="eastAsia" w:ascii="微软雅黑" w:hAnsi="微软雅黑" w:eastAsia="微软雅黑" w:cs="微软雅黑"/>
          <w:szCs w:val="21"/>
          <w:lang w:eastAsia="zh-Hans"/>
        </w:rPr>
        <w:t>和设备升级</w:t>
      </w:r>
    </w:p>
    <w:p w14:paraId="41B6130F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具备自检功能：具有开机自检、每天、</w:t>
      </w:r>
      <w:r>
        <w:rPr>
          <w:rFonts w:hint="eastAsia" w:ascii="微软雅黑" w:hAnsi="微软雅黑" w:eastAsia="微软雅黑" w:cs="微软雅黑"/>
          <w:szCs w:val="21"/>
          <w:lang w:val="en-US" w:eastAsia="zh-CN"/>
        </w:rPr>
        <w:t>每周、</w:t>
      </w:r>
      <w:r>
        <w:rPr>
          <w:rFonts w:hint="eastAsia" w:ascii="微软雅黑" w:hAnsi="微软雅黑" w:eastAsia="微软雅黑" w:cs="微软雅黑"/>
          <w:szCs w:val="21"/>
        </w:rPr>
        <w:t>每月、</w:t>
      </w:r>
      <w:r>
        <w:rPr>
          <w:rFonts w:hint="eastAsia" w:ascii="微软雅黑" w:hAnsi="微软雅黑" w:eastAsia="微软雅黑" w:cs="微软雅黑"/>
          <w:szCs w:val="21"/>
          <w:lang w:val="en-US" w:eastAsia="zh-CN"/>
        </w:rPr>
        <w:t>每季度、</w:t>
      </w:r>
      <w:r>
        <w:rPr>
          <w:rFonts w:hint="eastAsia" w:ascii="微软雅黑" w:hAnsi="微软雅黑" w:eastAsia="微软雅黑" w:cs="微软雅黑"/>
          <w:szCs w:val="21"/>
          <w:lang w:eastAsia="zh-Hans"/>
        </w:rPr>
        <w:t>每半年</w:t>
      </w:r>
      <w:r>
        <w:rPr>
          <w:rFonts w:hint="eastAsia" w:ascii="微软雅黑" w:hAnsi="微软雅黑" w:eastAsia="微软雅黑" w:cs="微软雅黑"/>
          <w:szCs w:val="21"/>
        </w:rPr>
        <w:t>自检功能。</w:t>
      </w:r>
    </w:p>
    <w:p w14:paraId="0105FBF2">
      <w:pPr>
        <w:pStyle w:val="12"/>
        <w:ind w:firstLine="0" w:firstLineChars="0"/>
        <w:rPr>
          <w:rFonts w:ascii="微软雅黑" w:hAnsi="微软雅黑" w:eastAsia="微软雅黑" w:cs="微软雅黑"/>
          <w:szCs w:val="21"/>
          <w:lang w:eastAsia="zh-Hans"/>
        </w:rPr>
      </w:pPr>
      <w:r>
        <w:rPr>
          <w:rFonts w:hint="eastAsia" w:ascii="微软雅黑" w:hAnsi="微软雅黑" w:eastAsia="微软雅黑" w:cs="微软雅黑"/>
          <w:szCs w:val="21"/>
          <w:lang w:eastAsia="zh-Hans"/>
        </w:rPr>
        <w:t>电池与耗材配件</w:t>
      </w:r>
    </w:p>
    <w:p w14:paraId="5D9F300E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主机</w:t>
      </w:r>
      <w:r>
        <w:rPr>
          <w:rFonts w:hint="eastAsia" w:ascii="微软雅黑" w:hAnsi="微软雅黑" w:eastAsia="微软雅黑" w:cs="微软雅黑"/>
          <w:kern w:val="0"/>
          <w:szCs w:val="21"/>
        </w:rPr>
        <w:t>配备高性能一次性锂电池，电池</w:t>
      </w: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加密识别</w:t>
      </w:r>
      <w:r>
        <w:rPr>
          <w:rFonts w:ascii="微软雅黑" w:hAnsi="微软雅黑" w:eastAsia="微软雅黑" w:cs="微软雅黑"/>
          <w:kern w:val="0"/>
          <w:szCs w:val="21"/>
          <w:lang w:eastAsia="zh-Hans"/>
        </w:rPr>
        <w:t>，</w:t>
      </w:r>
      <w:r>
        <w:rPr>
          <w:rFonts w:hint="eastAsia" w:ascii="微软雅黑" w:hAnsi="微软雅黑" w:eastAsia="微软雅黑" w:cs="微软雅黑"/>
          <w:kern w:val="0"/>
          <w:szCs w:val="21"/>
        </w:rPr>
        <w:t>待机寿命6年</w:t>
      </w:r>
    </w:p>
    <w:p w14:paraId="3F036B52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kern w:val="0"/>
          <w:szCs w:val="21"/>
        </w:rPr>
        <w:t>低电量报警后可保持30分钟工作时间和10次200J除颤放电</w:t>
      </w: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或6</w:t>
      </w:r>
      <w:r>
        <w:rPr>
          <w:rFonts w:hint="eastAsia" w:ascii="微软雅黑" w:hAnsi="微软雅黑" w:eastAsia="微软雅黑" w:cs="微软雅黑"/>
          <w:kern w:val="0"/>
          <w:szCs w:val="21"/>
        </w:rPr>
        <w:t>次360J除颤放电</w:t>
      </w:r>
    </w:p>
    <w:p w14:paraId="0138ECC1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kern w:val="0"/>
          <w:szCs w:val="21"/>
        </w:rPr>
        <w:t>电极片有效期</w:t>
      </w:r>
      <w:r>
        <w:rPr>
          <w:rFonts w:hint="eastAsia" w:ascii="微软雅黑" w:hAnsi="微软雅黑" w:eastAsia="微软雅黑" w:cs="微软雅黑"/>
          <w:kern w:val="0"/>
          <w:szCs w:val="21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年</w:t>
      </w:r>
    </w:p>
    <w:p w14:paraId="3556B236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设备</w:t>
      </w:r>
      <w:r>
        <w:rPr>
          <w:rFonts w:hint="eastAsia" w:ascii="微软雅黑" w:hAnsi="微软雅黑" w:eastAsia="微软雅黑" w:cs="微软雅黑"/>
          <w:kern w:val="0"/>
          <w:szCs w:val="21"/>
        </w:rPr>
        <w:t>配置4</w:t>
      </w: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合1</w:t>
      </w:r>
      <w:r>
        <w:rPr>
          <w:rFonts w:hint="eastAsia" w:ascii="微软雅黑" w:hAnsi="微软雅黑" w:eastAsia="微软雅黑" w:cs="微软雅黑"/>
          <w:kern w:val="0"/>
          <w:szCs w:val="21"/>
        </w:rPr>
        <w:t>急救</w:t>
      </w:r>
      <w:r>
        <w:rPr>
          <w:rFonts w:hint="eastAsia" w:ascii="微软雅黑" w:hAnsi="微软雅黑" w:eastAsia="微软雅黑" w:cs="微软雅黑"/>
          <w:kern w:val="0"/>
          <w:szCs w:val="21"/>
          <w:lang w:eastAsia="zh-Hans"/>
        </w:rPr>
        <w:t>附件包</w:t>
      </w:r>
      <w:r>
        <w:rPr>
          <w:rFonts w:hint="eastAsia" w:ascii="微软雅黑" w:hAnsi="微软雅黑" w:eastAsia="微软雅黑" w:cs="微软雅黑"/>
          <w:kern w:val="0"/>
          <w:szCs w:val="21"/>
        </w:rPr>
        <w:t>，包含一次性丁腈手套，人工呼吸面膜，剪刀、剃毛刀，为志愿者抢救安全及效率提供保障。</w:t>
      </w:r>
    </w:p>
    <w:p w14:paraId="096D4AA4">
      <w:pPr>
        <w:pStyle w:val="12"/>
        <w:numPr>
          <w:ilvl w:val="0"/>
          <w:numId w:val="2"/>
        </w:numPr>
        <w:ind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kern w:val="0"/>
          <w:szCs w:val="21"/>
          <w:lang w:val="en-US" w:eastAsia="zh-CN"/>
        </w:rPr>
        <w:t>设备配套专用储存箱，箱体印刷有明显的使用流程，方便使用。</w:t>
      </w:r>
    </w:p>
    <w:p w14:paraId="22217EA8">
      <w:pPr>
        <w:pStyle w:val="2"/>
        <w:numPr>
          <w:ilvl w:val="1"/>
          <w:numId w:val="0"/>
        </w:num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CCDD4A">
    <w:pPr>
      <w:pStyle w:val="5"/>
      <w:ind w:firstLine="36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628F5B">
    <w:pPr>
      <w:pStyle w:val="5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065F18">
    <w:pPr>
      <w:pStyle w:val="5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2061B1">
    <w:pPr>
      <w:pBdr>
        <w:bottom w:val="none" w:color="auto" w:sz="0" w:space="1"/>
      </w:pBdr>
      <w:tabs>
        <w:tab w:val="right" w:pos="8880"/>
      </w:tabs>
      <w:wordWrap w:val="0"/>
      <w:spacing w:line="240" w:lineRule="auto"/>
      <w:ind w:right="23" w:firstLine="480"/>
      <w:rPr>
        <w:sz w:val="18"/>
        <w:szCs w:val="18"/>
      </w:rPr>
    </w:pPr>
    <w:r>
      <w:rPr>
        <w:rFonts w:hint="eastAsia"/>
      </w:rPr>
      <w:t xml:space="preserve">       </w:t>
    </w:r>
    <w:r>
      <w:t xml:space="preserve">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699E3F">
    <w:pPr>
      <w:pStyle w:val="6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DCF4DA">
    <w:pPr>
      <w:pStyle w:val="6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9A3491"/>
    <w:multiLevelType w:val="multilevel"/>
    <w:tmpl w:val="0B9A3491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bullet"/>
      <w:lvlText w:val="▲"/>
      <w:lvlJc w:val="left"/>
      <w:pPr>
        <w:ind w:left="780" w:hanging="360"/>
      </w:pPr>
      <w:rPr>
        <w:rFonts w:hint="eastAsia" w:ascii="微软雅黑" w:hAnsi="微软雅黑" w:eastAsia="微软雅黑" w:cstheme="minorBidi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1158946"/>
    <w:multiLevelType w:val="multilevel"/>
    <w:tmpl w:val="11158946"/>
    <w:lvl w:ilvl="0" w:tentative="0">
      <w:start w:val="1"/>
      <w:numFmt w:val="decimal"/>
      <w:suff w:val="space"/>
      <w:lvlText w:val="%1"/>
      <w:lvlJc w:val="left"/>
      <w:pPr>
        <w:tabs>
          <w:tab w:val="left" w:pos="0"/>
        </w:tabs>
        <w:ind w:left="432" w:hanging="432"/>
      </w:pPr>
      <w:rPr>
        <w:rFonts w:hint="default" w:ascii="宋体" w:hAnsi="宋体" w:eastAsia="宋体" w:cs="仿宋_GB2312"/>
      </w:rPr>
    </w:lvl>
    <w:lvl w:ilvl="1" w:tentative="0">
      <w:start w:val="1"/>
      <w:numFmt w:val="decimal"/>
      <w:pStyle w:val="2"/>
      <w:isLgl/>
      <w:suff w:val="space"/>
      <w:lvlText w:val="%1.%2"/>
      <w:lvlJc w:val="left"/>
      <w:pPr>
        <w:tabs>
          <w:tab w:val="left" w:pos="2126"/>
        </w:tabs>
        <w:ind w:left="2701" w:hanging="575"/>
      </w:pPr>
      <w:rPr>
        <w:rFonts w:hint="eastAsia" w:ascii="宋体" w:hAnsi="宋体" w:eastAsia="宋体" w:cs="仿宋_GB2312"/>
      </w:rPr>
    </w:lvl>
    <w:lvl w:ilvl="2" w:tentative="0">
      <w:start w:val="1"/>
      <w:numFmt w:val="decimal"/>
      <w:isLgl/>
      <w:suff w:val="space"/>
      <w:lvlText w:val="%1.%2.%3"/>
      <w:lvlJc w:val="left"/>
      <w:pPr>
        <w:tabs>
          <w:tab w:val="left" w:pos="420"/>
        </w:tabs>
        <w:ind w:left="720" w:hanging="720"/>
      </w:pPr>
      <w:rPr>
        <w:rFonts w:hint="eastAsia" w:ascii="宋体" w:hAnsi="宋体" w:eastAsia="宋体" w:cs="仿宋_GB2312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30F"/>
    <w:rsid w:val="0008205A"/>
    <w:rsid w:val="001349F3"/>
    <w:rsid w:val="002575A0"/>
    <w:rsid w:val="002F030F"/>
    <w:rsid w:val="006315E5"/>
    <w:rsid w:val="008B1FE3"/>
    <w:rsid w:val="00B01270"/>
    <w:rsid w:val="00BE2DA8"/>
    <w:rsid w:val="00E06032"/>
    <w:rsid w:val="00E9418F"/>
    <w:rsid w:val="0F7D5898"/>
    <w:rsid w:val="1C05530D"/>
    <w:rsid w:val="2AF47B16"/>
    <w:rsid w:val="31F82F08"/>
    <w:rsid w:val="3FE65EB2"/>
    <w:rsid w:val="4C1A0EB0"/>
    <w:rsid w:val="637561DB"/>
    <w:rsid w:val="676C2FBE"/>
    <w:rsid w:val="7350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9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numPr>
        <w:ilvl w:val="1"/>
        <w:numId w:val="1"/>
      </w:numPr>
      <w:tabs>
        <w:tab w:val="left" w:pos="420"/>
      </w:tabs>
      <w:ind w:left="575" w:firstLine="0" w:firstLineChars="0"/>
      <w:outlineLvl w:val="1"/>
    </w:pPr>
    <w:rPr>
      <w:kern w:val="0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rPr>
      <w:rFonts w:eastAsia="仿宋_GB2312"/>
      <w:color w:val="000000"/>
    </w:rPr>
  </w:style>
  <w:style w:type="paragraph" w:styleId="4">
    <w:name w:val="Title"/>
    <w:basedOn w:val="1"/>
    <w:next w:val="1"/>
    <w:qFormat/>
    <w:uiPriority w:val="99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5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字符"/>
    <w:basedOn w:val="8"/>
    <w:link w:val="6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5"/>
    <w:qFormat/>
    <w:uiPriority w:val="99"/>
    <w:rPr>
      <w:sz w:val="18"/>
      <w:szCs w:val="18"/>
    </w:rPr>
  </w:style>
  <w:style w:type="paragraph" w:customStyle="1" w:styleId="11">
    <w:name w:val="真正正文"/>
    <w:basedOn w:val="1"/>
    <w:qFormat/>
    <w:uiPriority w:val="0"/>
    <w:pPr>
      <w:spacing w:line="560" w:lineRule="exact"/>
    </w:pPr>
    <w:rPr>
      <w:rFonts w:ascii="仿宋_GB2312" w:hAnsi="仿宋_GB2312"/>
      <w:color w:val="000000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831</Words>
  <Characters>1078</Characters>
  <Lines>8</Lines>
  <Paragraphs>2</Paragraphs>
  <TotalTime>2</TotalTime>
  <ScaleCrop>false</ScaleCrop>
  <LinksUpToDate>false</LinksUpToDate>
  <CharactersWithSpaces>1121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2023-05-11T06:54:00Z</dcterms:created>
  <dc:creator>张 俊威</dc:creator>
  <cp:lastModifiedBy>tanming</cp:lastModifiedBy>
  <dcterms:modified xsi:type="dcterms:W3CDTF">2026-01-23T05:59:04Z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C5A54B3711184310A46720464B5E80A3_13</vt:lpwstr>
  </property>
  <property fmtid="{D5CDD505-2E9C-101B-9397-08002B2CF9AE}" pid="4" name="KSOTemplateDocerSaveRecord">
    <vt:lpwstr>eyJoZGlkIjoiMGU3M2UzOWY4MzE0MzY5YzQ2MzI5Mzg2YTA4NjQyOWEiLCJ1c2VySWQiOiIyNDc1MDY3NDQifQ==</vt:lpwstr>
  </property>
</Properties>
</file>