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before="156"/>
        <w:jc w:val="center"/>
        <w:rPr>
          <w:rFonts w:hint="eastAsia" w:ascii="仿宋" w:hAnsi="仿宋" w:eastAsia="仿宋" w:cs="仿宋"/>
          <w:b/>
          <w:bCs w:val="0"/>
          <w:color w:val="000000"/>
          <w:sz w:val="36"/>
          <w:szCs w:val="36"/>
          <w:u w:val="none"/>
          <w:lang w:val="en-US" w:eastAsia="zh-CN"/>
        </w:rPr>
      </w:pPr>
      <w:bookmarkStart w:id="0" w:name="_Toc349031711"/>
      <w:r>
        <w:rPr>
          <w:rFonts w:ascii="Calibri" w:hAnsi="Calibri" w:eastAsia="宋体" w:cs="Times New Roman"/>
          <w:kern w:val="2"/>
          <w:sz w:val="21"/>
          <w:szCs w:val="22"/>
          <w:lang w:val="en-US" w:eastAsia="zh-CN" w:bidi="ar-SA"/>
        </w:rPr>
        <w:drawing>
          <wp:anchor distT="0" distB="0" distL="114300" distR="114300" simplePos="0" relativeHeight="251659264" behindDoc="1" locked="0" layoutInCell="1" allowOverlap="1">
            <wp:simplePos x="0" y="0"/>
            <wp:positionH relativeFrom="page">
              <wp:posOffset>4445</wp:posOffset>
            </wp:positionH>
            <wp:positionV relativeFrom="paragraph">
              <wp:posOffset>-711200</wp:posOffset>
            </wp:positionV>
            <wp:extent cx="8046085" cy="7741285"/>
            <wp:effectExtent l="0" t="0" r="12065" b="12065"/>
            <wp:wrapNone/>
            <wp:docPr id="2"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5"/>
                    <pic:cNvPicPr>
                      <a:picLocks noChangeAspect="1"/>
                    </pic:cNvPicPr>
                  </pic:nvPicPr>
                  <pic:blipFill>
                    <a:blip r:embed="rId5">
                      <a:lum/>
                    </a:blip>
                    <a:stretch>
                      <a:fillRect/>
                    </a:stretch>
                  </pic:blipFill>
                  <pic:spPr>
                    <a:xfrm>
                      <a:off x="0" y="0"/>
                      <a:ext cx="8046085" cy="7741285"/>
                    </a:xfrm>
                    <a:prstGeom prst="rect">
                      <a:avLst/>
                    </a:prstGeom>
                    <a:noFill/>
                    <a:ln>
                      <a:noFill/>
                    </a:ln>
                  </pic:spPr>
                </pic:pic>
              </a:graphicData>
            </a:graphic>
          </wp:anchor>
        </w:drawing>
      </w:r>
    </w:p>
    <w:p>
      <w:pPr>
        <w:spacing w:before="156"/>
        <w:jc w:val="center"/>
        <w:rPr>
          <w:rFonts w:hint="eastAsia" w:ascii="仿宋" w:hAnsi="仿宋" w:eastAsia="仿宋" w:cs="仿宋"/>
          <w:b/>
          <w:bCs w:val="0"/>
          <w:color w:val="000000"/>
          <w:sz w:val="36"/>
          <w:szCs w:val="36"/>
          <w:u w:val="none"/>
          <w:lang w:val="en-US" w:eastAsia="zh-CN"/>
        </w:rPr>
      </w:pPr>
    </w:p>
    <w:p>
      <w:pPr>
        <w:spacing w:before="156"/>
        <w:jc w:val="center"/>
        <w:rPr>
          <w:rFonts w:hint="eastAsia" w:ascii="仿宋" w:hAnsi="仿宋" w:eastAsia="仿宋" w:cs="仿宋"/>
          <w:b/>
          <w:bCs w:val="0"/>
          <w:color w:val="000000"/>
          <w:sz w:val="36"/>
          <w:szCs w:val="36"/>
          <w:u w:val="none"/>
          <w:lang w:val="en-US" w:eastAsia="zh-CN"/>
        </w:rPr>
      </w:pPr>
      <w:r>
        <w:rPr>
          <w:rFonts w:ascii="Calibri" w:hAnsi="Calibri" w:eastAsia="宋体" w:cs="Times New Roman"/>
          <w:kern w:val="2"/>
          <w:sz w:val="21"/>
          <w:szCs w:val="22"/>
          <w:lang w:val="en-US" w:eastAsia="zh-CN" w:bidi="ar-SA"/>
        </w:rPr>
        <w:drawing>
          <wp:anchor distT="0" distB="0" distL="114300" distR="114300" simplePos="0" relativeHeight="251660288" behindDoc="0" locked="0" layoutInCell="1" allowOverlap="1">
            <wp:simplePos x="0" y="0"/>
            <wp:positionH relativeFrom="page">
              <wp:posOffset>342900</wp:posOffset>
            </wp:positionH>
            <wp:positionV relativeFrom="paragraph">
              <wp:posOffset>46355</wp:posOffset>
            </wp:positionV>
            <wp:extent cx="3459480" cy="813435"/>
            <wp:effectExtent l="0" t="0" r="7620" b="5715"/>
            <wp:wrapNone/>
            <wp:docPr id="1"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4"/>
                    <pic:cNvPicPr>
                      <a:picLocks noChangeAspect="1"/>
                    </pic:cNvPicPr>
                  </pic:nvPicPr>
                  <pic:blipFill>
                    <a:blip r:embed="rId6">
                      <a:lum/>
                    </a:blip>
                    <a:stretch>
                      <a:fillRect/>
                    </a:stretch>
                  </pic:blipFill>
                  <pic:spPr>
                    <a:xfrm>
                      <a:off x="0" y="0"/>
                      <a:ext cx="3459480" cy="813435"/>
                    </a:xfrm>
                    <a:prstGeom prst="rect">
                      <a:avLst/>
                    </a:prstGeom>
                    <a:noFill/>
                    <a:ln>
                      <a:noFill/>
                    </a:ln>
                  </pic:spPr>
                </pic:pic>
              </a:graphicData>
            </a:graphic>
          </wp:anchor>
        </w:drawing>
      </w:r>
    </w:p>
    <w:p>
      <w:pPr>
        <w:spacing w:before="156"/>
        <w:jc w:val="center"/>
        <w:rPr>
          <w:rFonts w:hint="eastAsia" w:ascii="黑体" w:hAnsi="黑体" w:eastAsia="黑体" w:cs="宋体"/>
          <w:b/>
          <w:color w:val="000000"/>
          <w:sz w:val="48"/>
          <w:szCs w:val="48"/>
          <w:u w:val="single"/>
          <w:lang w:val="zh-CN" w:eastAsia="zh-CN"/>
        </w:rPr>
      </w:pPr>
    </w:p>
    <w:p>
      <w:pPr>
        <w:spacing w:before="156"/>
        <w:jc w:val="center"/>
        <w:rPr>
          <w:rFonts w:hint="eastAsia" w:ascii="黑体" w:hAnsi="黑体" w:eastAsia="黑体" w:cs="宋体"/>
          <w:b/>
          <w:color w:val="000000"/>
          <w:sz w:val="48"/>
          <w:szCs w:val="48"/>
          <w:u w:val="single"/>
          <w:lang w:val="zh-CN" w:eastAsia="zh-CN"/>
        </w:rPr>
      </w:pPr>
    </w:p>
    <w:p>
      <w:pPr>
        <w:spacing w:before="156"/>
        <w:jc w:val="center"/>
        <w:rPr>
          <w:rFonts w:hint="eastAsia" w:ascii="黑体" w:hAnsi="黑体" w:eastAsia="黑体" w:cs="宋体"/>
          <w:b/>
          <w:color w:val="000000"/>
          <w:sz w:val="48"/>
          <w:szCs w:val="48"/>
          <w:u w:val="single"/>
          <w:lang w:val="zh-CN" w:eastAsia="zh-CN"/>
        </w:rPr>
      </w:pPr>
      <w:r>
        <w:rPr>
          <w:rFonts w:hint="eastAsia" w:ascii="黑体" w:hAnsi="黑体" w:eastAsia="黑体" w:cs="宋体"/>
          <w:b/>
          <w:color w:val="000000"/>
          <w:sz w:val="48"/>
          <w:szCs w:val="48"/>
          <w:u w:val="single"/>
          <w:lang w:val="zh-CN" w:eastAsia="zh-CN"/>
        </w:rPr>
        <w:t>钦州供电局燕岭巡维中心技术业务用房项目检验、检测、试验类服务技术规范</w:t>
      </w:r>
    </w:p>
    <w:p>
      <w:pPr>
        <w:spacing w:before="156"/>
        <w:jc w:val="center"/>
        <w:rPr>
          <w:rFonts w:hint="eastAsia" w:ascii="仿宋" w:hAnsi="仿宋" w:eastAsia="仿宋" w:cs="仿宋"/>
          <w:b/>
          <w:bCs w:val="0"/>
          <w:color w:val="000000"/>
          <w:sz w:val="36"/>
          <w:szCs w:val="36"/>
          <w:u w:val="none"/>
          <w:lang w:val="en-US" w:eastAsia="zh-CN"/>
        </w:rPr>
      </w:pPr>
    </w:p>
    <w:p>
      <w:pPr>
        <w:spacing w:before="156"/>
        <w:jc w:val="center"/>
        <w:rPr>
          <w:rFonts w:hint="eastAsia" w:ascii="仿宋" w:hAnsi="仿宋" w:eastAsia="仿宋" w:cs="仿宋"/>
          <w:b/>
          <w:bCs w:val="0"/>
          <w:color w:val="000000"/>
          <w:sz w:val="36"/>
          <w:szCs w:val="36"/>
          <w:u w:val="none"/>
          <w:lang w:val="en-US" w:eastAsia="zh-CN"/>
        </w:rPr>
      </w:pPr>
    </w:p>
    <w:p>
      <w:pPr>
        <w:spacing w:before="156"/>
        <w:jc w:val="center"/>
        <w:rPr>
          <w:rFonts w:hint="eastAsia" w:ascii="仿宋" w:hAnsi="仿宋" w:eastAsia="仿宋" w:cs="仿宋"/>
          <w:b/>
          <w:bCs w:val="0"/>
          <w:color w:val="000000"/>
          <w:sz w:val="36"/>
          <w:szCs w:val="36"/>
          <w:u w:val="none"/>
          <w:lang w:val="en-US" w:eastAsia="zh-CN"/>
        </w:rPr>
      </w:pPr>
    </w:p>
    <w:p>
      <w:pPr>
        <w:spacing w:before="156"/>
        <w:jc w:val="center"/>
        <w:rPr>
          <w:rFonts w:hint="eastAsia" w:ascii="仿宋" w:hAnsi="仿宋" w:eastAsia="仿宋" w:cs="仿宋"/>
          <w:b/>
          <w:bCs w:val="0"/>
          <w:color w:val="000000"/>
          <w:sz w:val="36"/>
          <w:szCs w:val="36"/>
          <w:u w:val="none"/>
          <w:lang w:val="en-US" w:eastAsia="zh-CN"/>
        </w:rPr>
      </w:pPr>
    </w:p>
    <w:p>
      <w:pPr>
        <w:spacing w:before="156"/>
        <w:jc w:val="center"/>
        <w:rPr>
          <w:rFonts w:hint="eastAsia" w:ascii="仿宋" w:hAnsi="仿宋" w:eastAsia="仿宋" w:cs="仿宋"/>
          <w:b/>
          <w:bCs w:val="0"/>
          <w:color w:val="000000"/>
          <w:sz w:val="36"/>
          <w:szCs w:val="36"/>
          <w:u w:val="none"/>
          <w:lang w:val="en-US" w:eastAsia="zh-CN"/>
        </w:rPr>
      </w:pPr>
    </w:p>
    <w:p>
      <w:pPr>
        <w:spacing w:before="156"/>
        <w:jc w:val="center"/>
        <w:rPr>
          <w:rFonts w:hint="eastAsia" w:ascii="仿宋" w:hAnsi="仿宋" w:eastAsia="仿宋" w:cs="仿宋"/>
          <w:b/>
          <w:bCs w:val="0"/>
          <w:color w:val="000000"/>
          <w:sz w:val="36"/>
          <w:szCs w:val="36"/>
          <w:u w:val="none"/>
          <w:lang w:val="en-US" w:eastAsia="zh-CN"/>
        </w:rPr>
      </w:pPr>
    </w:p>
    <w:p>
      <w:pPr>
        <w:spacing w:before="156"/>
        <w:jc w:val="center"/>
        <w:rPr>
          <w:rFonts w:hint="eastAsia" w:ascii="仿宋" w:hAnsi="仿宋" w:eastAsia="仿宋" w:cs="仿宋"/>
          <w:b/>
          <w:bCs w:val="0"/>
          <w:color w:val="000000"/>
          <w:sz w:val="36"/>
          <w:szCs w:val="36"/>
          <w:u w:val="none"/>
          <w:lang w:val="en-US" w:eastAsia="zh-CN"/>
        </w:rPr>
      </w:pPr>
    </w:p>
    <w:bookmarkEnd w:id="0"/>
    <w:p>
      <w:pPr>
        <w:adjustRightInd w:val="0"/>
        <w:snapToGrid w:val="0"/>
        <w:spacing w:before="156" w:line="360" w:lineRule="auto"/>
        <w:jc w:val="center"/>
        <w:rPr>
          <w:rFonts w:hint="eastAsia" w:ascii="仿宋" w:hAnsi="仿宋" w:eastAsia="仿宋" w:cs="仿宋"/>
          <w:b/>
          <w:bCs/>
          <w:color w:val="000000"/>
          <w:sz w:val="28"/>
          <w:szCs w:val="28"/>
        </w:rPr>
      </w:pPr>
    </w:p>
    <w:p>
      <w:pPr>
        <w:adjustRightInd w:val="0"/>
        <w:snapToGrid w:val="0"/>
        <w:spacing w:before="156" w:line="360" w:lineRule="auto"/>
        <w:ind w:firstLine="562" w:firstLineChars="200"/>
        <w:jc w:val="center"/>
        <w:rPr>
          <w:rFonts w:hint="eastAsia" w:ascii="仿宋" w:hAnsi="仿宋" w:eastAsia="仿宋" w:cs="仿宋"/>
          <w:b/>
          <w:bCs/>
          <w:color w:val="000000"/>
          <w:sz w:val="28"/>
          <w:szCs w:val="28"/>
        </w:rPr>
      </w:pPr>
    </w:p>
    <w:p>
      <w:pPr>
        <w:adjustRightInd w:val="0"/>
        <w:snapToGrid w:val="0"/>
        <w:spacing w:before="156" w:line="360" w:lineRule="auto"/>
        <w:ind w:firstLine="562" w:firstLineChars="200"/>
        <w:jc w:val="center"/>
        <w:rPr>
          <w:rFonts w:hint="eastAsia" w:ascii="仿宋" w:hAnsi="仿宋" w:eastAsia="仿宋" w:cs="仿宋"/>
          <w:b/>
          <w:bCs/>
          <w:color w:val="000000"/>
          <w:sz w:val="28"/>
          <w:szCs w:val="28"/>
        </w:rPr>
      </w:pPr>
    </w:p>
    <w:p>
      <w:pPr>
        <w:adjustRightInd w:val="0"/>
        <w:snapToGrid w:val="0"/>
        <w:spacing w:before="156" w:line="360" w:lineRule="auto"/>
        <w:ind w:firstLine="562" w:firstLineChars="200"/>
        <w:jc w:val="center"/>
        <w:rPr>
          <w:rFonts w:hint="eastAsia" w:ascii="仿宋" w:hAnsi="仿宋" w:eastAsia="仿宋" w:cs="仿宋"/>
          <w:b/>
          <w:bCs/>
          <w:color w:val="000000"/>
          <w:sz w:val="28"/>
          <w:szCs w:val="28"/>
        </w:rPr>
      </w:pPr>
    </w:p>
    <w:p>
      <w:pPr>
        <w:adjustRightInd w:val="0"/>
        <w:snapToGrid w:val="0"/>
        <w:spacing w:before="156" w:line="360" w:lineRule="auto"/>
        <w:ind w:firstLine="562" w:firstLineChars="200"/>
        <w:jc w:val="center"/>
        <w:rPr>
          <w:rFonts w:hint="eastAsia" w:ascii="仿宋" w:hAnsi="仿宋" w:eastAsia="仿宋" w:cs="仿宋"/>
          <w:b/>
          <w:bCs/>
          <w:color w:val="000000"/>
          <w:sz w:val="28"/>
          <w:szCs w:val="28"/>
        </w:rPr>
      </w:pPr>
      <w:r>
        <w:rPr>
          <w:rFonts w:hint="eastAsia" w:ascii="仿宋" w:hAnsi="仿宋" w:eastAsia="仿宋" w:cs="仿宋"/>
          <w:b/>
          <w:bCs/>
          <w:color w:val="000000"/>
          <w:sz w:val="28"/>
          <w:szCs w:val="28"/>
        </w:rPr>
        <w:t>钦州供电局燕岭巡维中心技术业务用房项目检验、检测、试验类服务技术规范</w:t>
      </w:r>
    </w:p>
    <w:p>
      <w:pPr>
        <w:adjustRightInd w:val="0"/>
        <w:snapToGrid w:val="0"/>
        <w:spacing w:before="156" w:line="360" w:lineRule="auto"/>
        <w:ind w:firstLine="560" w:firstLineChars="200"/>
        <w:jc w:val="left"/>
        <w:rPr>
          <w:rFonts w:ascii="仿宋" w:hAnsi="仿宋" w:eastAsia="仿宋" w:cs="仿宋"/>
          <w:color w:val="000000"/>
          <w:sz w:val="28"/>
          <w:szCs w:val="28"/>
        </w:rPr>
      </w:pPr>
      <w:r>
        <w:rPr>
          <w:rFonts w:hint="eastAsia" w:ascii="仿宋" w:hAnsi="仿宋" w:eastAsia="仿宋" w:cs="仿宋"/>
          <w:color w:val="000000"/>
          <w:sz w:val="28"/>
          <w:szCs w:val="28"/>
        </w:rPr>
        <w:t>为规范</w:t>
      </w:r>
      <w:r>
        <w:rPr>
          <w:rFonts w:hint="eastAsia" w:ascii="仿宋" w:hAnsi="仿宋" w:eastAsia="仿宋" w:cs="仿宋"/>
          <w:color w:val="000000"/>
          <w:sz w:val="28"/>
          <w:szCs w:val="28"/>
          <w:u w:val="single"/>
          <w:lang w:val="zh-CN"/>
        </w:rPr>
        <w:t>钦州供电局燕岭巡维中心技术业务用房项目检验、检测、试验类服务</w:t>
      </w:r>
      <w:r>
        <w:rPr>
          <w:rFonts w:hint="eastAsia" w:ascii="仿宋" w:hAnsi="仿宋" w:eastAsia="仿宋" w:cs="仿宋"/>
          <w:color w:val="000000"/>
          <w:sz w:val="28"/>
          <w:szCs w:val="28"/>
        </w:rPr>
        <w:t>的招标工作，保证项目如期完成，制订本服务标准。</w:t>
      </w:r>
    </w:p>
    <w:p>
      <w:pPr>
        <w:keepNext w:val="0"/>
        <w:keepLines w:val="0"/>
        <w:pageBreakBefore w:val="0"/>
        <w:widowControl w:val="0"/>
        <w:numPr>
          <w:ilvl w:val="0"/>
          <w:numId w:val="0"/>
        </w:numPr>
        <w:kinsoku/>
        <w:wordWrap/>
        <w:overflowPunct/>
        <w:topLinePunct w:val="0"/>
        <w:autoSpaceDE/>
        <w:autoSpaceDN/>
        <w:bidi w:val="0"/>
        <w:adjustRightInd w:val="0"/>
        <w:snapToGrid w:val="0"/>
        <w:spacing w:beforeLines="50" w:line="360" w:lineRule="auto"/>
        <w:ind w:leftChars="0" w:firstLine="562" w:firstLineChars="200"/>
        <w:textAlignment w:val="auto"/>
        <w:outlineLvl w:val="0"/>
        <w:rPr>
          <w:rFonts w:hint="eastAsia" w:ascii="仿宋" w:hAnsi="仿宋" w:eastAsia="仿宋" w:cs="仿宋"/>
          <w:b/>
          <w:color w:val="000000"/>
          <w:sz w:val="28"/>
          <w:szCs w:val="28"/>
          <w:lang w:eastAsia="zh-CN"/>
        </w:rPr>
      </w:pPr>
      <w:r>
        <w:rPr>
          <w:rFonts w:hint="eastAsia" w:ascii="仿宋" w:hAnsi="仿宋" w:eastAsia="仿宋" w:cs="仿宋"/>
          <w:b/>
          <w:color w:val="000000"/>
          <w:sz w:val="28"/>
          <w:szCs w:val="28"/>
          <w:lang w:eastAsia="zh-CN"/>
        </w:rPr>
        <w:t>一、项目概况</w:t>
      </w:r>
    </w:p>
    <w:p>
      <w:pPr>
        <w:pStyle w:val="10"/>
        <w:keepNext w:val="0"/>
        <w:keepLines w:val="0"/>
        <w:pageBreakBefore w:val="0"/>
        <w:widowControl w:val="0"/>
        <w:kinsoku/>
        <w:wordWrap/>
        <w:overflowPunct/>
        <w:topLinePunct w:val="0"/>
        <w:autoSpaceDE/>
        <w:autoSpaceDN/>
        <w:bidi w:val="0"/>
        <w:snapToGrid w:val="0"/>
        <w:spacing w:before="0" w:beforeAutospacing="0" w:after="0" w:afterAutospacing="0" w:line="360" w:lineRule="auto"/>
        <w:ind w:firstLine="560" w:firstLineChars="200"/>
        <w:textAlignment w:val="auto"/>
        <w:rPr>
          <w:rFonts w:hint="eastAsia" w:ascii="仿宋" w:hAnsi="仿宋" w:eastAsia="仿宋" w:cs="仿宋"/>
          <w:color w:val="auto"/>
          <w:kern w:val="2"/>
          <w:sz w:val="28"/>
          <w:szCs w:val="28"/>
          <w:lang w:val="en-US" w:eastAsia="zh-CN" w:bidi="ar-SA"/>
        </w:rPr>
      </w:pPr>
      <w:bookmarkStart w:id="1" w:name="_Toc349031717"/>
      <w:r>
        <w:rPr>
          <w:rFonts w:hint="eastAsia" w:ascii="仿宋" w:hAnsi="仿宋" w:eastAsia="仿宋" w:cs="仿宋"/>
          <w:color w:val="auto"/>
          <w:kern w:val="2"/>
          <w:sz w:val="28"/>
          <w:szCs w:val="28"/>
          <w:lang w:val="en-US" w:eastAsia="zh-CN" w:bidi="ar-SA"/>
        </w:rPr>
        <w:t>钦州供电局燕岭巡维中心技术业务用房项目建设地点位于广西灵山县灵城镇江北路110kV灵山变电站用地红线内（灵山县三海街道六峰路三海中学旁），总建筑面积1438.16平方米，其中技术业务用房1栋，建筑面积1422.98平方米（地上3层，无地下室），多层公共建筑，框架结构，基础为独立基础；门卫室1间，建筑面积15.18平方米（地上1层，无地下室），单层公共建筑，砖混结构，基础为条形基础。</w:t>
      </w:r>
    </w:p>
    <w:p>
      <w:pPr>
        <w:keepNext w:val="0"/>
        <w:keepLines w:val="0"/>
        <w:pageBreakBefore w:val="0"/>
        <w:widowControl w:val="0"/>
        <w:numPr>
          <w:ilvl w:val="0"/>
          <w:numId w:val="0"/>
        </w:numPr>
        <w:kinsoku/>
        <w:wordWrap/>
        <w:overflowPunct/>
        <w:topLinePunct w:val="0"/>
        <w:autoSpaceDE/>
        <w:autoSpaceDN/>
        <w:bidi w:val="0"/>
        <w:adjustRightInd w:val="0"/>
        <w:snapToGrid w:val="0"/>
        <w:spacing w:beforeLines="50" w:line="360" w:lineRule="auto"/>
        <w:ind w:leftChars="0" w:firstLine="562" w:firstLineChars="200"/>
        <w:textAlignment w:val="auto"/>
        <w:outlineLvl w:val="0"/>
        <w:rPr>
          <w:rFonts w:ascii="仿宋" w:hAnsi="仿宋" w:eastAsia="仿宋" w:cs="仿宋"/>
          <w:b/>
          <w:color w:val="000000"/>
          <w:sz w:val="28"/>
          <w:szCs w:val="28"/>
        </w:rPr>
      </w:pPr>
      <w:r>
        <w:rPr>
          <w:rFonts w:hint="eastAsia" w:ascii="仿宋" w:hAnsi="仿宋" w:eastAsia="仿宋" w:cs="仿宋"/>
          <w:b/>
          <w:color w:val="000000"/>
          <w:sz w:val="28"/>
          <w:szCs w:val="28"/>
          <w:lang w:eastAsia="zh-CN"/>
        </w:rPr>
        <w:t>二、</w:t>
      </w:r>
      <w:r>
        <w:rPr>
          <w:rFonts w:hint="eastAsia" w:ascii="仿宋" w:hAnsi="仿宋" w:eastAsia="仿宋" w:cs="仿宋"/>
          <w:b/>
          <w:color w:val="000000"/>
          <w:sz w:val="28"/>
          <w:szCs w:val="28"/>
        </w:rPr>
        <w:t>服务内容</w:t>
      </w:r>
    </w:p>
    <w:p>
      <w:pPr>
        <w:pStyle w:val="10"/>
        <w:keepNext w:val="0"/>
        <w:keepLines w:val="0"/>
        <w:pageBreakBefore w:val="0"/>
        <w:widowControl w:val="0"/>
        <w:kinsoku/>
        <w:wordWrap/>
        <w:overflowPunct/>
        <w:topLinePunct w:val="0"/>
        <w:autoSpaceDE/>
        <w:autoSpaceDN/>
        <w:bidi w:val="0"/>
        <w:snapToGrid w:val="0"/>
        <w:spacing w:before="0" w:beforeAutospacing="0" w:after="0" w:afterAutospacing="0" w:line="360" w:lineRule="auto"/>
        <w:ind w:firstLine="560" w:firstLineChars="200"/>
        <w:textAlignment w:val="auto"/>
        <w:rPr>
          <w:rFonts w:hint="eastAsia" w:ascii="仿宋" w:hAnsi="仿宋" w:eastAsia="仿宋" w:cs="仿宋"/>
          <w:color w:val="auto"/>
          <w:kern w:val="2"/>
          <w:sz w:val="28"/>
          <w:szCs w:val="28"/>
          <w:lang w:val="en-US" w:eastAsia="zh-CN" w:bidi="ar-SA"/>
        </w:rPr>
      </w:pPr>
      <w:r>
        <w:rPr>
          <w:rFonts w:hint="eastAsia" w:ascii="仿宋" w:hAnsi="仿宋" w:eastAsia="仿宋" w:cs="仿宋"/>
          <w:color w:val="auto"/>
          <w:kern w:val="2"/>
          <w:sz w:val="28"/>
          <w:szCs w:val="28"/>
          <w:lang w:val="en-US" w:eastAsia="zh-CN" w:bidi="ar-SA"/>
        </w:rPr>
        <w:t>遵照《建设工程质量检查管理办法》和《广西壮族自治区建设工程质量检测管理规定》等规定，依据中国南方电网有限责任公司、广西电网有限责任公司关于电网基建项目管理的相关制度的要求，为钦州供电局2025年钦州供电局燕岭巡维中心技术业务用房项目检验、检测、试验类服务。服务类别主要但不限于：</w:t>
      </w:r>
      <w:r>
        <w:rPr>
          <w:rFonts w:hint="eastAsia" w:ascii="仿宋" w:hAnsi="仿宋" w:eastAsia="仿宋" w:cs="仿宋"/>
          <w:b/>
          <w:bCs/>
          <w:color w:val="auto"/>
          <w:kern w:val="2"/>
          <w:sz w:val="28"/>
          <w:szCs w:val="28"/>
          <w:lang w:val="en-US" w:eastAsia="zh-CN" w:bidi="ar-SA"/>
        </w:rPr>
        <w:t>建筑材料及构配件（见证取样检测）、地基基础工程检测、主体结构工程现场检测、防雷检测、节能检测、土壤氡检测、室内空气检测等符合工程验收及规范标准方面的检测</w:t>
      </w:r>
      <w:r>
        <w:rPr>
          <w:rFonts w:hint="eastAsia" w:ascii="仿宋" w:hAnsi="仿宋" w:eastAsia="仿宋" w:cs="仿宋"/>
          <w:color w:val="auto"/>
          <w:kern w:val="2"/>
          <w:sz w:val="28"/>
          <w:szCs w:val="28"/>
          <w:lang w:val="en-US" w:eastAsia="zh-CN" w:bidi="ar-SA"/>
        </w:rPr>
        <w:t>。实际检测内容应根据工程的需要进行检测。</w:t>
      </w:r>
    </w:p>
    <w:bookmarkEnd w:id="1"/>
    <w:p>
      <w:pPr>
        <w:keepNext w:val="0"/>
        <w:keepLines w:val="0"/>
        <w:pageBreakBefore w:val="0"/>
        <w:widowControl w:val="0"/>
        <w:numPr>
          <w:ilvl w:val="0"/>
          <w:numId w:val="0"/>
        </w:numPr>
        <w:kinsoku/>
        <w:wordWrap/>
        <w:overflowPunct/>
        <w:topLinePunct w:val="0"/>
        <w:autoSpaceDE/>
        <w:autoSpaceDN/>
        <w:bidi w:val="0"/>
        <w:adjustRightInd w:val="0"/>
        <w:snapToGrid w:val="0"/>
        <w:spacing w:beforeLines="50" w:line="360" w:lineRule="auto"/>
        <w:ind w:leftChars="0" w:firstLine="562" w:firstLineChars="200"/>
        <w:textAlignment w:val="auto"/>
        <w:outlineLvl w:val="0"/>
        <w:rPr>
          <w:rFonts w:ascii="仿宋" w:hAnsi="仿宋" w:eastAsia="仿宋" w:cs="仿宋"/>
          <w:b/>
          <w:color w:val="000000"/>
          <w:sz w:val="28"/>
          <w:szCs w:val="28"/>
        </w:rPr>
      </w:pPr>
      <w:r>
        <w:rPr>
          <w:rFonts w:hint="eastAsia" w:ascii="仿宋" w:hAnsi="仿宋" w:eastAsia="仿宋" w:cs="仿宋"/>
          <w:b/>
          <w:color w:val="000000"/>
          <w:sz w:val="28"/>
          <w:szCs w:val="28"/>
          <w:lang w:eastAsia="zh-CN"/>
        </w:rPr>
        <w:t>三、</w:t>
      </w:r>
      <w:r>
        <w:rPr>
          <w:rFonts w:hint="eastAsia" w:ascii="仿宋" w:hAnsi="仿宋" w:eastAsia="仿宋" w:cs="仿宋"/>
          <w:b/>
          <w:color w:val="000000"/>
          <w:sz w:val="28"/>
          <w:szCs w:val="28"/>
        </w:rPr>
        <w:t>服务要求</w:t>
      </w:r>
    </w:p>
    <w:p>
      <w:pPr>
        <w:pStyle w:val="10"/>
        <w:keepNext w:val="0"/>
        <w:keepLines w:val="0"/>
        <w:pageBreakBefore w:val="0"/>
        <w:widowControl w:val="0"/>
        <w:kinsoku/>
        <w:wordWrap/>
        <w:overflowPunct/>
        <w:topLinePunct w:val="0"/>
        <w:autoSpaceDE/>
        <w:autoSpaceDN/>
        <w:bidi w:val="0"/>
        <w:snapToGrid w:val="0"/>
        <w:spacing w:before="0" w:beforeAutospacing="0" w:after="0" w:afterAutospacing="0" w:line="360" w:lineRule="auto"/>
        <w:ind w:firstLine="560" w:firstLineChars="200"/>
        <w:textAlignment w:val="auto"/>
        <w:rPr>
          <w:rFonts w:hint="eastAsia" w:ascii="仿宋" w:hAnsi="仿宋" w:eastAsia="仿宋" w:cs="仿宋"/>
          <w:color w:val="auto"/>
          <w:kern w:val="2"/>
          <w:sz w:val="28"/>
          <w:szCs w:val="28"/>
          <w:lang w:val="en-US" w:eastAsia="zh-CN" w:bidi="ar-SA"/>
        </w:rPr>
      </w:pPr>
      <w:r>
        <w:rPr>
          <w:rFonts w:hint="eastAsia" w:ascii="仿宋" w:hAnsi="仿宋" w:eastAsia="仿宋" w:cs="仿宋"/>
          <w:color w:val="auto"/>
          <w:kern w:val="2"/>
          <w:sz w:val="28"/>
          <w:szCs w:val="28"/>
          <w:lang w:val="en-US" w:eastAsia="zh-CN" w:bidi="ar-SA"/>
        </w:rPr>
        <w:t>（一）根据《广西壮族自治区建设工程质量检测管理实施细则》（桂建发〔2025〕5号）文件要求，区外检测机构进入本自治区行政区域内开展检测业务的，应当通过“桂建云—办事大厅—资质办理”向自治区住房城乡建设厅备案，并完成相关备案。</w:t>
      </w:r>
    </w:p>
    <w:p>
      <w:pPr>
        <w:pStyle w:val="10"/>
        <w:keepNext w:val="0"/>
        <w:keepLines w:val="0"/>
        <w:pageBreakBefore w:val="0"/>
        <w:widowControl w:val="0"/>
        <w:kinsoku/>
        <w:wordWrap/>
        <w:overflowPunct/>
        <w:topLinePunct w:val="0"/>
        <w:autoSpaceDE/>
        <w:autoSpaceDN/>
        <w:bidi w:val="0"/>
        <w:snapToGrid w:val="0"/>
        <w:spacing w:before="0" w:beforeAutospacing="0" w:after="0" w:afterAutospacing="0" w:line="360" w:lineRule="auto"/>
        <w:ind w:firstLine="560" w:firstLineChars="200"/>
        <w:textAlignment w:val="auto"/>
        <w:rPr>
          <w:rFonts w:hint="eastAsia" w:ascii="仿宋" w:hAnsi="仿宋" w:eastAsia="仿宋" w:cs="仿宋"/>
          <w:color w:val="auto"/>
          <w:kern w:val="2"/>
          <w:sz w:val="28"/>
          <w:szCs w:val="28"/>
          <w:lang w:val="en-US" w:eastAsia="zh-CN" w:bidi="ar-SA"/>
        </w:rPr>
      </w:pPr>
      <w:r>
        <w:rPr>
          <w:rFonts w:hint="eastAsia" w:ascii="仿宋" w:hAnsi="仿宋" w:eastAsia="仿宋" w:cs="仿宋"/>
          <w:color w:val="auto"/>
          <w:kern w:val="2"/>
          <w:sz w:val="28"/>
          <w:szCs w:val="28"/>
          <w:lang w:val="en-US" w:eastAsia="zh-CN" w:bidi="ar-SA"/>
        </w:rPr>
        <w:t>（二）根据现行的工程建设标准，在承诺期限内完成检测任务，提供检测报告。</w:t>
      </w:r>
    </w:p>
    <w:p>
      <w:pPr>
        <w:pStyle w:val="10"/>
        <w:keepNext w:val="0"/>
        <w:keepLines w:val="0"/>
        <w:pageBreakBefore w:val="0"/>
        <w:widowControl w:val="0"/>
        <w:kinsoku/>
        <w:wordWrap/>
        <w:overflowPunct/>
        <w:topLinePunct w:val="0"/>
        <w:autoSpaceDE/>
        <w:autoSpaceDN/>
        <w:bidi w:val="0"/>
        <w:snapToGrid w:val="0"/>
        <w:spacing w:before="0" w:beforeAutospacing="0" w:after="0" w:afterAutospacing="0" w:line="360" w:lineRule="auto"/>
        <w:ind w:firstLine="560" w:firstLineChars="200"/>
        <w:textAlignment w:val="auto"/>
        <w:rPr>
          <w:rFonts w:hint="eastAsia" w:ascii="仿宋" w:hAnsi="仿宋" w:eastAsia="仿宋" w:cs="仿宋"/>
          <w:color w:val="auto"/>
          <w:kern w:val="2"/>
          <w:sz w:val="28"/>
          <w:szCs w:val="28"/>
          <w:lang w:val="en-US" w:eastAsia="zh-CN" w:bidi="ar-SA"/>
        </w:rPr>
      </w:pPr>
      <w:r>
        <w:rPr>
          <w:rFonts w:hint="eastAsia" w:ascii="仿宋" w:hAnsi="仿宋" w:eastAsia="仿宋" w:cs="仿宋"/>
          <w:color w:val="auto"/>
          <w:kern w:val="2"/>
          <w:sz w:val="28"/>
          <w:szCs w:val="28"/>
          <w:lang w:val="en-US" w:eastAsia="zh-CN" w:bidi="ar-SA"/>
        </w:rPr>
        <w:t>（三）对检测发现的重大质量问题(如水泥安定性不合格、实际检测结果不满足设计要求等)，及时向甲方通报。</w:t>
      </w:r>
    </w:p>
    <w:p>
      <w:pPr>
        <w:keepNext w:val="0"/>
        <w:keepLines w:val="0"/>
        <w:pageBreakBefore w:val="0"/>
        <w:widowControl w:val="0"/>
        <w:kinsoku/>
        <w:wordWrap/>
        <w:overflowPunct/>
        <w:topLinePunct w:val="0"/>
        <w:autoSpaceDE/>
        <w:autoSpaceDN/>
        <w:bidi w:val="0"/>
        <w:snapToGrid w:val="0"/>
        <w:spacing w:line="360" w:lineRule="auto"/>
        <w:ind w:firstLine="560" w:firstLineChars="200"/>
        <w:textAlignment w:val="auto"/>
        <w:rPr>
          <w:rFonts w:hint="default"/>
          <w:lang w:val="en-US" w:eastAsia="zh-CN"/>
        </w:rPr>
      </w:pPr>
      <w:r>
        <w:rPr>
          <w:rFonts w:hint="eastAsia" w:ascii="仿宋" w:hAnsi="仿宋" w:eastAsia="仿宋" w:cs="仿宋"/>
          <w:color w:val="auto"/>
          <w:kern w:val="2"/>
          <w:sz w:val="28"/>
          <w:szCs w:val="28"/>
          <w:lang w:val="en-US" w:eastAsia="zh-CN" w:bidi="ar-SA"/>
        </w:rPr>
        <w:t>（四）提供检测咨询服务，指导甲方抽样送检工作。</w:t>
      </w:r>
    </w:p>
    <w:p>
      <w:pPr>
        <w:keepNext w:val="0"/>
        <w:keepLines w:val="0"/>
        <w:pageBreakBefore w:val="0"/>
        <w:widowControl w:val="0"/>
        <w:numPr>
          <w:ilvl w:val="0"/>
          <w:numId w:val="0"/>
        </w:numPr>
        <w:kinsoku/>
        <w:wordWrap/>
        <w:overflowPunct/>
        <w:topLinePunct w:val="0"/>
        <w:autoSpaceDE/>
        <w:autoSpaceDN/>
        <w:bidi w:val="0"/>
        <w:adjustRightInd w:val="0"/>
        <w:snapToGrid w:val="0"/>
        <w:spacing w:beforeLines="50" w:line="360" w:lineRule="auto"/>
        <w:ind w:leftChars="0" w:firstLine="562" w:firstLineChars="200"/>
        <w:textAlignment w:val="auto"/>
        <w:outlineLvl w:val="0"/>
        <w:rPr>
          <w:rFonts w:ascii="仿宋" w:hAnsi="仿宋" w:eastAsia="仿宋" w:cs="仿宋"/>
          <w:b/>
          <w:color w:val="000000"/>
          <w:sz w:val="28"/>
          <w:szCs w:val="28"/>
        </w:rPr>
      </w:pPr>
      <w:bookmarkStart w:id="2" w:name="_Toc349031718"/>
      <w:r>
        <w:rPr>
          <w:rFonts w:hint="eastAsia" w:ascii="仿宋" w:hAnsi="仿宋" w:eastAsia="仿宋" w:cs="仿宋"/>
          <w:b/>
          <w:color w:val="000000"/>
          <w:sz w:val="28"/>
          <w:szCs w:val="28"/>
          <w:lang w:eastAsia="zh-CN"/>
        </w:rPr>
        <w:t>四、</w:t>
      </w:r>
      <w:r>
        <w:rPr>
          <w:rFonts w:hint="eastAsia" w:ascii="仿宋" w:hAnsi="仿宋" w:eastAsia="仿宋" w:cs="仿宋"/>
          <w:b/>
          <w:color w:val="000000"/>
          <w:sz w:val="28"/>
          <w:szCs w:val="28"/>
        </w:rPr>
        <w:t>服务成果</w:t>
      </w:r>
    </w:p>
    <w:bookmarkEnd w:id="2"/>
    <w:p>
      <w:pPr>
        <w:keepNext w:val="0"/>
        <w:keepLines w:val="0"/>
        <w:pageBreakBefore w:val="0"/>
        <w:widowControl w:val="0"/>
        <w:kinsoku/>
        <w:wordWrap/>
        <w:overflowPunct/>
        <w:topLinePunct w:val="0"/>
        <w:autoSpaceDE/>
        <w:autoSpaceDN/>
        <w:bidi w:val="0"/>
        <w:snapToGrid w:val="0"/>
        <w:spacing w:line="360" w:lineRule="auto"/>
        <w:ind w:firstLine="560" w:firstLineChars="200"/>
        <w:textAlignment w:val="auto"/>
        <w:rPr>
          <w:rFonts w:hint="eastAsia" w:ascii="仿宋" w:hAnsi="仿宋" w:eastAsia="仿宋" w:cs="仿宋"/>
          <w:sz w:val="28"/>
          <w:szCs w:val="28"/>
          <w:lang w:val="en-US" w:eastAsia="zh-CN"/>
        </w:rPr>
      </w:pPr>
      <w:r>
        <w:rPr>
          <w:rFonts w:hint="eastAsia" w:ascii="仿宋" w:hAnsi="仿宋" w:eastAsia="仿宋" w:cs="仿宋"/>
          <w:color w:val="auto"/>
          <w:kern w:val="2"/>
          <w:sz w:val="28"/>
          <w:szCs w:val="28"/>
          <w:lang w:val="en-US" w:eastAsia="zh-CN" w:bidi="ar-SA"/>
        </w:rPr>
        <w:t>在承诺期限内出具相关的检测报告</w:t>
      </w:r>
      <w:r>
        <w:rPr>
          <w:rFonts w:hint="eastAsia" w:ascii="仿宋" w:hAnsi="仿宋" w:eastAsia="仿宋" w:cs="仿宋"/>
          <w:sz w:val="28"/>
          <w:szCs w:val="28"/>
          <w:lang w:val="en-US" w:eastAsia="zh-CN"/>
        </w:rPr>
        <w:t>。</w:t>
      </w:r>
    </w:p>
    <w:p>
      <w:pPr>
        <w:numPr>
          <w:ilvl w:val="0"/>
          <w:numId w:val="0"/>
        </w:numPr>
        <w:ind w:firstLine="562" w:firstLineChars="200"/>
        <w:rPr>
          <w:rFonts w:hint="eastAsia" w:ascii="仿宋" w:hAnsi="仿宋" w:eastAsia="仿宋" w:cs="仿宋"/>
          <w:b/>
          <w:color w:val="000000"/>
          <w:sz w:val="28"/>
          <w:szCs w:val="28"/>
          <w:lang w:val="en-US" w:eastAsia="zh-CN"/>
        </w:rPr>
      </w:pPr>
      <w:r>
        <w:rPr>
          <w:rFonts w:hint="eastAsia" w:ascii="仿宋" w:hAnsi="仿宋" w:eastAsia="仿宋" w:cs="仿宋"/>
          <w:b/>
          <w:color w:val="000000"/>
          <w:sz w:val="28"/>
          <w:szCs w:val="28"/>
          <w:lang w:val="en-US" w:eastAsia="zh-CN"/>
        </w:rPr>
        <w:t>五、服务需遵循标准</w:t>
      </w:r>
    </w:p>
    <w:p>
      <w:pPr>
        <w:numPr>
          <w:ilvl w:val="0"/>
          <w:numId w:val="0"/>
        </w:numPr>
        <w:ind w:firstLine="560" w:firstLineChars="200"/>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甲方明确检测标准（国家标准、行业标准或企业标准）情况下，按甲方指定标准进行检测。</w:t>
      </w:r>
    </w:p>
    <w:p>
      <w:pPr>
        <w:numPr>
          <w:ilvl w:val="0"/>
          <w:numId w:val="0"/>
        </w:numPr>
        <w:ind w:firstLine="560" w:firstLineChars="200"/>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甲方未明确检测标准，按工程施工验收规定的标准执行。</w:t>
      </w:r>
    </w:p>
    <w:p>
      <w:pPr>
        <w:numPr>
          <w:ilvl w:val="0"/>
          <w:numId w:val="0"/>
        </w:numPr>
        <w:ind w:firstLine="560" w:firstLineChars="200"/>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各类标准执行优先等级：国家标准行业标准企业标准。</w:t>
      </w:r>
    </w:p>
    <w:p>
      <w:pPr>
        <w:numPr>
          <w:ilvl w:val="0"/>
          <w:numId w:val="0"/>
        </w:numPr>
        <w:ind w:firstLine="562" w:firstLineChars="200"/>
        <w:rPr>
          <w:rFonts w:hint="eastAsia" w:ascii="仿宋" w:hAnsi="仿宋" w:eastAsia="仿宋" w:cs="仿宋"/>
          <w:b/>
          <w:color w:val="000000"/>
          <w:sz w:val="28"/>
          <w:szCs w:val="28"/>
          <w:lang w:val="en-US" w:eastAsia="zh-CN"/>
        </w:rPr>
      </w:pPr>
      <w:r>
        <w:rPr>
          <w:rFonts w:hint="eastAsia" w:ascii="仿宋" w:hAnsi="仿宋" w:eastAsia="仿宋" w:cs="仿宋"/>
          <w:b/>
          <w:color w:val="000000"/>
          <w:sz w:val="28"/>
          <w:szCs w:val="28"/>
          <w:lang w:val="en-US" w:eastAsia="zh-CN"/>
        </w:rPr>
        <w:t>六、供应商需说明的其他问题</w:t>
      </w:r>
    </w:p>
    <w:p>
      <w:pPr>
        <w:numPr>
          <w:ilvl w:val="0"/>
          <w:numId w:val="0"/>
        </w:numPr>
        <w:ind w:firstLine="560" w:firstLineChars="200"/>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如有需说明的其他问题，供应商应通过书面形式提交，并盖章。</w:t>
      </w:r>
    </w:p>
    <w:p>
      <w:pPr>
        <w:keepNext w:val="0"/>
        <w:keepLines w:val="0"/>
        <w:pageBreakBefore w:val="0"/>
        <w:widowControl w:val="0"/>
        <w:kinsoku/>
        <w:wordWrap/>
        <w:overflowPunct/>
        <w:topLinePunct w:val="0"/>
        <w:autoSpaceDE/>
        <w:autoSpaceDN/>
        <w:bidi w:val="0"/>
        <w:adjustRightInd/>
        <w:snapToGrid/>
        <w:spacing w:before="120" w:beforeAutospacing="0" w:after="120" w:afterAutospacing="0" w:line="240" w:lineRule="auto"/>
        <w:ind w:left="420" w:leftChars="200" w:firstLine="0" w:firstLineChars="0"/>
        <w:textAlignment w:val="auto"/>
      </w:pPr>
      <w:bookmarkStart w:id="3" w:name="_GoBack"/>
      <w:bookmarkEnd w:id="3"/>
    </w:p>
    <w:sectPr>
      <w:footerReference r:id="rId3" w:type="default"/>
      <w:pgSz w:w="12242" w:h="15842"/>
      <w:pgMar w:top="1134" w:right="1417" w:bottom="1134" w:left="1417" w:header="851" w:footer="992" w:gutter="0"/>
      <w:cols w:space="72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panose1 w:val="02010609030101010101"/>
    <w:charset w:val="86"/>
    <w:family w:val="auto"/>
    <w:pitch w:val="default"/>
    <w:sig w:usb0="00000001" w:usb1="080E0000" w:usb2="00000000" w:usb3="00000000" w:csb0="00040000" w:csb1="00000000"/>
  </w:font>
  <w:font w:name="华文中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jc w:val="center"/>
    </w:pPr>
    <w:r>
      <w:fldChar w:fldCharType="begin"/>
    </w:r>
    <w:r>
      <w:instrText xml:space="preserve">PAGE   \* MERGEFORMAT</w:instrText>
    </w:r>
    <w:r>
      <w:fldChar w:fldCharType="separate"/>
    </w:r>
    <w:r>
      <w:rPr>
        <w:lang w:val="zh-CN"/>
      </w:rPr>
      <w:t>2</w:t>
    </w:r>
    <w:r>
      <w:fldChar w:fldCharType="end"/>
    </w:r>
  </w:p>
  <w:p>
    <w:pPr>
      <w:pStyle w:val="8"/>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hyphenationZone w:val="360"/>
  <w:drawingGridHorizontalSpacing w:val="105"/>
  <w:drawingGridVerticalSpacing w:val="156"/>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GE3Y2I3OTRlNTA1NjUwZGY1NGI3NTM4NWZhMGI4N2IifQ=="/>
  </w:docVars>
  <w:rsids>
    <w:rsidRoot w:val="00172A27"/>
    <w:rsid w:val="00093EF6"/>
    <w:rsid w:val="00172A27"/>
    <w:rsid w:val="0020535B"/>
    <w:rsid w:val="00285DD9"/>
    <w:rsid w:val="002C47E3"/>
    <w:rsid w:val="00304697"/>
    <w:rsid w:val="003224E2"/>
    <w:rsid w:val="003447BF"/>
    <w:rsid w:val="003836EE"/>
    <w:rsid w:val="003D5C60"/>
    <w:rsid w:val="004676D1"/>
    <w:rsid w:val="00585BA6"/>
    <w:rsid w:val="00724986"/>
    <w:rsid w:val="008403B6"/>
    <w:rsid w:val="008512EB"/>
    <w:rsid w:val="008E795B"/>
    <w:rsid w:val="00963000"/>
    <w:rsid w:val="00A75B03"/>
    <w:rsid w:val="00B15A82"/>
    <w:rsid w:val="00B4071C"/>
    <w:rsid w:val="00C368E7"/>
    <w:rsid w:val="00C5403B"/>
    <w:rsid w:val="00C62270"/>
    <w:rsid w:val="00CA44F0"/>
    <w:rsid w:val="00CC0F3C"/>
    <w:rsid w:val="00D22275"/>
    <w:rsid w:val="00D4700C"/>
    <w:rsid w:val="00D51C9D"/>
    <w:rsid w:val="00D65545"/>
    <w:rsid w:val="00D77346"/>
    <w:rsid w:val="00DD1F8E"/>
    <w:rsid w:val="00DE356D"/>
    <w:rsid w:val="00E15D07"/>
    <w:rsid w:val="00E477F8"/>
    <w:rsid w:val="00EE5EBA"/>
    <w:rsid w:val="00F824CE"/>
    <w:rsid w:val="00FD6FF6"/>
    <w:rsid w:val="01F1023F"/>
    <w:rsid w:val="03CB3BA3"/>
    <w:rsid w:val="046B38A6"/>
    <w:rsid w:val="04FA657D"/>
    <w:rsid w:val="060F01E6"/>
    <w:rsid w:val="06D75A51"/>
    <w:rsid w:val="08B82045"/>
    <w:rsid w:val="0946565C"/>
    <w:rsid w:val="094825D4"/>
    <w:rsid w:val="0AE47DFA"/>
    <w:rsid w:val="0C193B8E"/>
    <w:rsid w:val="0D9E7D4A"/>
    <w:rsid w:val="108960CA"/>
    <w:rsid w:val="10A4400A"/>
    <w:rsid w:val="161F2171"/>
    <w:rsid w:val="19B2362A"/>
    <w:rsid w:val="1AC008BD"/>
    <w:rsid w:val="1C480DE9"/>
    <w:rsid w:val="1C675B4D"/>
    <w:rsid w:val="1CE930EE"/>
    <w:rsid w:val="1CF24FF7"/>
    <w:rsid w:val="2146657F"/>
    <w:rsid w:val="23445402"/>
    <w:rsid w:val="241D62DE"/>
    <w:rsid w:val="248E77F1"/>
    <w:rsid w:val="24AD7D2A"/>
    <w:rsid w:val="24E55514"/>
    <w:rsid w:val="270A5F48"/>
    <w:rsid w:val="27180F70"/>
    <w:rsid w:val="28066B18"/>
    <w:rsid w:val="2AB053D0"/>
    <w:rsid w:val="2BAB54C1"/>
    <w:rsid w:val="2BBC4761"/>
    <w:rsid w:val="30332B06"/>
    <w:rsid w:val="30C06E17"/>
    <w:rsid w:val="31FB74BE"/>
    <w:rsid w:val="3296460B"/>
    <w:rsid w:val="3296737C"/>
    <w:rsid w:val="32C91492"/>
    <w:rsid w:val="343716A5"/>
    <w:rsid w:val="34D00596"/>
    <w:rsid w:val="35315349"/>
    <w:rsid w:val="35C44201"/>
    <w:rsid w:val="38BE5CEE"/>
    <w:rsid w:val="395E02A8"/>
    <w:rsid w:val="3AD2491F"/>
    <w:rsid w:val="3B9C603A"/>
    <w:rsid w:val="3C5248A7"/>
    <w:rsid w:val="3D2D0D0E"/>
    <w:rsid w:val="3E59315C"/>
    <w:rsid w:val="3F7E3672"/>
    <w:rsid w:val="3FE77A7E"/>
    <w:rsid w:val="40604AF8"/>
    <w:rsid w:val="411D1200"/>
    <w:rsid w:val="42843849"/>
    <w:rsid w:val="42A7041B"/>
    <w:rsid w:val="437F455D"/>
    <w:rsid w:val="44AD1941"/>
    <w:rsid w:val="45A100BA"/>
    <w:rsid w:val="46884BEE"/>
    <w:rsid w:val="48FA06BB"/>
    <w:rsid w:val="494A108E"/>
    <w:rsid w:val="4A0A5461"/>
    <w:rsid w:val="4A986A2F"/>
    <w:rsid w:val="4C445423"/>
    <w:rsid w:val="4CB55F9B"/>
    <w:rsid w:val="506A2260"/>
    <w:rsid w:val="51452242"/>
    <w:rsid w:val="52711B64"/>
    <w:rsid w:val="5384060A"/>
    <w:rsid w:val="53A1686E"/>
    <w:rsid w:val="56654A4C"/>
    <w:rsid w:val="56A11306"/>
    <w:rsid w:val="578D0032"/>
    <w:rsid w:val="5808685E"/>
    <w:rsid w:val="58B30458"/>
    <w:rsid w:val="5A26711B"/>
    <w:rsid w:val="5C046B35"/>
    <w:rsid w:val="5C34538D"/>
    <w:rsid w:val="5CF92A73"/>
    <w:rsid w:val="5D4D4958"/>
    <w:rsid w:val="5E7C1460"/>
    <w:rsid w:val="5EAE1426"/>
    <w:rsid w:val="609E226A"/>
    <w:rsid w:val="61DD7156"/>
    <w:rsid w:val="62106567"/>
    <w:rsid w:val="63424BF0"/>
    <w:rsid w:val="64903F3E"/>
    <w:rsid w:val="64E06971"/>
    <w:rsid w:val="654B0169"/>
    <w:rsid w:val="66943B71"/>
    <w:rsid w:val="67817651"/>
    <w:rsid w:val="696F5C56"/>
    <w:rsid w:val="69E2036A"/>
    <w:rsid w:val="6BD83341"/>
    <w:rsid w:val="6EA61FA3"/>
    <w:rsid w:val="6EEB7E98"/>
    <w:rsid w:val="72C92680"/>
    <w:rsid w:val="73C965F4"/>
    <w:rsid w:val="74D8532A"/>
    <w:rsid w:val="75481597"/>
    <w:rsid w:val="76F73FDC"/>
    <w:rsid w:val="772939EB"/>
    <w:rsid w:val="793A7449"/>
    <w:rsid w:val="7B984078"/>
    <w:rsid w:val="7BBD7328"/>
    <w:rsid w:val="7C8F4E1C"/>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qFormat="1" w:uiPriority="99"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iPriority="0" w:semiHidden="0" w:name="Body Text First Indent"/>
    <w:lsdException w:uiPriority="99" w:name="Body Text First Indent 2"/>
    <w:lsdException w:uiPriority="99" w:name="Note Heading"/>
    <w:lsdException w:uiPriority="99" w:name="Body Text 2"/>
    <w:lsdException w:uiPriority="99" w:name="Body Text 3"/>
    <w:lsdException w:qFormat="1" w:uiPriority="99" w:semiHidden="0"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iPriority="9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2"/>
      <w:lang w:val="en-US" w:eastAsia="zh-CN" w:bidi="ar-SA"/>
    </w:rPr>
  </w:style>
  <w:style w:type="character" w:default="1" w:styleId="14">
    <w:name w:val="Default Paragraph Font"/>
    <w:unhideWhenUsed/>
    <w:qFormat/>
    <w:uiPriority w:val="1"/>
  </w:style>
  <w:style w:type="table" w:default="1" w:styleId="13">
    <w:name w:val="Normal Table"/>
    <w:unhideWhenUsed/>
    <w:qFormat/>
    <w:uiPriority w:val="99"/>
    <w:tblPr>
      <w:tblCellMar>
        <w:top w:w="0" w:type="dxa"/>
        <w:left w:w="108" w:type="dxa"/>
        <w:bottom w:w="0" w:type="dxa"/>
        <w:right w:w="108" w:type="dxa"/>
      </w:tblCellMar>
    </w:tblPr>
  </w:style>
  <w:style w:type="paragraph" w:customStyle="1" w:styleId="2">
    <w:name w:val="目录 21"/>
    <w:basedOn w:val="1"/>
    <w:next w:val="1"/>
    <w:qFormat/>
    <w:uiPriority w:val="0"/>
    <w:pPr>
      <w:spacing w:before="100" w:beforeAutospacing="1" w:after="100" w:afterAutospacing="1"/>
      <w:ind w:left="420" w:leftChars="200"/>
    </w:pPr>
  </w:style>
  <w:style w:type="paragraph" w:styleId="3">
    <w:name w:val="annotation text"/>
    <w:basedOn w:val="1"/>
    <w:link w:val="25"/>
    <w:unhideWhenUsed/>
    <w:qFormat/>
    <w:uiPriority w:val="99"/>
    <w:pPr>
      <w:jc w:val="left"/>
    </w:pPr>
  </w:style>
  <w:style w:type="paragraph" w:styleId="4">
    <w:name w:val="Body Text"/>
    <w:basedOn w:val="1"/>
    <w:link w:val="19"/>
    <w:unhideWhenUsed/>
    <w:qFormat/>
    <w:uiPriority w:val="99"/>
    <w:pPr>
      <w:spacing w:after="120"/>
    </w:pPr>
    <w:rPr>
      <w:kern w:val="0"/>
      <w:sz w:val="20"/>
      <w:szCs w:val="20"/>
    </w:rPr>
  </w:style>
  <w:style w:type="paragraph" w:styleId="5">
    <w:name w:val="Plain Text"/>
    <w:basedOn w:val="1"/>
    <w:link w:val="23"/>
    <w:unhideWhenUsed/>
    <w:qFormat/>
    <w:uiPriority w:val="99"/>
    <w:rPr>
      <w:rFonts w:hint="eastAsia" w:ascii="宋体" w:hAnsi="Courier New" w:eastAsia="仿宋_GB2312"/>
      <w:sz w:val="28"/>
      <w:szCs w:val="20"/>
    </w:rPr>
  </w:style>
  <w:style w:type="paragraph" w:styleId="6">
    <w:name w:val="Body Text Indent 2"/>
    <w:basedOn w:val="1"/>
    <w:link w:val="22"/>
    <w:unhideWhenUsed/>
    <w:qFormat/>
    <w:uiPriority w:val="99"/>
    <w:pPr>
      <w:ind w:firstLine="645"/>
    </w:pPr>
    <w:rPr>
      <w:rFonts w:hint="eastAsia" w:ascii="华文中宋" w:hAnsi="华文中宋" w:eastAsia="仿宋_GB2312"/>
      <w:sz w:val="32"/>
      <w:szCs w:val="44"/>
    </w:rPr>
  </w:style>
  <w:style w:type="paragraph" w:styleId="7">
    <w:name w:val="Balloon Text"/>
    <w:basedOn w:val="1"/>
    <w:link w:val="17"/>
    <w:unhideWhenUsed/>
    <w:qFormat/>
    <w:uiPriority w:val="99"/>
    <w:rPr>
      <w:kern w:val="0"/>
      <w:sz w:val="18"/>
      <w:szCs w:val="18"/>
    </w:rPr>
  </w:style>
  <w:style w:type="paragraph" w:styleId="8">
    <w:name w:val="footer"/>
    <w:basedOn w:val="1"/>
    <w:link w:val="24"/>
    <w:unhideWhenUsed/>
    <w:qFormat/>
    <w:uiPriority w:val="99"/>
    <w:pPr>
      <w:tabs>
        <w:tab w:val="center" w:pos="4153"/>
        <w:tab w:val="right" w:pos="8306"/>
      </w:tabs>
      <w:snapToGrid w:val="0"/>
      <w:jc w:val="left"/>
    </w:pPr>
    <w:rPr>
      <w:sz w:val="18"/>
      <w:szCs w:val="18"/>
    </w:rPr>
  </w:style>
  <w:style w:type="paragraph" w:styleId="9">
    <w:name w:val="header"/>
    <w:basedOn w:val="1"/>
    <w:link w:val="20"/>
    <w:unhideWhenUsed/>
    <w:qFormat/>
    <w:uiPriority w:val="99"/>
    <w:pPr>
      <w:pBdr>
        <w:bottom w:val="single" w:color="auto" w:sz="6" w:space="1"/>
      </w:pBdr>
      <w:tabs>
        <w:tab w:val="center" w:pos="4153"/>
        <w:tab w:val="right" w:pos="8306"/>
      </w:tabs>
      <w:snapToGrid w:val="0"/>
      <w:jc w:val="center"/>
    </w:pPr>
    <w:rPr>
      <w:sz w:val="18"/>
      <w:szCs w:val="18"/>
    </w:rPr>
  </w:style>
  <w:style w:type="paragraph" w:styleId="10">
    <w:name w:val="Normal (Web)"/>
    <w:basedOn w:val="1"/>
    <w:unhideWhenUsed/>
    <w:qFormat/>
    <w:uiPriority w:val="99"/>
    <w:pPr>
      <w:spacing w:before="100" w:beforeAutospacing="1" w:after="100" w:afterAutospacing="1"/>
    </w:pPr>
    <w:rPr>
      <w:rFonts w:ascii="宋体" w:hAnsi="宋体" w:eastAsia="宋体" w:cs="宋体"/>
      <w:color w:val="000000"/>
      <w:sz w:val="24"/>
      <w:lang w:val="en-US" w:eastAsia="zh-CN" w:bidi="ar-SA"/>
    </w:rPr>
  </w:style>
  <w:style w:type="paragraph" w:styleId="11">
    <w:name w:val="annotation subject"/>
    <w:basedOn w:val="3"/>
    <w:next w:val="3"/>
    <w:link w:val="18"/>
    <w:unhideWhenUsed/>
    <w:qFormat/>
    <w:uiPriority w:val="99"/>
    <w:rPr>
      <w:b/>
      <w:bCs/>
    </w:rPr>
  </w:style>
  <w:style w:type="paragraph" w:styleId="12">
    <w:name w:val="Body Text First Indent"/>
    <w:basedOn w:val="1"/>
    <w:link w:val="21"/>
    <w:unhideWhenUsed/>
    <w:qFormat/>
    <w:uiPriority w:val="0"/>
    <w:pPr>
      <w:spacing w:beforeLines="50" w:line="360" w:lineRule="auto"/>
      <w:ind w:firstLine="200" w:firstLineChars="200"/>
    </w:pPr>
    <w:rPr>
      <w:rFonts w:ascii="Times New Roman" w:hAnsi="Times New Roman"/>
      <w:kern w:val="0"/>
      <w:sz w:val="24"/>
      <w:szCs w:val="24"/>
    </w:rPr>
  </w:style>
  <w:style w:type="character" w:styleId="15">
    <w:name w:val="Hyperlink"/>
    <w:unhideWhenUsed/>
    <w:qFormat/>
    <w:uiPriority w:val="99"/>
    <w:rPr>
      <w:color w:val="0000FF"/>
      <w:u w:val="single"/>
    </w:rPr>
  </w:style>
  <w:style w:type="character" w:styleId="16">
    <w:name w:val="annotation reference"/>
    <w:unhideWhenUsed/>
    <w:qFormat/>
    <w:uiPriority w:val="99"/>
    <w:rPr>
      <w:sz w:val="21"/>
      <w:szCs w:val="21"/>
    </w:rPr>
  </w:style>
  <w:style w:type="character" w:customStyle="1" w:styleId="17">
    <w:name w:val="批注框文本 Char"/>
    <w:link w:val="7"/>
    <w:semiHidden/>
    <w:qFormat/>
    <w:uiPriority w:val="99"/>
    <w:rPr>
      <w:rFonts w:ascii="Calibri" w:hAnsi="Calibri" w:eastAsia="宋体" w:cs="Times New Roman"/>
      <w:sz w:val="18"/>
      <w:szCs w:val="18"/>
    </w:rPr>
  </w:style>
  <w:style w:type="character" w:customStyle="1" w:styleId="18">
    <w:name w:val="批注主题 Char"/>
    <w:link w:val="11"/>
    <w:semiHidden/>
    <w:qFormat/>
    <w:uiPriority w:val="99"/>
    <w:rPr>
      <w:b/>
      <w:bCs/>
      <w:kern w:val="2"/>
      <w:sz w:val="21"/>
      <w:szCs w:val="22"/>
    </w:rPr>
  </w:style>
  <w:style w:type="character" w:customStyle="1" w:styleId="19">
    <w:name w:val="正文文本 Char"/>
    <w:link w:val="4"/>
    <w:semiHidden/>
    <w:qFormat/>
    <w:uiPriority w:val="99"/>
    <w:rPr>
      <w:rFonts w:ascii="Calibri" w:hAnsi="Calibri" w:eastAsia="宋体" w:cs="Times New Roman"/>
    </w:rPr>
  </w:style>
  <w:style w:type="character" w:customStyle="1" w:styleId="20">
    <w:name w:val="页眉 Char"/>
    <w:link w:val="9"/>
    <w:qFormat/>
    <w:uiPriority w:val="99"/>
    <w:rPr>
      <w:kern w:val="2"/>
      <w:sz w:val="18"/>
      <w:szCs w:val="18"/>
    </w:rPr>
  </w:style>
  <w:style w:type="character" w:customStyle="1" w:styleId="21">
    <w:name w:val="正文首行缩进 Char"/>
    <w:link w:val="12"/>
    <w:qFormat/>
    <w:uiPriority w:val="0"/>
    <w:rPr>
      <w:rFonts w:ascii="Times New Roman" w:hAnsi="Times New Roman" w:eastAsia="宋体" w:cs="Times New Roman"/>
      <w:sz w:val="24"/>
      <w:szCs w:val="24"/>
    </w:rPr>
  </w:style>
  <w:style w:type="character" w:customStyle="1" w:styleId="22">
    <w:name w:val="正文文本缩进 2 Char"/>
    <w:basedOn w:val="14"/>
    <w:link w:val="6"/>
    <w:qFormat/>
    <w:uiPriority w:val="0"/>
    <w:rPr>
      <w:rFonts w:hint="eastAsia" w:ascii="华文中宋" w:hAnsi="华文中宋" w:eastAsia="仿宋_GB2312" w:cs="Times New Roman"/>
      <w:kern w:val="2"/>
      <w:sz w:val="32"/>
      <w:szCs w:val="44"/>
    </w:rPr>
  </w:style>
  <w:style w:type="character" w:customStyle="1" w:styleId="23">
    <w:name w:val="纯文本 Char1"/>
    <w:basedOn w:val="14"/>
    <w:link w:val="5"/>
    <w:qFormat/>
    <w:uiPriority w:val="0"/>
    <w:rPr>
      <w:rFonts w:hint="eastAsia" w:ascii="宋体" w:hAnsi="Courier New" w:eastAsia="仿宋_GB2312" w:cs="Times New Roman"/>
      <w:kern w:val="2"/>
      <w:sz w:val="28"/>
    </w:rPr>
  </w:style>
  <w:style w:type="character" w:customStyle="1" w:styleId="24">
    <w:name w:val="页脚 Char"/>
    <w:link w:val="8"/>
    <w:qFormat/>
    <w:uiPriority w:val="99"/>
    <w:rPr>
      <w:kern w:val="2"/>
      <w:sz w:val="18"/>
      <w:szCs w:val="18"/>
    </w:rPr>
  </w:style>
  <w:style w:type="character" w:customStyle="1" w:styleId="25">
    <w:name w:val="批注文字 Char"/>
    <w:link w:val="3"/>
    <w:semiHidden/>
    <w:qFormat/>
    <w:uiPriority w:val="99"/>
    <w:rPr>
      <w:kern w:val="2"/>
      <w:sz w:val="21"/>
      <w:szCs w:val="22"/>
    </w:rPr>
  </w:style>
  <w:style w:type="character" w:customStyle="1" w:styleId="26">
    <w:name w:val="纯文本 Char"/>
    <w:basedOn w:val="14"/>
    <w:qFormat/>
    <w:uiPriority w:val="0"/>
    <w:rPr>
      <w:rFonts w:hint="eastAsia" w:ascii="宋体" w:hAnsi="Courier New" w:eastAsia="宋体" w:cs="Courier New"/>
      <w:kern w:val="2"/>
      <w:sz w:val="21"/>
      <w:szCs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Sky123.Org</Company>
  <Pages>3</Pages>
  <Words>1169</Words>
  <Characters>1231</Characters>
  <Lines>22</Lines>
  <Paragraphs>6</Paragraphs>
  <TotalTime>135</TotalTime>
  <ScaleCrop>false</ScaleCrop>
  <LinksUpToDate>false</LinksUpToDate>
  <CharactersWithSpaces>1231</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2017-03-20T13:45:00Z</dcterms:created>
  <dc:creator>2012-5-02</dc:creator>
  <cp:lastModifiedBy>李胜</cp:lastModifiedBy>
  <cp:lastPrinted>2018-05-22T00:59:00Z</cp:lastPrinted>
  <dcterms:modified xsi:type="dcterms:W3CDTF">2026-01-27T08:24:14Z</dcterms:modified>
  <cp:revision>10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27C3887479ED495CA9D99CD458023B8D</vt:lpwstr>
  </property>
</Properties>
</file>