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jc w:val="center"/>
        <w:rPr>
          <w:rFonts w:ascii="Times New Roman" w:hAnsi="Times New Roman" w:cs="Times New Roman"/>
          <w:b/>
          <w:bCs/>
          <w:sz w:val="28"/>
          <w:szCs w:val="28"/>
        </w:rPr>
      </w:pPr>
      <w:r>
        <w:rPr>
          <w:rFonts w:ascii="宋体" w:hAnsi="宋体" w:cs="宋体"/>
          <w:b/>
          <w:bCs/>
          <w:sz w:val="28"/>
          <w:szCs w:val="28"/>
        </w:rPr>
        <w:t>2026</w:t>
      </w:r>
      <w:r>
        <w:rPr>
          <w:rFonts w:hint="eastAsia" w:ascii="宋体" w:hAnsi="宋体" w:cs="宋体"/>
          <w:b/>
          <w:bCs/>
          <w:sz w:val="28"/>
          <w:szCs w:val="28"/>
        </w:rPr>
        <w:t>年云南十里阳光发展有限公司餐饮部</w:t>
      </w:r>
      <w:r>
        <w:rPr>
          <w:rFonts w:hint="eastAsia" w:ascii="宋体" w:hAnsi="宋体" w:cs="宋体"/>
          <w:b/>
          <w:bCs/>
          <w:sz w:val="28"/>
          <w:szCs w:val="28"/>
          <w:lang w:val="en-US" w:eastAsia="zh-CN"/>
        </w:rPr>
        <w:t>桌椅</w:t>
      </w:r>
      <w:r>
        <w:rPr>
          <w:rFonts w:hint="eastAsia" w:ascii="宋体" w:hAnsi="宋体" w:cs="宋体"/>
          <w:b/>
          <w:bCs/>
          <w:sz w:val="28"/>
          <w:szCs w:val="28"/>
        </w:rPr>
        <w:t>运输</w:t>
      </w:r>
      <w:r>
        <w:rPr>
          <w:rFonts w:hint="eastAsia" w:ascii="宋体" w:hAnsi="宋体" w:cs="宋体"/>
          <w:b/>
          <w:bCs/>
          <w:sz w:val="28"/>
          <w:szCs w:val="28"/>
          <w:lang w:val="en-US" w:eastAsia="zh-CN"/>
        </w:rPr>
        <w:t>搬运</w:t>
      </w:r>
      <w:r>
        <w:rPr>
          <w:rFonts w:hint="eastAsia" w:ascii="宋体" w:hAnsi="宋体" w:cs="宋体"/>
          <w:b/>
          <w:bCs/>
          <w:sz w:val="28"/>
          <w:szCs w:val="28"/>
        </w:rPr>
        <w:t>服务项目技术规范书</w:t>
      </w:r>
    </w:p>
    <w:p>
      <w:pPr>
        <w:spacing w:line="360" w:lineRule="auto"/>
        <w:jc w:val="left"/>
        <w:rPr>
          <w:rFonts w:ascii="仿宋" w:hAnsi="仿宋" w:eastAsia="仿宋" w:cs="Times New Roman"/>
          <w:b/>
          <w:bCs/>
        </w:rPr>
      </w:pPr>
      <w:r>
        <w:rPr>
          <w:rFonts w:hint="eastAsia" w:ascii="仿宋" w:hAnsi="仿宋" w:eastAsia="仿宋" w:cs="仿宋"/>
          <w:b/>
          <w:bCs/>
        </w:rPr>
        <w:t>一</w:t>
      </w:r>
      <w:r>
        <w:rPr>
          <w:rFonts w:ascii="仿宋" w:hAnsi="仿宋" w:eastAsia="仿宋" w:cs="仿宋"/>
          <w:b/>
          <w:bCs/>
        </w:rPr>
        <w:t>.</w:t>
      </w:r>
      <w:r>
        <w:rPr>
          <w:rFonts w:hint="eastAsia" w:ascii="仿宋" w:hAnsi="仿宋" w:eastAsia="仿宋" w:cs="仿宋"/>
          <w:b/>
          <w:bCs/>
        </w:rPr>
        <w:t>项目概要</w:t>
      </w:r>
    </w:p>
    <w:p>
      <w:pPr>
        <w:spacing w:line="360" w:lineRule="auto"/>
        <w:ind w:firstLine="420" w:firstLineChars="200"/>
        <w:jc w:val="left"/>
        <w:rPr>
          <w:rFonts w:ascii="仿宋" w:hAnsi="仿宋" w:eastAsia="仿宋" w:cs="Times New Roman"/>
        </w:rPr>
      </w:pPr>
      <w:r>
        <w:rPr>
          <w:rFonts w:hint="eastAsia" w:ascii="仿宋" w:hAnsi="仿宋" w:eastAsia="仿宋" w:cs="仿宋"/>
        </w:rPr>
        <w:t>云南十里阳光发展有限公司（以下简称：“公司”）餐饮部，因接待大型婚宴需至昆明市官渡区春城路</w:t>
      </w:r>
      <w:r>
        <w:rPr>
          <w:rFonts w:hint="eastAsia" w:ascii="仿宋" w:hAnsi="仿宋" w:eastAsia="仿宋" w:cs="仿宋"/>
          <w:lang w:val="en-US" w:eastAsia="zh-CN"/>
        </w:rPr>
        <w:t>往返</w:t>
      </w:r>
      <w:r>
        <w:rPr>
          <w:rFonts w:hint="eastAsia" w:ascii="仿宋" w:hAnsi="仿宋" w:eastAsia="仿宋" w:cs="仿宋"/>
        </w:rPr>
        <w:t>运输大圆桌、转盘和凳子</w:t>
      </w:r>
      <w:r>
        <w:rPr>
          <w:rFonts w:hint="eastAsia" w:ascii="仿宋" w:hAnsi="仿宋" w:eastAsia="仿宋" w:cs="仿宋"/>
          <w:lang w:val="en-US" w:eastAsia="zh-CN"/>
        </w:rPr>
        <w:t>等（往返路程大约40公里）</w:t>
      </w:r>
      <w:r>
        <w:rPr>
          <w:rFonts w:hint="eastAsia" w:ascii="仿宋" w:hAnsi="仿宋" w:eastAsia="仿宋" w:cs="仿宋"/>
        </w:rPr>
        <w:t>。</w:t>
      </w:r>
    </w:p>
    <w:p>
      <w:pPr>
        <w:spacing w:line="360" w:lineRule="auto"/>
        <w:jc w:val="left"/>
        <w:rPr>
          <w:rFonts w:ascii="仿宋" w:hAnsi="仿宋" w:eastAsia="仿宋" w:cs="Times New Roman"/>
          <w:b/>
          <w:bCs/>
        </w:rPr>
      </w:pPr>
      <w:r>
        <w:rPr>
          <w:rFonts w:hint="eastAsia" w:ascii="仿宋" w:hAnsi="仿宋" w:eastAsia="仿宋" w:cs="仿宋"/>
          <w:b/>
          <w:bCs/>
        </w:rPr>
        <w:t>二</w:t>
      </w:r>
      <w:r>
        <w:rPr>
          <w:rFonts w:ascii="仿宋" w:hAnsi="仿宋" w:eastAsia="仿宋" w:cs="仿宋"/>
          <w:b/>
          <w:bCs/>
        </w:rPr>
        <w:t>.</w:t>
      </w:r>
      <w:r>
        <w:rPr>
          <w:rFonts w:hint="eastAsia" w:ascii="仿宋" w:hAnsi="仿宋" w:eastAsia="仿宋" w:cs="仿宋"/>
          <w:b/>
          <w:bCs/>
        </w:rPr>
        <w:t>项目技术要求</w:t>
      </w:r>
    </w:p>
    <w:p>
      <w:pPr>
        <w:spacing w:line="360" w:lineRule="auto"/>
        <w:jc w:val="left"/>
        <w:rPr>
          <w:rFonts w:ascii="仿宋" w:hAnsi="仿宋" w:eastAsia="仿宋" w:cs="Times New Roman"/>
        </w:rPr>
      </w:pPr>
      <w:r>
        <w:rPr>
          <w:rFonts w:ascii="仿宋" w:hAnsi="仿宋" w:eastAsia="仿宋" w:cs="仿宋"/>
          <w:b/>
          <w:bCs/>
        </w:rPr>
        <w:t>1.</w:t>
      </w:r>
      <w:r>
        <w:rPr>
          <w:rFonts w:hint="eastAsia" w:ascii="仿宋" w:hAnsi="仿宋" w:eastAsia="仿宋" w:cs="仿宋"/>
          <w:b/>
          <w:bCs/>
        </w:rPr>
        <w:t>车辆与装备要求</w:t>
      </w:r>
    </w:p>
    <w:p>
      <w:pPr>
        <w:spacing w:line="360" w:lineRule="auto"/>
        <w:ind w:left="1050" w:leftChars="200" w:hanging="630" w:hangingChars="300"/>
        <w:jc w:val="left"/>
        <w:rPr>
          <w:rFonts w:hint="eastAsia" w:ascii="仿宋" w:hAnsi="仿宋" w:eastAsia="仿宋" w:cs="Times New Roman"/>
          <w:lang w:eastAsia="zh-CN"/>
        </w:rPr>
      </w:pPr>
      <w:r>
        <w:rPr>
          <w:rFonts w:hint="eastAsia" w:ascii="仿宋" w:hAnsi="仿宋" w:eastAsia="仿宋" w:cs="仿宋"/>
        </w:rPr>
        <w:t>（</w:t>
      </w:r>
      <w:r>
        <w:rPr>
          <w:rFonts w:ascii="仿宋" w:hAnsi="仿宋" w:eastAsia="仿宋" w:cs="仿宋"/>
        </w:rPr>
        <w:t>1</w:t>
      </w:r>
      <w:r>
        <w:rPr>
          <w:rFonts w:hint="eastAsia" w:ascii="仿宋" w:hAnsi="仿宋" w:eastAsia="仿宋" w:cs="仿宋"/>
        </w:rPr>
        <w:t>）车辆类型：需符合货物特性，</w:t>
      </w:r>
      <w:r>
        <w:rPr>
          <w:rFonts w:hint="eastAsia" w:ascii="仿宋" w:hAnsi="仿宋" w:eastAsia="仿宋" w:cs="仿宋"/>
          <w:lang w:val="en-US" w:eastAsia="zh-CN"/>
        </w:rPr>
        <w:t>车辆</w:t>
      </w:r>
      <w:r>
        <w:rPr>
          <w:rFonts w:hint="eastAsia" w:ascii="仿宋" w:hAnsi="仿宋" w:eastAsia="仿宋" w:cs="仿宋"/>
        </w:rPr>
        <w:t>状况良好</w:t>
      </w:r>
      <w:r>
        <w:rPr>
          <w:rFonts w:hint="eastAsia" w:ascii="仿宋" w:hAnsi="仿宋" w:eastAsia="仿宋" w:cs="仿宋"/>
          <w:lang w:eastAsia="zh-CN"/>
        </w:rPr>
        <w:t>。</w:t>
      </w:r>
    </w:p>
    <w:p>
      <w:pPr>
        <w:spacing w:line="360" w:lineRule="auto"/>
        <w:ind w:firstLine="420" w:firstLineChars="200"/>
        <w:jc w:val="left"/>
        <w:rPr>
          <w:rFonts w:ascii="仿宋" w:hAnsi="仿宋" w:eastAsia="仿宋" w:cs="Times New Roman"/>
        </w:rPr>
      </w:pPr>
      <w:r>
        <w:rPr>
          <w:rFonts w:hint="eastAsia" w:ascii="仿宋" w:hAnsi="仿宋" w:eastAsia="仿宋" w:cs="仿宋"/>
        </w:rPr>
        <w:t>（</w:t>
      </w:r>
      <w:r>
        <w:rPr>
          <w:rFonts w:ascii="仿宋" w:hAnsi="仿宋" w:eastAsia="仿宋" w:cs="仿宋"/>
        </w:rPr>
        <w:t>2</w:t>
      </w:r>
      <w:r>
        <w:rPr>
          <w:rFonts w:hint="eastAsia" w:ascii="仿宋" w:hAnsi="仿宋" w:eastAsia="仿宋" w:cs="仿宋"/>
        </w:rPr>
        <w:t>）发票开具：</w:t>
      </w:r>
      <w:r>
        <w:rPr>
          <w:rFonts w:hint="eastAsia" w:ascii="仿宋" w:hAnsi="仿宋" w:eastAsia="仿宋" w:cs="仿宋"/>
          <w:lang w:val="en-US" w:eastAsia="zh-CN"/>
        </w:rPr>
        <w:t>需</w:t>
      </w:r>
      <w:r>
        <w:rPr>
          <w:rFonts w:hint="eastAsia" w:ascii="仿宋" w:hAnsi="仿宋" w:eastAsia="仿宋" w:cs="仿宋"/>
        </w:rPr>
        <w:t>提供增值税专用发票</w:t>
      </w:r>
      <w:bookmarkStart w:id="0" w:name="_GoBack"/>
      <w:bookmarkEnd w:id="0"/>
    </w:p>
    <w:p>
      <w:pPr>
        <w:tabs>
          <w:tab w:val="left" w:pos="312"/>
        </w:tabs>
        <w:spacing w:line="360" w:lineRule="auto"/>
        <w:jc w:val="left"/>
        <w:rPr>
          <w:rFonts w:ascii="仿宋" w:hAnsi="仿宋" w:eastAsia="仿宋" w:cs="Times New Roman"/>
        </w:rPr>
      </w:pPr>
      <w:r>
        <w:rPr>
          <w:rFonts w:ascii="仿宋" w:hAnsi="仿宋" w:eastAsia="仿宋" w:cs="仿宋"/>
          <w:b/>
          <w:bCs/>
        </w:rPr>
        <w:t>2.</w:t>
      </w:r>
      <w:r>
        <w:rPr>
          <w:rFonts w:hint="eastAsia" w:ascii="仿宋" w:hAnsi="仿宋" w:eastAsia="仿宋" w:cs="仿宋"/>
          <w:b/>
          <w:bCs/>
          <w:lang w:val="en-US" w:eastAsia="zh-CN"/>
        </w:rPr>
        <w:t>服务</w:t>
      </w:r>
      <w:r>
        <w:rPr>
          <w:rFonts w:hint="eastAsia" w:ascii="仿宋" w:hAnsi="仿宋" w:eastAsia="仿宋" w:cs="仿宋"/>
          <w:b/>
          <w:bCs/>
        </w:rPr>
        <w:t>要求：</w:t>
      </w:r>
    </w:p>
    <w:p>
      <w:pPr>
        <w:spacing w:line="360" w:lineRule="auto"/>
        <w:ind w:left="630" w:leftChars="200" w:hanging="210" w:hangingChars="100"/>
        <w:jc w:val="left"/>
        <w:rPr>
          <w:rFonts w:ascii="仿宋" w:hAnsi="仿宋" w:eastAsia="仿宋" w:cs="Times New Roman"/>
        </w:rPr>
      </w:pPr>
      <w:r>
        <w:rPr>
          <w:rFonts w:hint="eastAsia" w:ascii="仿宋" w:hAnsi="仿宋" w:eastAsia="仿宋" w:cs="仿宋"/>
        </w:rPr>
        <w:t>⑴</w:t>
      </w:r>
      <w:r>
        <w:rPr>
          <w:rFonts w:ascii="仿宋" w:hAnsi="仿宋" w:eastAsia="仿宋" w:cs="仿宋"/>
        </w:rPr>
        <w:t>.</w:t>
      </w:r>
      <w:r>
        <w:rPr>
          <w:rFonts w:hint="eastAsia" w:ascii="仿宋" w:hAnsi="仿宋" w:eastAsia="仿宋" w:cs="仿宋"/>
          <w:lang w:val="en-US" w:eastAsia="zh-CN"/>
        </w:rPr>
        <w:t>驾驶员</w:t>
      </w:r>
      <w:r>
        <w:rPr>
          <w:rFonts w:hint="eastAsia" w:ascii="仿宋" w:hAnsi="仿宋" w:eastAsia="仿宋" w:cs="仿宋"/>
        </w:rPr>
        <w:t>需具备货物运输</w:t>
      </w:r>
      <w:r>
        <w:rPr>
          <w:rFonts w:hint="eastAsia" w:ascii="仿宋" w:hAnsi="仿宋" w:eastAsia="仿宋" w:cs="仿宋"/>
          <w:lang w:val="en-US" w:eastAsia="zh-CN"/>
        </w:rPr>
        <w:t>相关资质</w:t>
      </w:r>
      <w:r>
        <w:rPr>
          <w:rFonts w:hint="eastAsia" w:ascii="仿宋" w:hAnsi="仿宋" w:eastAsia="仿宋" w:cs="仿宋"/>
        </w:rPr>
        <w:t>，驾驶员遵守交通运输要求</w:t>
      </w:r>
      <w:r>
        <w:rPr>
          <w:rFonts w:hint="eastAsia" w:ascii="仿宋" w:hAnsi="仿宋" w:eastAsia="仿宋" w:cs="仿宋"/>
          <w:lang w:eastAsia="zh-CN"/>
        </w:rPr>
        <w:t>、</w:t>
      </w:r>
      <w:r>
        <w:rPr>
          <w:rFonts w:hint="eastAsia" w:ascii="仿宋" w:hAnsi="仿宋" w:eastAsia="仿宋" w:cs="仿宋"/>
          <w:lang w:val="en-US" w:eastAsia="zh-CN"/>
        </w:rPr>
        <w:t>在往返运输及搬运全过程中所发生一切事故均由运输公司自行承担责任</w:t>
      </w:r>
      <w:r>
        <w:rPr>
          <w:rFonts w:hint="eastAsia" w:ascii="仿宋" w:hAnsi="仿宋" w:eastAsia="仿宋" w:cs="仿宋"/>
        </w:rPr>
        <w:t>。</w:t>
      </w:r>
    </w:p>
    <w:p>
      <w:pPr>
        <w:pStyle w:val="2"/>
        <w:ind w:left="840" w:leftChars="200" w:hanging="420" w:hangingChars="200"/>
        <w:rPr>
          <w:rFonts w:ascii="仿宋" w:hAnsi="仿宋" w:eastAsia="仿宋" w:cs="Times New Roman"/>
        </w:rPr>
      </w:pPr>
      <w:r>
        <w:rPr>
          <w:rFonts w:hint="eastAsia" w:ascii="仿宋" w:hAnsi="仿宋" w:eastAsia="仿宋" w:cs="仿宋"/>
        </w:rPr>
        <w:t>⑵．装卸人员需</w:t>
      </w:r>
      <w:r>
        <w:rPr>
          <w:rFonts w:hint="eastAsia" w:ascii="仿宋" w:hAnsi="仿宋" w:eastAsia="仿宋" w:cs="仿宋"/>
          <w:lang w:val="en-US" w:eastAsia="zh-CN"/>
        </w:rPr>
        <w:t>保证搬运货物完好无损</w:t>
      </w:r>
      <w:r>
        <w:rPr>
          <w:rFonts w:hint="eastAsia" w:ascii="仿宋" w:hAnsi="仿宋" w:eastAsia="仿宋" w:cs="仿宋"/>
        </w:rPr>
        <w:t>，</w:t>
      </w:r>
      <w:r>
        <w:rPr>
          <w:rFonts w:hint="eastAsia" w:ascii="仿宋" w:hAnsi="仿宋" w:eastAsia="仿宋" w:cs="仿宋"/>
          <w:lang w:val="en-US" w:eastAsia="zh-CN"/>
        </w:rPr>
        <w:t>过程中无安全事故。</w:t>
      </w:r>
    </w:p>
    <w:p>
      <w:pPr>
        <w:pStyle w:val="2"/>
        <w:ind w:firstLine="0" w:firstLineChars="0"/>
        <w:rPr>
          <w:rFonts w:ascii="仿宋" w:hAnsi="仿宋" w:eastAsia="仿宋" w:cs="Times New Roman"/>
          <w:b/>
          <w:bCs/>
        </w:rPr>
      </w:pPr>
      <w:r>
        <w:rPr>
          <w:rFonts w:hint="eastAsia" w:ascii="仿宋" w:hAnsi="仿宋" w:eastAsia="仿宋" w:cs="仿宋"/>
          <w:b/>
          <w:bCs/>
          <w:lang w:val="en-US" w:eastAsia="zh-CN"/>
        </w:rPr>
        <w:t>3</w:t>
      </w:r>
      <w:r>
        <w:rPr>
          <w:rFonts w:ascii="仿宋" w:hAnsi="仿宋" w:eastAsia="仿宋" w:cs="仿宋"/>
          <w:b/>
          <w:bCs/>
        </w:rPr>
        <w:t>.</w:t>
      </w:r>
      <w:r>
        <w:rPr>
          <w:rFonts w:hint="eastAsia" w:ascii="仿宋" w:hAnsi="仿宋" w:eastAsia="仿宋" w:cs="仿宋"/>
          <w:b/>
          <w:bCs/>
        </w:rPr>
        <w:t>物品安全要求</w:t>
      </w:r>
    </w:p>
    <w:p>
      <w:pPr>
        <w:pStyle w:val="2"/>
        <w:ind w:left="31680" w:hanging="420" w:hangingChars="200"/>
        <w:rPr>
          <w:rFonts w:ascii="仿宋" w:hAnsi="仿宋" w:eastAsia="仿宋" w:cs="仿宋"/>
        </w:rPr>
      </w:pPr>
      <w:r>
        <w:rPr>
          <w:rFonts w:hint="eastAsia" w:ascii="仿宋" w:hAnsi="仿宋" w:eastAsia="仿宋" w:cs="仿宋"/>
        </w:rPr>
        <w:t>⑴．货物装车前需进行防护处理：桌椅边角用气泡膜或防撞棉包裹，桌面铺设防水布，防止刮擦、磨损及雨水浸湿</w:t>
      </w:r>
      <w:r>
        <w:rPr>
          <w:rFonts w:ascii="仿宋" w:hAnsi="仿宋" w:eastAsia="仿宋" w:cs="仿宋"/>
        </w:rPr>
        <w:t>.</w:t>
      </w:r>
    </w:p>
    <w:p>
      <w:pPr>
        <w:pStyle w:val="2"/>
        <w:ind w:left="31680" w:hanging="420" w:hangingChars="200"/>
        <w:rPr>
          <w:rFonts w:ascii="仿宋" w:hAnsi="仿宋" w:eastAsia="仿宋" w:cs="Times New Roman"/>
        </w:rPr>
      </w:pPr>
      <w:r>
        <w:rPr>
          <w:rFonts w:hint="eastAsia" w:ascii="仿宋" w:hAnsi="仿宋" w:eastAsia="仿宋" w:cs="仿宋"/>
        </w:rPr>
        <w:t>⑵</w:t>
      </w:r>
      <w:r>
        <w:rPr>
          <w:rFonts w:ascii="仿宋" w:hAnsi="仿宋" w:eastAsia="仿宋" w:cs="仿宋"/>
        </w:rPr>
        <w:t xml:space="preserve">. </w:t>
      </w:r>
      <w:r>
        <w:rPr>
          <w:rFonts w:hint="eastAsia" w:ascii="仿宋" w:hAnsi="仿宋" w:eastAsia="仿宋" w:cs="仿宋"/>
        </w:rPr>
        <w:t>货物需使用绑带、紧绳器等工具固定，防止运输途中滑到、倾倒，大件物品需采取分层稳固措施，避免堆叠挤压变形。</w:t>
      </w:r>
    </w:p>
    <w:p>
      <w:pPr>
        <w:spacing w:line="360" w:lineRule="auto"/>
        <w:ind w:left="31680" w:hanging="420" w:hangingChars="200"/>
        <w:jc w:val="left"/>
        <w:rPr>
          <w:rFonts w:ascii="仿宋" w:hAnsi="仿宋" w:eastAsia="仿宋" w:cs="Times New Roman"/>
        </w:rPr>
      </w:pPr>
      <w:r>
        <w:rPr>
          <w:rFonts w:hint="eastAsia" w:ascii="仿宋" w:hAnsi="仿宋" w:eastAsia="仿宋" w:cs="仿宋"/>
        </w:rPr>
        <w:t>⑶．运输途中需尽量避开颠簸路段，若遇极端天气（暴雨、大风等）需暂停运输或采取额外防护措施，确保物品安全。</w:t>
      </w:r>
    </w:p>
    <w:p>
      <w:pPr>
        <w:spacing w:line="360" w:lineRule="auto"/>
        <w:jc w:val="left"/>
        <w:rPr>
          <w:rFonts w:ascii="仿宋" w:hAnsi="仿宋" w:eastAsia="仿宋" w:cs="Times New Roman"/>
          <w:b/>
          <w:bCs/>
        </w:rPr>
      </w:pPr>
      <w:r>
        <w:rPr>
          <w:rFonts w:hint="eastAsia" w:ascii="仿宋" w:hAnsi="仿宋" w:eastAsia="仿宋" w:cs="仿宋"/>
          <w:b/>
          <w:bCs/>
          <w:lang w:val="en-US" w:eastAsia="zh-CN"/>
        </w:rPr>
        <w:t>4</w:t>
      </w:r>
      <w:r>
        <w:rPr>
          <w:rFonts w:ascii="仿宋" w:hAnsi="仿宋" w:eastAsia="仿宋" w:cs="仿宋"/>
          <w:b/>
          <w:bCs/>
        </w:rPr>
        <w:t>.</w:t>
      </w:r>
      <w:r>
        <w:rPr>
          <w:rFonts w:hint="eastAsia" w:ascii="仿宋" w:hAnsi="仿宋" w:eastAsia="仿宋" w:cs="仿宋"/>
          <w:b/>
          <w:bCs/>
        </w:rPr>
        <w:t>运输操作规范</w:t>
      </w:r>
    </w:p>
    <w:p>
      <w:pPr>
        <w:spacing w:line="360" w:lineRule="auto"/>
        <w:ind w:left="315" w:leftChars="150"/>
        <w:jc w:val="left"/>
        <w:rPr>
          <w:rFonts w:ascii="仿宋" w:hAnsi="仿宋" w:eastAsia="仿宋" w:cs="Times New Roman"/>
        </w:rPr>
      </w:pPr>
      <w:r>
        <w:rPr>
          <w:rFonts w:hint="eastAsia" w:ascii="仿宋" w:hAnsi="仿宋" w:eastAsia="仿宋" w:cs="仿宋"/>
        </w:rPr>
        <w:t>装卸要求：轻拿轻放，</w:t>
      </w:r>
      <w:r>
        <w:rPr>
          <w:rFonts w:hint="eastAsia" w:ascii="仿宋" w:hAnsi="仿宋" w:eastAsia="仿宋" w:cs="仿宋"/>
          <w:lang w:val="en-US" w:eastAsia="zh-CN"/>
        </w:rPr>
        <w:t>在2026年2月6日前</w:t>
      </w:r>
      <w:r>
        <w:rPr>
          <w:rFonts w:hint="eastAsia" w:ascii="仿宋" w:hAnsi="仿宋" w:eastAsia="仿宋" w:cs="仿宋"/>
        </w:rPr>
        <w:t>完好无损送达</w:t>
      </w:r>
      <w:r>
        <w:rPr>
          <w:rFonts w:hint="eastAsia" w:ascii="仿宋" w:hAnsi="仿宋" w:eastAsia="仿宋" w:cs="仿宋"/>
          <w:lang w:val="en-US" w:eastAsia="zh-CN"/>
        </w:rPr>
        <w:t>十里阳光餐厅</w:t>
      </w:r>
      <w:r>
        <w:rPr>
          <w:rFonts w:hint="eastAsia" w:ascii="仿宋" w:hAnsi="仿宋" w:eastAsia="仿宋" w:cs="仿宋"/>
        </w:rPr>
        <w:t>，配合完成</w:t>
      </w:r>
      <w:r>
        <w:rPr>
          <w:rFonts w:hint="eastAsia" w:ascii="仿宋" w:hAnsi="仿宋" w:eastAsia="仿宋" w:cs="仿宋"/>
          <w:lang w:val="en-US" w:eastAsia="zh-CN"/>
        </w:rPr>
        <w:t>卸货及</w:t>
      </w:r>
      <w:r>
        <w:rPr>
          <w:rFonts w:hint="eastAsia" w:ascii="仿宋" w:hAnsi="仿宋" w:eastAsia="仿宋" w:cs="仿宋"/>
        </w:rPr>
        <w:t>验收</w:t>
      </w:r>
      <w:r>
        <w:rPr>
          <w:rFonts w:hint="eastAsia" w:cs="宋体"/>
        </w:rPr>
        <w:t>。</w:t>
      </w:r>
    </w:p>
    <w:p>
      <w:pPr>
        <w:spacing w:line="360" w:lineRule="auto"/>
        <w:jc w:val="left"/>
        <w:rPr>
          <w:rFonts w:ascii="仿宋" w:hAnsi="仿宋" w:eastAsia="仿宋" w:cs="Times New Roman"/>
          <w:b/>
          <w:bCs/>
        </w:rPr>
      </w:pPr>
      <w:r>
        <w:rPr>
          <w:rFonts w:hint="eastAsia" w:ascii="仿宋" w:hAnsi="仿宋" w:eastAsia="仿宋" w:cs="仿宋"/>
          <w:b/>
          <w:bCs/>
        </w:rPr>
        <w:t>三</w:t>
      </w:r>
      <w:r>
        <w:rPr>
          <w:rFonts w:ascii="仿宋" w:hAnsi="仿宋" w:eastAsia="仿宋" w:cs="仿宋"/>
          <w:b/>
          <w:bCs/>
        </w:rPr>
        <w:t>.</w:t>
      </w:r>
      <w:r>
        <w:rPr>
          <w:rFonts w:hint="eastAsia" w:ascii="仿宋" w:hAnsi="仿宋" w:eastAsia="仿宋" w:cs="仿宋"/>
          <w:b/>
          <w:bCs/>
        </w:rPr>
        <w:t>报价方面</w:t>
      </w:r>
    </w:p>
    <w:p>
      <w:pPr>
        <w:spacing w:line="360" w:lineRule="auto"/>
        <w:ind w:firstLine="420"/>
        <w:jc w:val="left"/>
        <w:rPr>
          <w:rFonts w:ascii="仿宋" w:hAnsi="仿宋" w:eastAsia="仿宋" w:cs="Times New Roman"/>
        </w:rPr>
      </w:pPr>
      <w:r>
        <w:rPr>
          <w:rFonts w:hint="eastAsia" w:ascii="仿宋" w:hAnsi="仿宋" w:eastAsia="仿宋" w:cs="仿宋"/>
        </w:rPr>
        <w:t>报价方式：总价报价（包含税）</w:t>
      </w:r>
    </w:p>
    <w:p>
      <w:pPr>
        <w:spacing w:line="360" w:lineRule="auto"/>
        <w:ind w:firstLine="420" w:firstLineChars="200"/>
        <w:rPr>
          <w:rFonts w:ascii="仿宋" w:hAnsi="仿宋" w:eastAsia="仿宋" w:cs="Times New Roman"/>
        </w:rPr>
      </w:pPr>
    </w:p>
    <w:sectPr>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noPunctuationKerning w:val="1"/>
  <w:characterSpacingControl w:val="doNotCompress"/>
  <w:noLineBreaksAfter w:lang="zh-CN" w:val="$([{£¥·‘“〈《「『【〔〖〝﹙﹛﹝＄（．［｛￡￥"/>
  <w:noLineBreaksBefore w:lang="zh-CN" w:val="!%),.:;&gt;?]}¢¨°·ˇˉ―‖’”…‰′″›℃∶、。〃〉》」』】〕〗〞︶︺︾﹀﹄﹚﹜﹞！＂％＇），．：；？］｀｜｝～￠"/>
  <w:doNotValidateAgainstSchema/>
  <w:doNotDemarcateInvalidXml/>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A69"/>
    <w:rsid w:val="00260879"/>
    <w:rsid w:val="0026556B"/>
    <w:rsid w:val="00276F28"/>
    <w:rsid w:val="00281824"/>
    <w:rsid w:val="002877C7"/>
    <w:rsid w:val="002E29B2"/>
    <w:rsid w:val="003656E3"/>
    <w:rsid w:val="00420C9A"/>
    <w:rsid w:val="004D5087"/>
    <w:rsid w:val="00571696"/>
    <w:rsid w:val="007219FC"/>
    <w:rsid w:val="007F1CAE"/>
    <w:rsid w:val="00814267"/>
    <w:rsid w:val="00860A69"/>
    <w:rsid w:val="008A185F"/>
    <w:rsid w:val="00A24432"/>
    <w:rsid w:val="00B57E3A"/>
    <w:rsid w:val="00BA4187"/>
    <w:rsid w:val="00D06A2D"/>
    <w:rsid w:val="00DC567E"/>
    <w:rsid w:val="00E2014C"/>
    <w:rsid w:val="00EF64C2"/>
    <w:rsid w:val="031D37A8"/>
    <w:rsid w:val="03385656"/>
    <w:rsid w:val="035A360D"/>
    <w:rsid w:val="045E1060"/>
    <w:rsid w:val="045E43C8"/>
    <w:rsid w:val="05471293"/>
    <w:rsid w:val="067B659F"/>
    <w:rsid w:val="06F10931"/>
    <w:rsid w:val="075959FA"/>
    <w:rsid w:val="0805253B"/>
    <w:rsid w:val="088677E9"/>
    <w:rsid w:val="09513EE3"/>
    <w:rsid w:val="097442CF"/>
    <w:rsid w:val="0C9A0514"/>
    <w:rsid w:val="0E4C5D78"/>
    <w:rsid w:val="0E75758C"/>
    <w:rsid w:val="0EB949B3"/>
    <w:rsid w:val="0ECB39D4"/>
    <w:rsid w:val="128A53F1"/>
    <w:rsid w:val="1332061B"/>
    <w:rsid w:val="14BF281D"/>
    <w:rsid w:val="180F124E"/>
    <w:rsid w:val="186D4742"/>
    <w:rsid w:val="19E94B52"/>
    <w:rsid w:val="1A0B7A26"/>
    <w:rsid w:val="1B0538CB"/>
    <w:rsid w:val="1C7C366F"/>
    <w:rsid w:val="1DCD58B1"/>
    <w:rsid w:val="21794C8E"/>
    <w:rsid w:val="247E5999"/>
    <w:rsid w:val="24EE0D6A"/>
    <w:rsid w:val="257E779B"/>
    <w:rsid w:val="2655690D"/>
    <w:rsid w:val="2717598A"/>
    <w:rsid w:val="27F24D0B"/>
    <w:rsid w:val="294D466D"/>
    <w:rsid w:val="2A925ADB"/>
    <w:rsid w:val="2BA976D7"/>
    <w:rsid w:val="2CD608A9"/>
    <w:rsid w:val="2D2B2986"/>
    <w:rsid w:val="2E0233C2"/>
    <w:rsid w:val="2F3B7D20"/>
    <w:rsid w:val="30594760"/>
    <w:rsid w:val="30642AF1"/>
    <w:rsid w:val="31607511"/>
    <w:rsid w:val="337201F6"/>
    <w:rsid w:val="33CD664D"/>
    <w:rsid w:val="33D51EA8"/>
    <w:rsid w:val="33F7044F"/>
    <w:rsid w:val="35BD2339"/>
    <w:rsid w:val="37306998"/>
    <w:rsid w:val="374242DF"/>
    <w:rsid w:val="37D31A24"/>
    <w:rsid w:val="384813FC"/>
    <w:rsid w:val="389636A3"/>
    <w:rsid w:val="38D80D7B"/>
    <w:rsid w:val="396A5588"/>
    <w:rsid w:val="39933C03"/>
    <w:rsid w:val="3AA008BD"/>
    <w:rsid w:val="3B3616F8"/>
    <w:rsid w:val="3B7B3AA4"/>
    <w:rsid w:val="3B867000"/>
    <w:rsid w:val="3DEB5278"/>
    <w:rsid w:val="409A440B"/>
    <w:rsid w:val="40DF6F7E"/>
    <w:rsid w:val="41AB1BA0"/>
    <w:rsid w:val="42693474"/>
    <w:rsid w:val="42BA1E87"/>
    <w:rsid w:val="44B83445"/>
    <w:rsid w:val="44C5163B"/>
    <w:rsid w:val="450622AA"/>
    <w:rsid w:val="454E4F8D"/>
    <w:rsid w:val="46084AF2"/>
    <w:rsid w:val="463203E3"/>
    <w:rsid w:val="46873754"/>
    <w:rsid w:val="47333E80"/>
    <w:rsid w:val="476E2C55"/>
    <w:rsid w:val="4D8C283A"/>
    <w:rsid w:val="4DC90F22"/>
    <w:rsid w:val="4EB877D8"/>
    <w:rsid w:val="51E5272C"/>
    <w:rsid w:val="524D172E"/>
    <w:rsid w:val="549C15A3"/>
    <w:rsid w:val="54F30A9A"/>
    <w:rsid w:val="57CA1BBE"/>
    <w:rsid w:val="590661E7"/>
    <w:rsid w:val="5A0A4770"/>
    <w:rsid w:val="5B4D35A4"/>
    <w:rsid w:val="5CA96F3A"/>
    <w:rsid w:val="5F261328"/>
    <w:rsid w:val="5FE56175"/>
    <w:rsid w:val="60785BD4"/>
    <w:rsid w:val="60E34B01"/>
    <w:rsid w:val="636B5B38"/>
    <w:rsid w:val="655B2D8B"/>
    <w:rsid w:val="657E2354"/>
    <w:rsid w:val="65CF16D5"/>
    <w:rsid w:val="67206A22"/>
    <w:rsid w:val="68DC54AF"/>
    <w:rsid w:val="6AAD50E8"/>
    <w:rsid w:val="6ADD5356"/>
    <w:rsid w:val="6B085B8A"/>
    <w:rsid w:val="6B0A5FC3"/>
    <w:rsid w:val="6B0F7869"/>
    <w:rsid w:val="6B144D07"/>
    <w:rsid w:val="6D6B2258"/>
    <w:rsid w:val="70666D87"/>
    <w:rsid w:val="70C767D0"/>
    <w:rsid w:val="70D40319"/>
    <w:rsid w:val="715169AF"/>
    <w:rsid w:val="72BC04CA"/>
    <w:rsid w:val="75E96386"/>
    <w:rsid w:val="761015B5"/>
    <w:rsid w:val="77047750"/>
    <w:rsid w:val="7C3418D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0"/>
      <w:sz w:val="21"/>
      <w:szCs w:val="21"/>
      <w:lang w:val="en-US" w:eastAsia="zh-CN" w:bidi="ar-SA"/>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customStyle="1" w:styleId="2">
    <w:name w:val="NormalIndent"/>
    <w:basedOn w:val="1"/>
    <w:qFormat/>
    <w:uiPriority w:val="99"/>
    <w:pPr>
      <w:ind w:firstLine="420" w:firstLineChars="200"/>
    </w:pPr>
  </w:style>
  <w:style w:type="paragraph" w:styleId="3">
    <w:name w:val="footer"/>
    <w:basedOn w:val="1"/>
    <w:link w:val="7"/>
    <w:qFormat/>
    <w:uiPriority w:val="99"/>
    <w:pPr>
      <w:tabs>
        <w:tab w:val="center" w:pos="4153"/>
        <w:tab w:val="right" w:pos="8306"/>
      </w:tabs>
      <w:snapToGrid w:val="0"/>
      <w:jc w:val="left"/>
    </w:pPr>
    <w:rPr>
      <w:sz w:val="18"/>
      <w:szCs w:val="18"/>
    </w:rPr>
  </w:style>
  <w:style w:type="paragraph" w:styleId="4">
    <w:name w:val="header"/>
    <w:basedOn w:val="1"/>
    <w:link w:val="8"/>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Footer Char"/>
    <w:basedOn w:val="6"/>
    <w:link w:val="3"/>
    <w:semiHidden/>
    <w:qFormat/>
    <w:locked/>
    <w:uiPriority w:val="99"/>
    <w:rPr>
      <w:rFonts w:ascii="Calibri" w:hAnsi="Calibri" w:cs="Calibri"/>
      <w:kern w:val="0"/>
      <w:sz w:val="18"/>
      <w:szCs w:val="18"/>
    </w:rPr>
  </w:style>
  <w:style w:type="character" w:customStyle="1" w:styleId="8">
    <w:name w:val="Header Char"/>
    <w:basedOn w:val="6"/>
    <w:link w:val="4"/>
    <w:semiHidden/>
    <w:qFormat/>
    <w:locked/>
    <w:uiPriority w:val="99"/>
    <w:rPr>
      <w:rFonts w:ascii="Calibri" w:hAnsi="Calibri" w:cs="Calibri"/>
      <w:kern w:val="0"/>
      <w:sz w:val="18"/>
      <w:szCs w:val="18"/>
    </w:rPr>
  </w:style>
  <w:style w:type="character" w:customStyle="1" w:styleId="9">
    <w:name w:val="font91"/>
    <w:basedOn w:val="6"/>
    <w:qFormat/>
    <w:uiPriority w:val="99"/>
    <w:rPr>
      <w:rFonts w:ascii="Times New Roman" w:hAnsi="Times New Roman" w:cs="Times New Roman"/>
      <w:color w:val="000000"/>
      <w:sz w:val="20"/>
      <w:szCs w:val="20"/>
      <w:u w:val="none"/>
    </w:rPr>
  </w:style>
  <w:style w:type="character" w:customStyle="1" w:styleId="10">
    <w:name w:val="font81"/>
    <w:basedOn w:val="6"/>
    <w:qFormat/>
    <w:uiPriority w:val="99"/>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china</Company>
  <Pages>1</Pages>
  <Words>108</Words>
  <Characters>622</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王继刚</cp:lastModifiedBy>
  <dcterms:modified xsi:type="dcterms:W3CDTF">2026-01-28T08:43:09Z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