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151412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151412"/>
          <w:kern w:val="0"/>
          <w:sz w:val="28"/>
          <w:szCs w:val="28"/>
          <w:lang w:val="en-US" w:eastAsia="zh-CN" w:bidi="ar"/>
        </w:rPr>
        <w:t>巡检设备综合保险服务：报价表</w:t>
      </w:r>
    </w:p>
    <w:p>
      <w:pPr>
        <w:pStyle w:val="2"/>
        <w:rPr>
          <w:rFonts w:hint="eastAsia"/>
          <w:lang w:val="en-US" w:eastAsia="zh-CN"/>
        </w:rPr>
      </w:pPr>
    </w:p>
    <w:tbl>
      <w:tblPr>
        <w:tblStyle w:val="26"/>
        <w:tblW w:w="85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0"/>
        <w:gridCol w:w="3756"/>
        <w:gridCol w:w="40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40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43424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3756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1B191A"/>
                <w:kern w:val="0"/>
                <w:sz w:val="24"/>
                <w:szCs w:val="24"/>
                <w:lang w:val="en-US" w:eastAsia="zh-CN" w:bidi="ar"/>
              </w:rPr>
              <w:t>项目内容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4029" w:type="dxa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202020"/>
                <w:kern w:val="0"/>
                <w:sz w:val="24"/>
                <w:szCs w:val="24"/>
                <w:lang w:val="en-US" w:eastAsia="zh-CN" w:bidi="ar"/>
              </w:rPr>
              <w:t>投标下浮率(%)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08" w:hRule="atLeast"/>
        </w:trPr>
        <w:tc>
          <w:tcPr>
            <w:tcW w:w="7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454442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375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504F4B"/>
                <w:kern w:val="0"/>
                <w:sz w:val="24"/>
                <w:szCs w:val="24"/>
                <w:lang w:val="en-US" w:eastAsia="zh-CN" w:bidi="ar"/>
              </w:rPr>
              <w:t>标的名称：</w:t>
            </w:r>
            <w:r>
              <w:rPr>
                <w:rFonts w:hint="eastAsia" w:ascii="宋体" w:hAnsi="宋体" w:eastAsia="宋体" w:cs="宋体"/>
                <w:color w:val="494844"/>
                <w:kern w:val="0"/>
                <w:sz w:val="24"/>
                <w:szCs w:val="24"/>
                <w:lang w:val="en-US" w:eastAsia="zh-CN" w:bidi="ar"/>
              </w:rPr>
              <w:t>巡检设备综合保险服务</w:t>
            </w:r>
          </w:p>
        </w:tc>
        <w:tc>
          <w:tcPr>
            <w:tcW w:w="4029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</w:tbl>
    <w:p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color w:val="403F3B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403F3B"/>
          <w:kern w:val="0"/>
          <w:sz w:val="24"/>
          <w:szCs w:val="24"/>
          <w:lang w:val="en-US" w:eastAsia="zh-CN" w:bidi="ar"/>
        </w:rPr>
      </w:pPr>
    </w:p>
    <w:tbl>
      <w:tblPr>
        <w:tblStyle w:val="26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1212"/>
        <w:gridCol w:w="2228"/>
        <w:gridCol w:w="1429"/>
        <w:gridCol w:w="1420"/>
        <w:gridCol w:w="14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5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474644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71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22211F"/>
                <w:kern w:val="0"/>
                <w:sz w:val="24"/>
                <w:szCs w:val="24"/>
                <w:lang w:val="en-US" w:eastAsia="zh-CN" w:bidi="ar"/>
              </w:rPr>
              <w:t>险种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13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1C1B19"/>
                <w:kern w:val="0"/>
                <w:sz w:val="24"/>
                <w:szCs w:val="24"/>
                <w:lang w:val="en-US" w:eastAsia="zh-CN" w:bidi="ar"/>
              </w:rPr>
              <w:t>保额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838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403F3D"/>
                <w:kern w:val="0"/>
                <w:sz w:val="24"/>
                <w:szCs w:val="24"/>
                <w:lang w:val="en-US" w:eastAsia="zh-CN" w:bidi="ar"/>
              </w:rPr>
              <w:t>限价费率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833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2D2B2C"/>
                <w:kern w:val="0"/>
                <w:sz w:val="24"/>
                <w:szCs w:val="24"/>
                <w:lang w:val="en-US" w:eastAsia="zh-CN" w:bidi="ar"/>
              </w:rPr>
              <w:t>适用标的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833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475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71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302F2D"/>
                <w:kern w:val="0"/>
                <w:sz w:val="24"/>
                <w:szCs w:val="24"/>
                <w:lang w:val="en-US" w:eastAsia="zh-CN" w:bidi="ar"/>
              </w:rPr>
              <w:t>设备险</w:t>
            </w:r>
          </w:p>
        </w:tc>
        <w:tc>
          <w:tcPr>
            <w:tcW w:w="13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4D4C4A"/>
                <w:kern w:val="0"/>
                <w:sz w:val="24"/>
                <w:szCs w:val="24"/>
                <w:lang w:val="en-US" w:eastAsia="zh-CN" w:bidi="ar"/>
              </w:rPr>
              <w:t>以双方协商核定设备</w:t>
            </w:r>
            <w:r>
              <w:rPr>
                <w:rFonts w:hint="eastAsia" w:ascii="宋体" w:hAnsi="宋体" w:eastAsia="宋体" w:cs="宋体"/>
                <w:color w:val="434240"/>
                <w:kern w:val="0"/>
                <w:sz w:val="24"/>
                <w:szCs w:val="24"/>
                <w:lang w:val="en-US" w:eastAsia="zh-CN" w:bidi="ar"/>
              </w:rPr>
              <w:t>险保额为准</w:t>
            </w:r>
          </w:p>
        </w:tc>
        <w:tc>
          <w:tcPr>
            <w:tcW w:w="838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3A3937"/>
                <w:kern w:val="0"/>
                <w:sz w:val="24"/>
                <w:szCs w:val="24"/>
                <w:lang w:val="en-US" w:eastAsia="zh-CN" w:bidi="ar"/>
              </w:rPr>
              <w:t>3%</w:t>
            </w:r>
          </w:p>
        </w:tc>
        <w:tc>
          <w:tcPr>
            <w:tcW w:w="833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494844"/>
                <w:kern w:val="0"/>
                <w:sz w:val="24"/>
                <w:szCs w:val="24"/>
                <w:lang w:val="en-US" w:eastAsia="zh-CN" w:bidi="ar"/>
              </w:rPr>
              <w:t>巡检设备综合保险服务</w:t>
            </w:r>
          </w:p>
        </w:tc>
        <w:tc>
          <w:tcPr>
            <w:tcW w:w="833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color w:val="494844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default" w:ascii="宋体" w:hAnsi="宋体" w:eastAsia="宋体" w:cs="宋体"/>
                <w:color w:val="494844"/>
                <w:kern w:val="0"/>
                <w:sz w:val="24"/>
                <w:szCs w:val="24"/>
                <w:lang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660" w:hRule="atLeast"/>
        </w:trPr>
        <w:tc>
          <w:tcPr>
            <w:tcW w:w="475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711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4B4A46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4B4A46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4B4A46"/>
                <w:kern w:val="0"/>
                <w:sz w:val="24"/>
                <w:szCs w:val="24"/>
                <w:lang w:val="en-US" w:eastAsia="zh-CN" w:bidi="ar"/>
              </w:rPr>
              <w:t>第三者责任险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  <w:tc>
          <w:tcPr>
            <w:tcW w:w="130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403F3D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41403E"/>
                <w:kern w:val="0"/>
                <w:sz w:val="24"/>
                <w:szCs w:val="24"/>
                <w:lang w:val="en-US" w:eastAsia="zh-CN" w:bidi="ar"/>
              </w:rPr>
              <w:t>以双方协商核定的第三</w:t>
            </w:r>
            <w:r>
              <w:rPr>
                <w:rFonts w:hint="eastAsia" w:ascii="宋体" w:hAnsi="宋体" w:eastAsia="宋体" w:cs="宋体"/>
                <w:color w:val="403F3D"/>
                <w:kern w:val="0"/>
                <w:sz w:val="24"/>
                <w:szCs w:val="24"/>
                <w:lang w:val="en-US" w:eastAsia="zh-CN" w:bidi="ar"/>
              </w:rPr>
              <w:t>者责任险保额为准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32312F"/>
                <w:kern w:val="0"/>
                <w:sz w:val="24"/>
                <w:szCs w:val="24"/>
                <w:lang w:val="en-US" w:eastAsia="zh-CN" w:bidi="ar"/>
              </w:rPr>
              <w:t>(累计赔偿限额200</w:t>
            </w:r>
            <w:r>
              <w:rPr>
                <w:rFonts w:hint="eastAsia" w:ascii="宋体" w:hAnsi="宋体" w:eastAsia="宋体" w:cs="宋体"/>
                <w:b/>
                <w:bCs/>
                <w:color w:val="1A1917"/>
                <w:kern w:val="0"/>
                <w:sz w:val="24"/>
                <w:szCs w:val="24"/>
                <w:lang w:val="en-US" w:eastAsia="zh-CN" w:bidi="ar"/>
              </w:rPr>
              <w:t>万，每次限额100万，</w:t>
            </w:r>
            <w:r>
              <w:rPr>
                <w:rFonts w:hint="eastAsia" w:ascii="宋体" w:hAnsi="宋体" w:eastAsia="宋体" w:cs="宋体"/>
                <w:b/>
                <w:bCs/>
                <w:color w:val="151410"/>
                <w:kern w:val="0"/>
                <w:sz w:val="24"/>
                <w:szCs w:val="24"/>
                <w:lang w:val="en-US" w:eastAsia="zh-CN" w:bidi="ar"/>
              </w:rPr>
              <w:t>每人限额50万。)</w:t>
            </w:r>
          </w:p>
        </w:tc>
        <w:tc>
          <w:tcPr>
            <w:tcW w:w="838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3A3937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A3937"/>
                <w:kern w:val="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hint="default" w:ascii="宋体" w:hAnsi="宋体" w:eastAsia="宋体" w:cs="宋体"/>
                <w:color w:val="3A3937"/>
                <w:kern w:val="0"/>
                <w:sz w:val="24"/>
                <w:szCs w:val="24"/>
                <w:lang w:val="en-US" w:eastAsia="zh-CN" w:bidi="ar"/>
              </w:rPr>
              <w:t>‰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  <w:tc>
          <w:tcPr>
            <w:tcW w:w="833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494844"/>
                <w:kern w:val="0"/>
                <w:sz w:val="24"/>
                <w:szCs w:val="24"/>
                <w:lang w:val="en-US" w:eastAsia="zh-CN" w:bidi="ar"/>
              </w:rPr>
              <w:t>巡检设备综合保险服务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  <w:tc>
          <w:tcPr>
            <w:tcW w:w="833" w:type="pc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vertAlign w:val="baseline"/>
              </w:rPr>
              <w:t>/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42413D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46413F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42413D"/>
          <w:kern w:val="0"/>
          <w:sz w:val="24"/>
          <w:szCs w:val="24"/>
          <w:lang w:val="en-US" w:eastAsia="zh-CN" w:bidi="ar"/>
        </w:rPr>
        <w:t>报价说明；下浮率报价，投标人按最高限价(费率)报统一的下浮率。下浮率报价结果表现为</w:t>
      </w:r>
      <w:r>
        <w:rPr>
          <w:rFonts w:hint="eastAsia" w:ascii="宋体" w:hAnsi="宋体" w:eastAsia="宋体" w:cs="宋体"/>
          <w:b/>
          <w:bCs/>
          <w:color w:val="42413D"/>
          <w:kern w:val="0"/>
          <w:sz w:val="24"/>
          <w:szCs w:val="24"/>
          <w:lang w:val="en-US" w:eastAsia="zh-CN" w:bidi="ar"/>
        </w:rPr>
        <w:t>最终费率=限价费率×（1-中标下浮率）</w:t>
      </w:r>
      <w:r>
        <w:rPr>
          <w:rFonts w:hint="eastAsia" w:ascii="宋体" w:hAnsi="宋体" w:eastAsia="宋体" w:cs="宋体"/>
          <w:color w:val="42413D"/>
          <w:kern w:val="0"/>
          <w:sz w:val="24"/>
          <w:szCs w:val="24"/>
          <w:lang w:val="en-US" w:eastAsia="zh-CN" w:bidi="ar"/>
        </w:rPr>
        <w:t>。投标人所报的</w:t>
      </w:r>
      <w:r>
        <w:rPr>
          <w:rFonts w:hint="eastAsia" w:ascii="宋体" w:hAnsi="宋体" w:eastAsia="宋体" w:cs="宋体"/>
          <w:color w:val="3A3935"/>
          <w:kern w:val="0"/>
          <w:sz w:val="24"/>
          <w:szCs w:val="24"/>
          <w:lang w:val="en-US" w:eastAsia="zh-CN" w:bidi="ar"/>
        </w:rPr>
        <w:t>下浮率不低于0%的为有效报价。</w:t>
      </w:r>
      <w:r>
        <w:rPr>
          <w:rFonts w:hint="eastAsia" w:ascii="宋体" w:hAnsi="宋体" w:eastAsia="宋体" w:cs="宋体"/>
          <w:b/>
          <w:bCs/>
          <w:color w:val="3A3935"/>
          <w:kern w:val="0"/>
          <w:sz w:val="24"/>
          <w:szCs w:val="24"/>
          <w:lang w:val="en-US" w:eastAsia="zh-CN" w:bidi="ar"/>
        </w:rPr>
        <w:t>结算方式为设备金额*最终费率（设备险）+第三者保险保额*最终费率（第三者责任险）</w:t>
      </w:r>
      <w:r>
        <w:rPr>
          <w:rFonts w:hint="eastAsia" w:ascii="宋体" w:hAnsi="宋体" w:eastAsia="宋体" w:cs="宋体"/>
          <w:color w:val="3A3935"/>
          <w:kern w:val="0"/>
          <w:sz w:val="24"/>
          <w:szCs w:val="24"/>
          <w:lang w:val="en-US" w:eastAsia="zh-CN" w:bidi="ar"/>
        </w:rPr>
        <w:t>。</w:t>
      </w:r>
      <w:r>
        <w:rPr>
          <w:rFonts w:hint="eastAsia" w:ascii="宋体" w:hAnsi="宋体" w:eastAsia="宋体" w:cs="宋体"/>
          <w:b/>
          <w:bCs/>
          <w:color w:val="3A3935"/>
          <w:kern w:val="0"/>
          <w:sz w:val="24"/>
          <w:szCs w:val="24"/>
          <w:lang w:val="en-US" w:eastAsia="zh-CN" w:bidi="ar"/>
        </w:rPr>
        <w:t>为避免恶意竞争</w:t>
      </w:r>
      <w:r>
        <w:rPr>
          <w:rFonts w:hint="eastAsia" w:ascii="宋体" w:hAnsi="宋体" w:eastAsia="宋体" w:cs="宋体"/>
          <w:color w:val="3A3935"/>
          <w:kern w:val="0"/>
          <w:sz w:val="24"/>
          <w:szCs w:val="24"/>
          <w:lang w:val="en-US" w:eastAsia="zh-CN" w:bidi="ar"/>
        </w:rPr>
        <w:t>，低于成本价报价，规定报价下浮率大于</w:t>
      </w:r>
      <w:r>
        <w:rPr>
          <w:rFonts w:hint="eastAsia" w:ascii="宋体" w:hAnsi="宋体" w:eastAsia="宋体" w:cs="宋体"/>
          <w:color w:val="484743"/>
          <w:kern w:val="0"/>
          <w:sz w:val="24"/>
          <w:szCs w:val="24"/>
          <w:lang w:val="en-US" w:eastAsia="zh-CN" w:bidi="ar"/>
        </w:rPr>
        <w:t>10%的必须附详细的成本分析报告(成本分析报告需充分说明单价和费用的组成、降低成本</w:t>
      </w:r>
      <w:r>
        <w:rPr>
          <w:rFonts w:hint="eastAsia" w:ascii="宋体" w:hAnsi="宋体" w:eastAsia="宋体" w:cs="宋体"/>
          <w:color w:val="3A3935"/>
          <w:kern w:val="0"/>
          <w:sz w:val="24"/>
          <w:szCs w:val="24"/>
          <w:lang w:val="en-US" w:eastAsia="zh-CN" w:bidi="ar"/>
        </w:rPr>
        <w:t>的合理措施及在其他工程中应用过的经验，未提供成本分析报告视为原则性不响应招标文件</w:t>
      </w:r>
      <w:r>
        <w:rPr>
          <w:rFonts w:hint="eastAsia" w:ascii="宋体" w:hAnsi="宋体" w:eastAsia="宋体" w:cs="宋体"/>
          <w:color w:val="46413F"/>
          <w:kern w:val="0"/>
          <w:sz w:val="24"/>
          <w:szCs w:val="24"/>
          <w:lang w:val="en-US" w:eastAsia="zh-CN" w:bidi="ar"/>
        </w:rPr>
        <w:t>要求)。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433F39"/>
          <w:kern w:val="0"/>
          <w:sz w:val="24"/>
          <w:szCs w:val="24"/>
          <w:lang w:val="en-US" w:eastAsia="zh-CN" w:bidi="ar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433F39"/>
          <w:kern w:val="0"/>
          <w:sz w:val="24"/>
          <w:szCs w:val="24"/>
          <w:lang w:val="en-US" w:eastAsia="zh-CN" w:bidi="ar"/>
        </w:rPr>
        <w:t xml:space="preserve">                                        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color w:val="433F39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433F39"/>
          <w:kern w:val="0"/>
          <w:sz w:val="24"/>
          <w:szCs w:val="24"/>
          <w:lang w:val="en-US" w:eastAsia="zh-CN" w:bidi="ar"/>
        </w:rPr>
        <w:t xml:space="preserve"> 投标单位：盖章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</w:pPr>
      <w:r>
        <w:rPr>
          <w:rFonts w:hint="eastAsia" w:ascii="宋体" w:hAnsi="宋体" w:eastAsia="宋体" w:cs="宋体"/>
          <w:color w:val="433F39"/>
          <w:kern w:val="0"/>
          <w:sz w:val="24"/>
          <w:szCs w:val="24"/>
          <w:lang w:val="en-US" w:eastAsia="zh-CN" w:bidi="ar"/>
        </w:rPr>
        <w:t>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xMGFlYjgyYjM3MWQ3MTQ5ZTAxMTE1NmZkY2ZlOTEifQ=="/>
  </w:docVars>
  <w:rsids>
    <w:rsidRoot w:val="7ADC3D8B"/>
    <w:rsid w:val="190C08E3"/>
    <w:rsid w:val="1A27047E"/>
    <w:rsid w:val="1D7808E4"/>
    <w:rsid w:val="32941F5D"/>
    <w:rsid w:val="3D274A10"/>
    <w:rsid w:val="49D143A3"/>
    <w:rsid w:val="4A3F1E33"/>
    <w:rsid w:val="4FC43BF8"/>
    <w:rsid w:val="55186D4C"/>
    <w:rsid w:val="571567B5"/>
    <w:rsid w:val="6B101E80"/>
    <w:rsid w:val="76EE6F6C"/>
    <w:rsid w:val="7ADC3D8B"/>
    <w:rsid w:val="7CB3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5"/>
    <w:qFormat/>
    <w:uiPriority w:val="0"/>
    <w:pPr>
      <w:keepNext/>
      <w:keepLines/>
      <w:widowControl/>
      <w:spacing w:before="260" w:beforeLines="0" w:after="260" w:afterLines="0" w:line="413" w:lineRule="auto"/>
      <w:jc w:val="left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27">
    <w:name w:val="Default Paragraph Font"/>
    <w:semiHidden/>
    <w:qFormat/>
    <w:uiPriority w:val="0"/>
  </w:style>
  <w:style w:type="table" w:default="1" w:styleId="2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spacing w:after="120" w:line="240" w:lineRule="auto"/>
      <w:ind w:left="420" w:firstLine="210"/>
    </w:pPr>
    <w:rPr>
      <w:kern w:val="1"/>
      <w:sz w:val="21"/>
      <w:szCs w:val="24"/>
    </w:rPr>
  </w:style>
  <w:style w:type="paragraph" w:styleId="3">
    <w:name w:val="Body Text Indent"/>
    <w:basedOn w:val="1"/>
    <w:qFormat/>
    <w:uiPriority w:val="0"/>
    <w:pPr>
      <w:spacing w:line="520" w:lineRule="exact"/>
      <w:ind w:firstLine="567"/>
    </w:pPr>
    <w:rPr>
      <w:rFonts w:ascii="宋体"/>
      <w:sz w:val="24"/>
      <w:szCs w:val="20"/>
    </w:rPr>
  </w:style>
  <w:style w:type="paragraph" w:styleId="5">
    <w:name w:val="Normal Indent"/>
    <w:basedOn w:val="1"/>
    <w:next w:val="6"/>
    <w:qFormat/>
    <w:uiPriority w:val="0"/>
    <w:pPr>
      <w:ind w:firstLine="420"/>
    </w:pPr>
    <w:rPr>
      <w:szCs w:val="20"/>
    </w:rPr>
  </w:style>
  <w:style w:type="paragraph" w:customStyle="1" w:styleId="6">
    <w:name w:val="正文 New New New New"/>
    <w:next w:val="7"/>
    <w:qFormat/>
    <w:uiPriority w:val="0"/>
    <w:pPr>
      <w:widowControl w:val="0"/>
      <w:ind w:firstLine="256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7">
    <w:name w:val="Table Paragraph"/>
    <w:basedOn w:val="1"/>
    <w:next w:val="8"/>
    <w:qFormat/>
    <w:uiPriority w:val="1"/>
  </w:style>
  <w:style w:type="paragraph" w:customStyle="1" w:styleId="8">
    <w:name w:val="普通(Web)1"/>
    <w:basedOn w:val="1"/>
    <w:next w:val="9"/>
    <w:qFormat/>
    <w:uiPriority w:val="0"/>
    <w:pPr>
      <w:widowControl/>
      <w:spacing w:before="280" w:after="280"/>
      <w:ind w:firstLine="5120"/>
    </w:pPr>
    <w:rPr>
      <w:rFonts w:ascii="宋体" w:hAnsi="Times New Roman"/>
      <w:kern w:val="0"/>
      <w:sz w:val="20"/>
      <w:szCs w:val="20"/>
    </w:rPr>
  </w:style>
  <w:style w:type="paragraph" w:customStyle="1" w:styleId="9">
    <w:name w:val="Char Char Char"/>
    <w:basedOn w:val="1"/>
    <w:next w:val="10"/>
    <w:qFormat/>
    <w:uiPriority w:val="0"/>
    <w:pPr>
      <w:widowControl/>
      <w:spacing w:after="160" w:line="240" w:lineRule="exact"/>
      <w:ind w:firstLine="3584"/>
    </w:pPr>
    <w:rPr>
      <w:rFonts w:ascii="Times New Roman" w:hAnsi="Times New Roman"/>
      <w:kern w:val="0"/>
      <w:sz w:val="20"/>
      <w:szCs w:val="20"/>
    </w:rPr>
  </w:style>
  <w:style w:type="paragraph" w:customStyle="1" w:styleId="10">
    <w:name w:val="正文2"/>
    <w:basedOn w:val="1"/>
    <w:next w:val="11"/>
    <w:qFormat/>
    <w:uiPriority w:val="0"/>
    <w:pPr>
      <w:spacing w:line="360" w:lineRule="auto"/>
      <w:ind w:firstLine="200" w:firstLineChars="200"/>
      <w:jc w:val="left"/>
    </w:pPr>
    <w:rPr>
      <w:rFonts w:ascii="宋体" w:hAnsi="宋体"/>
      <w:sz w:val="24"/>
    </w:rPr>
  </w:style>
  <w:style w:type="paragraph" w:styleId="11">
    <w:name w:val="annotation text"/>
    <w:basedOn w:val="1"/>
    <w:next w:val="12"/>
    <w:qFormat/>
    <w:uiPriority w:val="99"/>
    <w:pPr>
      <w:jc w:val="left"/>
    </w:pPr>
    <w:rPr>
      <w:szCs w:val="20"/>
    </w:rPr>
  </w:style>
  <w:style w:type="paragraph" w:customStyle="1" w:styleId="12">
    <w:name w:val="样式6"/>
    <w:next w:val="13"/>
    <w:qFormat/>
    <w:uiPriority w:val="0"/>
    <w:pPr>
      <w:widowControl w:val="0"/>
      <w:spacing w:before="120" w:after="120" w:line="240" w:lineRule="atLeast"/>
      <w:ind w:firstLine="5120"/>
      <w:jc w:val="both"/>
    </w:pPr>
    <w:rPr>
      <w:rFonts w:ascii="宋体" w:hAnsi="Times New Roman" w:eastAsia="宋体" w:cs="Times New Roman"/>
      <w:caps/>
      <w:lang w:val="en-US" w:eastAsia="zh-CN" w:bidi="ar-SA"/>
    </w:rPr>
  </w:style>
  <w:style w:type="paragraph" w:styleId="13">
    <w:name w:val="Body Text 2"/>
    <w:basedOn w:val="1"/>
    <w:next w:val="14"/>
    <w:qFormat/>
    <w:uiPriority w:val="0"/>
    <w:pPr>
      <w:spacing w:after="120" w:afterLines="0" w:line="480" w:lineRule="auto"/>
    </w:pPr>
    <w:rPr>
      <w:szCs w:val="20"/>
    </w:rPr>
  </w:style>
  <w:style w:type="paragraph" w:customStyle="1" w:styleId="14">
    <w:name w:val="默认段落字体 Para Char"/>
    <w:basedOn w:val="1"/>
    <w:next w:val="15"/>
    <w:qFormat/>
    <w:uiPriority w:val="0"/>
    <w:pPr>
      <w:widowControl/>
      <w:spacing w:before="160" w:after="160" w:line="240" w:lineRule="atLeast"/>
      <w:ind w:left="1701" w:firstLine="3584"/>
    </w:pPr>
    <w:rPr>
      <w:rFonts w:ascii="Times New Roman" w:hAnsi="Times New Roman"/>
      <w:kern w:val="0"/>
      <w:sz w:val="20"/>
      <w:szCs w:val="20"/>
    </w:rPr>
  </w:style>
  <w:style w:type="paragraph" w:customStyle="1" w:styleId="15">
    <w:name w:val="Char Char Char Char Char Char Char Char Char Char Char Char Char Char Char Char"/>
    <w:basedOn w:val="1"/>
    <w:next w:val="16"/>
    <w:qFormat/>
    <w:uiPriority w:val="0"/>
    <w:pPr>
      <w:ind w:firstLine="3584"/>
    </w:pPr>
    <w:rPr>
      <w:rFonts w:ascii="Times New Roman" w:hAnsi="Times New Roman"/>
      <w:kern w:val="0"/>
      <w:sz w:val="20"/>
      <w:szCs w:val="20"/>
    </w:rPr>
  </w:style>
  <w:style w:type="paragraph" w:customStyle="1" w:styleId="16">
    <w:name w:val="列表段落1"/>
    <w:basedOn w:val="1"/>
    <w:next w:val="17"/>
    <w:qFormat/>
    <w:uiPriority w:val="0"/>
    <w:pPr>
      <w:ind w:left="420" w:firstLine="3748"/>
    </w:pPr>
    <w:rPr>
      <w:rFonts w:ascii="Times New Roman" w:hAnsi="Times New Roman"/>
      <w:kern w:val="0"/>
      <w:sz w:val="20"/>
      <w:szCs w:val="20"/>
    </w:rPr>
  </w:style>
  <w:style w:type="paragraph" w:customStyle="1" w:styleId="17">
    <w:name w:val="Char"/>
    <w:basedOn w:val="1"/>
    <w:next w:val="18"/>
    <w:qFormat/>
    <w:uiPriority w:val="0"/>
    <w:rPr>
      <w:sz w:val="24"/>
    </w:rPr>
  </w:style>
  <w:style w:type="paragraph" w:customStyle="1" w:styleId="18">
    <w:name w:val="p0"/>
    <w:basedOn w:val="1"/>
    <w:next w:val="19"/>
    <w:qFormat/>
    <w:uiPriority w:val="0"/>
    <w:pPr>
      <w:widowControl/>
    </w:pPr>
    <w:rPr>
      <w:kern w:val="0"/>
      <w:szCs w:val="21"/>
    </w:rPr>
  </w:style>
  <w:style w:type="paragraph" w:customStyle="1" w:styleId="19">
    <w:name w:val="Char Char2"/>
    <w:basedOn w:val="1"/>
    <w:next w:val="20"/>
    <w:qFormat/>
    <w:uiPriority w:val="0"/>
    <w:pPr>
      <w:ind w:firstLine="3584"/>
    </w:pPr>
    <w:rPr>
      <w:rFonts w:ascii="Times New Roman" w:hAnsi="Times New Roman"/>
      <w:kern w:val="0"/>
      <w:sz w:val="20"/>
      <w:szCs w:val="20"/>
    </w:rPr>
  </w:style>
  <w:style w:type="paragraph" w:styleId="20">
    <w:name w:val="Plain Text"/>
    <w:basedOn w:val="1"/>
    <w:next w:val="21"/>
    <w:qFormat/>
    <w:uiPriority w:val="0"/>
    <w:rPr>
      <w:rFonts w:ascii="宋体" w:hAnsi="Courier New"/>
      <w:szCs w:val="20"/>
    </w:rPr>
  </w:style>
  <w:style w:type="paragraph" w:styleId="21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22">
    <w:name w:val="Body Text"/>
    <w:basedOn w:val="1"/>
    <w:next w:val="23"/>
    <w:qFormat/>
    <w:uiPriority w:val="0"/>
    <w:pPr>
      <w:spacing w:after="120" w:afterLines="0"/>
    </w:pPr>
  </w:style>
  <w:style w:type="paragraph" w:styleId="2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24">
    <w:name w:val="Body Text First Indent"/>
    <w:basedOn w:val="22"/>
    <w:qFormat/>
    <w:uiPriority w:val="0"/>
    <w:pPr>
      <w:adjustRightInd w:val="0"/>
      <w:spacing w:after="120" w:line="560" w:lineRule="exact"/>
      <w:ind w:firstLine="420" w:firstLineChars="100"/>
      <w:textAlignment w:val="baseline"/>
    </w:pPr>
    <w:rPr>
      <w:rFonts w:hint="default" w:ascii="Times New Roman" w:eastAsia="仿宋_GB2312"/>
      <w:kern w:val="0"/>
      <w:sz w:val="30"/>
    </w:rPr>
  </w:style>
  <w:style w:type="table" w:styleId="26">
    <w:name w:val="Table Grid"/>
    <w:basedOn w:val="2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393</Words>
  <Characters>405</Characters>
  <Lines>0</Lines>
  <Paragraphs>0</Paragraphs>
  <TotalTime>47</TotalTime>
  <ScaleCrop>false</ScaleCrop>
  <LinksUpToDate>false</LinksUpToDate>
  <CharactersWithSpaces>453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2023-12-13T07:38:00Z</dcterms:created>
  <dc:creator>Eden</dc:creator>
  <cp:lastModifiedBy>yaoyanshan </cp:lastModifiedBy>
  <cp:lastPrinted>2024-03-27T06:20:00Z</cp:lastPrinted>
  <dcterms:modified xsi:type="dcterms:W3CDTF">2026-01-26T07:10:08Z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9244EBD268C54748A552BF8D3502FE11_13</vt:lpwstr>
  </property>
  <property fmtid="{D5CDD505-2E9C-101B-9397-08002B2CF9AE}" pid="4" name="KSOTemplateDocerSaveRecord">
    <vt:lpwstr>eyJoZGlkIjoiYjAyOWNiODExNTc1YzA1NmVkZGRjNGY1OWRmYmU4YjAiLCJ1c2VySWQiOiIyMTExOTMyODkifQ==</vt:lpwstr>
  </property>
</Properties>
</file>