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809" w:lineRule="exact"/>
      </w:pPr>
      <w:r>
        <w:rPr>
          <w:position w:val="-76"/>
        </w:rPr>
        <w:drawing>
          <wp:inline distT="0" distB="0" distL="0" distR="0">
            <wp:extent cx="7559675" cy="2418715"/>
            <wp:effectExtent l="0" t="0" r="3175" b="63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0"/>
                    <a:stretch>
                      <a:fillRect/>
                    </a:stretch>
                  </pic:blipFill>
                  <pic:spPr>
                    <a:xfrm>
                      <a:off x="0" y="0"/>
                      <a:ext cx="7560309" cy="2419236"/>
                    </a:xfrm>
                    <a:prstGeom prst="rect">
                      <a:avLst/>
                    </a:prstGeom>
                  </pic:spPr>
                </pic:pic>
              </a:graphicData>
            </a:graphic>
          </wp:inline>
        </w:drawing>
      </w:r>
    </w:p>
    <w:p>
      <w:pPr>
        <w:pStyle w:val="3"/>
        <w:spacing w:line="277" w:lineRule="auto"/>
      </w:pPr>
    </w:p>
    <w:p>
      <w:pPr>
        <w:pStyle w:val="3"/>
        <w:spacing w:line="278" w:lineRule="auto"/>
      </w:pPr>
    </w:p>
    <w:p>
      <w:pPr>
        <w:pStyle w:val="3"/>
        <w:spacing w:line="278" w:lineRule="auto"/>
      </w:pPr>
    </w:p>
    <w:p>
      <w:pPr>
        <w:pStyle w:val="3"/>
        <w:spacing w:line="278" w:lineRule="auto"/>
      </w:pPr>
    </w:p>
    <w:p>
      <w:pPr>
        <w:pStyle w:val="3"/>
        <w:spacing w:line="278" w:lineRule="auto"/>
      </w:pPr>
    </w:p>
    <w:p>
      <w:pPr>
        <w:spacing w:before="394" w:line="223" w:lineRule="auto"/>
        <w:jc w:val="center"/>
        <w:outlineLvl w:val="0"/>
        <w:rPr>
          <w:rFonts w:hint="eastAsia" w:ascii="黑体" w:hAnsi="黑体" w:eastAsia="黑体" w:cs="黑体"/>
          <w:sz w:val="52"/>
          <w:szCs w:val="52"/>
          <w14:textOutline w14:w="9461" w14:cap="sq" w14:cmpd="sng">
            <w14:solidFill>
              <w14:srgbClr w14:val="000000"/>
            </w14:solidFill>
            <w14:prstDash w14:val="solid"/>
            <w14:bevel/>
          </w14:textOutline>
        </w:rPr>
      </w:pPr>
      <w:r>
        <w:rPr>
          <w:rFonts w:hint="eastAsia" w:ascii="黑体" w:hAnsi="黑体" w:eastAsia="黑体" w:cs="黑体"/>
          <w:sz w:val="52"/>
          <w:szCs w:val="52"/>
          <w14:textOutline w14:w="9461" w14:cap="sq" w14:cmpd="sng">
            <w14:solidFill>
              <w14:srgbClr w14:val="000000"/>
            </w14:solidFill>
            <w14:prstDash w14:val="solid"/>
            <w14:bevel/>
          </w14:textOutline>
        </w:rPr>
        <w:t>2026年安全风险管理体系文件翻译服务</w:t>
      </w:r>
    </w:p>
    <w:p>
      <w:pPr>
        <w:spacing w:before="394" w:line="223" w:lineRule="auto"/>
        <w:jc w:val="center"/>
        <w:outlineLvl w:val="0"/>
        <w:rPr>
          <w:rFonts w:ascii="黑体" w:hAnsi="黑体" w:eastAsia="黑体" w:cs="黑体"/>
          <w:sz w:val="52"/>
          <w:szCs w:val="52"/>
        </w:rPr>
      </w:pPr>
      <w:r>
        <w:rPr>
          <w:rFonts w:ascii="黑体" w:hAnsi="黑体" w:eastAsia="黑体" w:cs="黑体"/>
          <w:spacing w:val="-3"/>
          <w:sz w:val="52"/>
          <w:szCs w:val="52"/>
          <w14:textOutline w14:w="9461" w14:cap="sq" w14:cmpd="sng">
            <w14:solidFill>
              <w14:srgbClr w14:val="000000"/>
            </w14:solidFill>
            <w14:prstDash w14:val="solid"/>
            <w14:bevel/>
          </w14:textOutline>
        </w:rPr>
        <w:t>技术规范书</w:t>
      </w:r>
    </w:p>
    <w:p>
      <w:pPr>
        <w:pStyle w:val="3"/>
      </w:pPr>
    </w:p>
    <w:p>
      <w:pPr>
        <w:pStyle w:val="3"/>
      </w:pPr>
    </w:p>
    <w:p>
      <w:pPr>
        <w:pStyle w:val="3"/>
      </w:pPr>
    </w:p>
    <w:p>
      <w:pPr>
        <w:pStyle w:val="3"/>
        <w:spacing w:line="241" w:lineRule="auto"/>
      </w:pPr>
    </w:p>
    <w:p>
      <w:pPr>
        <w:pStyle w:val="3"/>
        <w:spacing w:line="241" w:lineRule="auto"/>
      </w:pPr>
    </w:p>
    <w:p>
      <w:pPr>
        <w:pStyle w:val="3"/>
        <w:spacing w:line="241" w:lineRule="auto"/>
      </w:pPr>
    </w:p>
    <w:p>
      <w:pPr>
        <w:pStyle w:val="3"/>
        <w:spacing w:line="241" w:lineRule="auto"/>
      </w:pPr>
    </w:p>
    <w:p>
      <w:pPr>
        <w:pStyle w:val="3"/>
        <w:spacing w:line="241" w:lineRule="auto"/>
      </w:pPr>
    </w:p>
    <w:p>
      <w:pPr>
        <w:pStyle w:val="3"/>
        <w:spacing w:line="241" w:lineRule="auto"/>
      </w:pPr>
    </w:p>
    <w:p>
      <w:pPr>
        <w:pStyle w:val="3"/>
        <w:spacing w:line="241" w:lineRule="auto"/>
      </w:pPr>
    </w:p>
    <w:p>
      <w:pPr>
        <w:pStyle w:val="3"/>
        <w:spacing w:line="241" w:lineRule="auto"/>
      </w:pPr>
    </w:p>
    <w:p>
      <w:pPr>
        <w:pStyle w:val="3"/>
        <w:spacing w:line="241" w:lineRule="auto"/>
      </w:pPr>
    </w:p>
    <w:p>
      <w:pPr>
        <w:pStyle w:val="3"/>
        <w:spacing w:line="241" w:lineRule="auto"/>
      </w:pPr>
    </w:p>
    <w:p>
      <w:pPr>
        <w:keepNext w:val="0"/>
        <w:keepLines w:val="0"/>
        <w:pageBreakBefore w:val="0"/>
        <w:widowControl/>
        <w:kinsoku w:val="0"/>
        <w:wordWrap/>
        <w:overflowPunct/>
        <w:topLinePunct w:val="0"/>
        <w:autoSpaceDE w:val="0"/>
        <w:autoSpaceDN w:val="0"/>
        <w:bidi w:val="0"/>
        <w:adjustRightInd w:val="0"/>
        <w:snapToGrid w:val="0"/>
        <w:spacing w:before="101" w:line="226" w:lineRule="auto"/>
        <w:ind w:left="0"/>
        <w:jc w:val="center"/>
        <w:textAlignment w:val="baseline"/>
        <w:rPr>
          <w:rFonts w:ascii="黑体" w:hAnsi="黑体" w:eastAsia="黑体" w:cs="黑体"/>
          <w:spacing w:val="7"/>
          <w:sz w:val="31"/>
          <w:szCs w:val="31"/>
        </w:rPr>
      </w:pPr>
      <w:r>
        <w:rPr>
          <w:rFonts w:ascii="黑体" w:hAnsi="黑体" w:eastAsia="黑体" w:cs="黑体"/>
          <w:spacing w:val="7"/>
          <w:sz w:val="31"/>
          <w:szCs w:val="31"/>
        </w:rPr>
        <w:t>南方电网</w:t>
      </w:r>
      <w:r>
        <w:rPr>
          <w:rFonts w:hint="eastAsia" w:ascii="黑体" w:hAnsi="黑体" w:eastAsia="黑体" w:cs="黑体"/>
          <w:spacing w:val="7"/>
          <w:sz w:val="31"/>
          <w:szCs w:val="31"/>
          <w:lang w:val="en-US" w:eastAsia="zh-CN"/>
        </w:rPr>
        <w:t>国际有限责任</w:t>
      </w:r>
      <w:r>
        <w:rPr>
          <w:rFonts w:ascii="黑体" w:hAnsi="黑体" w:eastAsia="黑体" w:cs="黑体"/>
          <w:spacing w:val="7"/>
          <w:sz w:val="31"/>
          <w:szCs w:val="31"/>
        </w:rPr>
        <w:t>公司</w:t>
      </w:r>
    </w:p>
    <w:p>
      <w:pPr>
        <w:keepNext w:val="0"/>
        <w:keepLines w:val="0"/>
        <w:pageBreakBefore w:val="0"/>
        <w:widowControl/>
        <w:kinsoku w:val="0"/>
        <w:wordWrap/>
        <w:overflowPunct/>
        <w:topLinePunct w:val="0"/>
        <w:autoSpaceDE w:val="0"/>
        <w:autoSpaceDN w:val="0"/>
        <w:bidi w:val="0"/>
        <w:adjustRightInd w:val="0"/>
        <w:snapToGrid w:val="0"/>
        <w:spacing w:before="101" w:line="226" w:lineRule="auto"/>
        <w:ind w:left="0"/>
        <w:jc w:val="center"/>
        <w:textAlignment w:val="baseline"/>
        <w:rPr>
          <w:rFonts w:hint="default" w:ascii="黑体" w:hAnsi="黑体" w:eastAsia="黑体" w:cs="黑体"/>
          <w:spacing w:val="7"/>
          <w:sz w:val="31"/>
          <w:szCs w:val="31"/>
          <w:lang w:val="en-US" w:eastAsia="zh-CN"/>
        </w:rPr>
      </w:pPr>
      <w:r>
        <w:rPr>
          <w:rFonts w:hint="eastAsia" w:ascii="黑体" w:hAnsi="黑体" w:eastAsia="黑体" w:cs="黑体"/>
          <w:spacing w:val="7"/>
          <w:sz w:val="31"/>
          <w:szCs w:val="31"/>
          <w:lang w:val="en-US" w:eastAsia="zh-CN"/>
        </w:rPr>
        <w:t>2026年1月</w:t>
      </w:r>
    </w:p>
    <w:p>
      <w:pPr>
        <w:spacing w:before="101" w:line="226" w:lineRule="auto"/>
        <w:ind w:left="3910"/>
        <w:rPr>
          <w:rFonts w:hint="eastAsia" w:ascii="黑体" w:hAnsi="黑体" w:eastAsia="黑体" w:cs="黑体"/>
          <w:spacing w:val="7"/>
          <w:sz w:val="31"/>
          <w:szCs w:val="31"/>
          <w:lang w:eastAsia="zh-CN"/>
        </w:rPr>
      </w:pPr>
    </w:p>
    <w:p>
      <w:pPr>
        <w:tabs>
          <w:tab w:val="center" w:pos="5953"/>
        </w:tabs>
        <w:bidi w:val="0"/>
        <w:jc w:val="left"/>
        <w:rPr>
          <w:rFonts w:hint="default" w:ascii="Arial" w:hAnsi="Arial" w:eastAsia="宋体" w:cs="Arial"/>
          <w:snapToGrid w:val="0"/>
          <w:color w:val="000000"/>
          <w:kern w:val="0"/>
          <w:sz w:val="21"/>
          <w:szCs w:val="21"/>
          <w:lang w:val="en-US" w:eastAsia="zh-CN" w:bidi="ar-SA"/>
        </w:rPr>
        <w:sectPr>
          <w:headerReference r:id="rId5" w:type="default"/>
          <w:footerReference r:id="rId6" w:type="default"/>
          <w:pgSz w:w="11906" w:h="16839"/>
          <w:pgMar w:top="0" w:right="0" w:bottom="0" w:left="0" w:header="0" w:footer="0"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spacing w:line="360" w:lineRule="auto"/>
        <w:ind w:left="34"/>
        <w:textAlignment w:val="baseline"/>
        <w:outlineLvl w:val="0"/>
        <w:rPr>
          <w:rFonts w:ascii="黑体" w:hAnsi="黑体" w:eastAsia="黑体" w:cs="黑体"/>
          <w:sz w:val="28"/>
          <w:szCs w:val="28"/>
        </w:rPr>
      </w:pPr>
      <w:r>
        <w:rPr>
          <w:rFonts w:ascii="Times New Roman" w:hAnsi="Times New Roman" w:eastAsia="Times New Roman" w:cs="Times New Roman"/>
          <w:b/>
          <w:bCs/>
          <w:spacing w:val="-11"/>
          <w:sz w:val="28"/>
          <w:szCs w:val="28"/>
        </w:rPr>
        <w:t>1</w:t>
      </w:r>
      <w:r>
        <w:rPr>
          <w:rFonts w:hint="eastAsia" w:ascii="Times New Roman" w:hAnsi="Times New Roman" w:eastAsia="宋体" w:cs="Times New Roman"/>
          <w:b/>
          <w:bCs/>
          <w:spacing w:val="-11"/>
          <w:sz w:val="28"/>
          <w:szCs w:val="28"/>
          <w:lang w:eastAsia="zh-CN"/>
        </w:rPr>
        <w:t>、</w:t>
      </w:r>
      <w:r>
        <w:rPr>
          <w:rFonts w:ascii="黑体" w:hAnsi="黑体" w:eastAsia="黑体" w:cs="黑体"/>
          <w:spacing w:val="-11"/>
          <w:sz w:val="28"/>
          <w:szCs w:val="28"/>
          <w14:textOutline w14:w="5103" w14:cap="sq" w14:cmpd="sng">
            <w14:solidFill>
              <w14:srgbClr w14:val="000000"/>
            </w14:solidFill>
            <w14:prstDash w14:val="solid"/>
            <w14:bevel/>
          </w14:textOutline>
        </w:rPr>
        <w:t>总则</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1.1</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本技术规范书适用于《安全生产风险管理体系国际化应用研究</w:t>
      </w:r>
      <w:r>
        <w:rPr>
          <w:rFonts w:hint="eastAsia" w:ascii="仿宋" w:hAnsi="仿宋" w:eastAsia="仿宋" w:cs="仿宋"/>
          <w:spacing w:val="-3"/>
          <w:sz w:val="24"/>
          <w:szCs w:val="24"/>
        </w:rPr>
        <w:t>》管理创新项目。投标方应针对自身特点，根据本技术规范书所描述的具体要</w:t>
      </w:r>
      <w:r>
        <w:rPr>
          <w:rFonts w:hint="eastAsia" w:ascii="仿宋" w:hAnsi="仿宋" w:eastAsia="仿宋" w:cs="仿宋"/>
          <w:spacing w:val="-1"/>
          <w:sz w:val="24"/>
          <w:szCs w:val="24"/>
        </w:rPr>
        <w:t>求，提供完整的解决方案。</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1.2</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本技术规范书提出的是最低限度的技术要求，投标方应保证提供符合本技术</w:t>
      </w:r>
      <w:r>
        <w:rPr>
          <w:rFonts w:hint="eastAsia" w:ascii="仿宋" w:hAnsi="仿宋" w:eastAsia="仿宋" w:cs="仿宋"/>
          <w:spacing w:val="-3"/>
          <w:sz w:val="24"/>
          <w:szCs w:val="24"/>
        </w:rPr>
        <w:t>规范书和相关国际、国内标准的优质管理咨询服务。对国家有关安全、环保等强制性标准，必须满足其要求。如果规范书所使用的标准与投标方所执行的标准不</w:t>
      </w:r>
      <w:r>
        <w:rPr>
          <w:rFonts w:hint="eastAsia" w:ascii="仿宋" w:hAnsi="仿宋" w:eastAsia="仿宋" w:cs="仿宋"/>
          <w:spacing w:val="-1"/>
          <w:sz w:val="24"/>
          <w:szCs w:val="24"/>
        </w:rPr>
        <w:t>一致时，按较高标准执行。</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6" w:firstLineChars="200"/>
        <w:jc w:val="both"/>
        <w:textAlignment w:val="baseline"/>
        <w:rPr>
          <w:rFonts w:hint="eastAsia" w:ascii="仿宋" w:hAnsi="仿宋" w:eastAsia="仿宋" w:cs="仿宋"/>
          <w:sz w:val="24"/>
          <w:szCs w:val="24"/>
        </w:rPr>
      </w:pPr>
      <w:r>
        <w:rPr>
          <w:rFonts w:hint="eastAsia" w:ascii="仿宋" w:hAnsi="仿宋" w:eastAsia="仿宋" w:cs="仿宋"/>
          <w:spacing w:val="-1"/>
          <w:sz w:val="24"/>
          <w:szCs w:val="24"/>
        </w:rPr>
        <w:t>1.3</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任何与本技术规范书或标准的偏差只有在得到招标方的书面批准后方能认</w:t>
      </w:r>
      <w:r>
        <w:rPr>
          <w:rFonts w:hint="eastAsia" w:ascii="仿宋" w:hAnsi="仿宋" w:eastAsia="仿宋" w:cs="仿宋"/>
          <w:spacing w:val="-6"/>
          <w:sz w:val="24"/>
          <w:szCs w:val="24"/>
        </w:rPr>
        <w:t>可。</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1.4</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在合同签订之后，招标方有权提出因规范标准和规程变化而产生的一些补充</w:t>
      </w:r>
      <w:r>
        <w:rPr>
          <w:rFonts w:hint="eastAsia" w:ascii="仿宋" w:hAnsi="仿宋" w:eastAsia="仿宋" w:cs="仿宋"/>
          <w:spacing w:val="-1"/>
          <w:sz w:val="24"/>
          <w:szCs w:val="24"/>
        </w:rPr>
        <w:t>要求，具体项目及内容由双方共同商定。</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1.5</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投标人编制应标文件时，可以提出不同的建议方案，但建议方案必须满足但</w:t>
      </w:r>
      <w:r>
        <w:rPr>
          <w:rFonts w:hint="eastAsia" w:ascii="仿宋" w:hAnsi="仿宋" w:eastAsia="仿宋" w:cs="仿宋"/>
          <w:spacing w:val="-3"/>
          <w:sz w:val="24"/>
          <w:szCs w:val="24"/>
        </w:rPr>
        <w:t>不限于本技术规范书所阐述的全部要求，应标文件要求文字详细、数据准确、表</w:t>
      </w:r>
      <w:r>
        <w:rPr>
          <w:rFonts w:hint="eastAsia" w:ascii="仿宋" w:hAnsi="仿宋" w:eastAsia="仿宋" w:cs="仿宋"/>
          <w:spacing w:val="-1"/>
          <w:sz w:val="24"/>
          <w:szCs w:val="24"/>
        </w:rPr>
        <w:t>述及图示清晰明确，具有针对性。</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1.6</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本技术规范书仅提出基本的技术需求，不保证对一切技术细节做出规定，也</w:t>
      </w:r>
      <w:r>
        <w:rPr>
          <w:rFonts w:hint="eastAsia" w:ascii="仿宋" w:hAnsi="仿宋" w:eastAsia="仿宋" w:cs="仿宋"/>
          <w:spacing w:val="-3"/>
          <w:sz w:val="24"/>
          <w:szCs w:val="24"/>
        </w:rPr>
        <w:t>不保证已充分引述有关标准和技术条文，投标方须根据需求目标提供进一</w:t>
      </w:r>
      <w:r>
        <w:rPr>
          <w:rFonts w:hint="eastAsia" w:ascii="仿宋" w:hAnsi="仿宋" w:eastAsia="仿宋" w:cs="仿宋"/>
          <w:spacing w:val="-4"/>
          <w:sz w:val="24"/>
          <w:szCs w:val="24"/>
        </w:rPr>
        <w:t>步具体</w:t>
      </w:r>
      <w:r>
        <w:rPr>
          <w:rFonts w:hint="eastAsia" w:ascii="仿宋" w:hAnsi="仿宋" w:eastAsia="仿宋" w:cs="仿宋"/>
          <w:spacing w:val="-2"/>
          <w:sz w:val="24"/>
          <w:szCs w:val="24"/>
        </w:rPr>
        <w:t>的可满足要求的服务内容。</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1.7</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投标方在应标文件中应如实反映与本技术规范书的技术差异。如果投标方没</w:t>
      </w:r>
      <w:r>
        <w:rPr>
          <w:rFonts w:hint="eastAsia" w:ascii="仿宋" w:hAnsi="仿宋" w:eastAsia="仿宋" w:cs="仿宋"/>
          <w:spacing w:val="-3"/>
          <w:sz w:val="24"/>
          <w:szCs w:val="24"/>
        </w:rPr>
        <w:t>有提出技术差异，招标方即认为投标方所提供的服务完全满足本技术规范书的要求，在执行合同的过程中，招标方发现投标方提供的服务与其应标技术规范书的</w:t>
      </w:r>
      <w:r>
        <w:rPr>
          <w:rFonts w:hint="eastAsia" w:ascii="仿宋" w:hAnsi="仿宋" w:eastAsia="仿宋" w:cs="仿宋"/>
          <w:spacing w:val="-1"/>
          <w:sz w:val="24"/>
          <w:szCs w:val="24"/>
        </w:rPr>
        <w:t>条文存在差异，招标方有权利要求</w:t>
      </w:r>
      <w:r>
        <w:rPr>
          <w:rFonts w:hint="eastAsia" w:ascii="仿宋" w:hAnsi="仿宋" w:eastAsia="仿宋" w:cs="仿宋"/>
          <w:spacing w:val="-1"/>
          <w:sz w:val="24"/>
          <w:szCs w:val="24"/>
          <w:lang w:eastAsia="zh-CN"/>
        </w:rPr>
        <w:t>终止</w:t>
      </w:r>
      <w:r>
        <w:rPr>
          <w:rFonts w:hint="eastAsia" w:ascii="仿宋" w:hAnsi="仿宋" w:eastAsia="仿宋" w:cs="仿宋"/>
          <w:spacing w:val="-1"/>
          <w:sz w:val="24"/>
          <w:szCs w:val="24"/>
        </w:rPr>
        <w:t>合同。</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jc w:val="both"/>
        <w:textAlignment w:val="baseline"/>
        <w:rPr>
          <w:rFonts w:hint="eastAsia" w:ascii="仿宋" w:hAnsi="仿宋" w:eastAsia="仿宋" w:cs="仿宋"/>
          <w:sz w:val="24"/>
          <w:szCs w:val="24"/>
        </w:rPr>
      </w:pPr>
      <w:r>
        <w:rPr>
          <w:rFonts w:hint="eastAsia" w:ascii="仿宋" w:hAnsi="仿宋" w:eastAsia="仿宋" w:cs="仿宋"/>
          <w:spacing w:val="-2"/>
          <w:sz w:val="24"/>
          <w:szCs w:val="24"/>
        </w:rPr>
        <w:t>1.8</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投标方应充分理解本技术规范书并按本技术规范书的具体条款、格式要求填</w:t>
      </w:r>
      <w:r>
        <w:rPr>
          <w:rFonts w:hint="eastAsia" w:ascii="仿宋" w:hAnsi="仿宋" w:eastAsia="仿宋" w:cs="仿宋"/>
          <w:spacing w:val="-3"/>
          <w:sz w:val="24"/>
          <w:szCs w:val="24"/>
        </w:rPr>
        <w:t>写应标的技术文件，如发现应标的技术文件条款、格式不符合本技术规范书的要</w:t>
      </w:r>
      <w:r>
        <w:rPr>
          <w:rFonts w:hint="eastAsia" w:ascii="仿宋" w:hAnsi="仿宋" w:eastAsia="仿宋" w:cs="仿宋"/>
          <w:spacing w:val="-1"/>
          <w:sz w:val="24"/>
          <w:szCs w:val="24"/>
        </w:rPr>
        <w:t>求，则认为应标不严肃，在评标时将有不同程度的扣分。</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6" w:firstLineChars="200"/>
        <w:jc w:val="both"/>
        <w:textAlignment w:val="baseline"/>
        <w:rPr>
          <w:rFonts w:hint="eastAsia" w:ascii="仿宋" w:hAnsi="仿宋" w:eastAsia="仿宋" w:cs="仿宋"/>
          <w:sz w:val="24"/>
          <w:szCs w:val="24"/>
        </w:rPr>
      </w:pPr>
      <w:r>
        <w:rPr>
          <w:rFonts w:hint="eastAsia" w:ascii="仿宋" w:hAnsi="仿宋" w:eastAsia="仿宋" w:cs="仿宋"/>
          <w:spacing w:val="-1"/>
          <w:sz w:val="24"/>
          <w:szCs w:val="24"/>
        </w:rPr>
        <w:t>1.9</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本技术规范书未尽事宜，由招标方与投标方双方协商确定。</w:t>
      </w:r>
    </w:p>
    <w:p>
      <w:pPr>
        <w:keepNext w:val="0"/>
        <w:keepLines w:val="0"/>
        <w:pageBreakBefore w:val="0"/>
        <w:widowControl/>
        <w:kinsoku w:val="0"/>
        <w:wordWrap/>
        <w:overflowPunct/>
        <w:topLinePunct w:val="0"/>
        <w:autoSpaceDE w:val="0"/>
        <w:autoSpaceDN w:val="0"/>
        <w:bidi w:val="0"/>
        <w:adjustRightInd w:val="0"/>
        <w:snapToGrid/>
        <w:spacing w:line="360" w:lineRule="auto"/>
        <w:ind w:left="23"/>
        <w:textAlignment w:val="baseline"/>
        <w:outlineLvl w:val="0"/>
        <w:rPr>
          <w:rFonts w:ascii="黑体" w:hAnsi="黑体" w:eastAsia="黑体" w:cs="黑体"/>
          <w:sz w:val="28"/>
          <w:szCs w:val="28"/>
        </w:rPr>
      </w:pPr>
      <w:r>
        <w:rPr>
          <w:rFonts w:ascii="Times New Roman" w:hAnsi="Times New Roman" w:eastAsia="Times New Roman" w:cs="Times New Roman"/>
          <w:b/>
          <w:bCs/>
          <w:spacing w:val="-3"/>
          <w:sz w:val="28"/>
          <w:szCs w:val="28"/>
        </w:rPr>
        <w:t>2</w:t>
      </w:r>
      <w:r>
        <w:rPr>
          <w:rFonts w:hint="eastAsia" w:ascii="Times New Roman" w:hAnsi="Times New Roman" w:eastAsia="宋体" w:cs="Times New Roman"/>
          <w:b/>
          <w:bCs/>
          <w:spacing w:val="-3"/>
          <w:sz w:val="28"/>
          <w:szCs w:val="28"/>
          <w:lang w:eastAsia="zh-CN"/>
        </w:rPr>
        <w:t>、</w:t>
      </w:r>
      <w:r>
        <w:rPr>
          <w:rFonts w:ascii="黑体" w:hAnsi="黑体" w:eastAsia="黑体" w:cs="黑体"/>
          <w:spacing w:val="-3"/>
          <w:sz w:val="28"/>
          <w:szCs w:val="28"/>
          <w14:textOutline w14:w="5103" w14:cap="sq" w14:cmpd="sng">
            <w14:solidFill>
              <w14:srgbClr w14:val="000000"/>
            </w14:solidFill>
            <w14:prstDash w14:val="solid"/>
            <w14:bevel/>
          </w14:textOutline>
        </w:rPr>
        <w:t>项目概述</w:t>
      </w:r>
    </w:p>
    <w:p>
      <w:pPr>
        <w:keepNext w:val="0"/>
        <w:keepLines w:val="0"/>
        <w:pageBreakBefore w:val="0"/>
        <w:wordWrap/>
        <w:overflowPunct/>
        <w:topLinePunct w:val="0"/>
        <w:bidi w:val="0"/>
        <w:snapToGrid/>
        <w:spacing w:line="360" w:lineRule="auto"/>
        <w:ind w:left="0" w:right="0" w:firstLine="472" w:firstLineChars="200"/>
        <w:jc w:val="both"/>
        <w:rPr>
          <w:rFonts w:hint="default" w:ascii="仿宋" w:hAnsi="仿宋" w:eastAsia="仿宋" w:cs="仿宋"/>
          <w:sz w:val="24"/>
          <w:szCs w:val="24"/>
          <w:highlight w:val="none"/>
          <w:lang w:val="en-US" w:eastAsia="zh-CN"/>
        </w:rPr>
      </w:pPr>
      <w:r>
        <w:rPr>
          <w:rFonts w:hint="eastAsia" w:ascii="仿宋" w:hAnsi="仿宋" w:eastAsia="仿宋" w:cs="仿宋"/>
          <w:spacing w:val="-2"/>
          <w:sz w:val="24"/>
          <w:szCs w:val="24"/>
          <w:highlight w:val="none"/>
          <w:lang w:val="en-US" w:eastAsia="zh-CN"/>
        </w:rPr>
        <w:t>近年来，南方电网国际业务不断做强做优做大，已成为构建“5+2+N”发展布局的重要力量。随着越南永新一期燃煤电厂、老挝南塔河1号水电站相继投产运营，秘鲁配电项目顺利接管，国际业务拓展亟需更高水平的安全管理作为基础支撑。安全生产风险管理体系（以下简称安风体系）作为南方电网公司经过多年实践从生产经营业务一般规律中总结出来的管理方法论，以问题和结果为导向、尊重管理逻辑规律、立足电力行业通用推广，其管理方法和原则适用于发电、输电、供电等各类生产经营企业，且实践证明可通过本地化完善并应用于境外控股项目，帮助提升境外安全生产管理水平。为进一步深化安风体系境外应用，推动南方电网先进安全管理“走出去”，持续巩固提升境外安全生产管理能力和治理水平，课题拟研究编制英文版《安全生产风险管理体系（2022版）》、《安全生产风险管理体系建设指南（2022版）》、《境外水电站安全生产风险管理体系评审标准（试行）》、《境外燃煤电厂安全生产风险管理体系评审标准（试行）》及应用指引、使用模板、培训课件等配套材料</w:t>
      </w:r>
      <w:r>
        <w:rPr>
          <w:rFonts w:hint="eastAsia" w:ascii="仿宋" w:hAnsi="仿宋" w:eastAsia="仿宋" w:cs="仿宋"/>
          <w:spacing w:val="1"/>
          <w:sz w:val="24"/>
          <w:szCs w:val="24"/>
          <w:highlight w:val="none"/>
          <w:lang w:val="en-US" w:eastAsia="zh-CN"/>
        </w:rPr>
        <w:t>，计划完成时间为2026年12月。</w:t>
      </w:r>
    </w:p>
    <w:p>
      <w:pPr>
        <w:keepNext w:val="0"/>
        <w:keepLines w:val="0"/>
        <w:pageBreakBefore w:val="0"/>
        <w:widowControl/>
        <w:kinsoku w:val="0"/>
        <w:wordWrap/>
        <w:overflowPunct/>
        <w:topLinePunct w:val="0"/>
        <w:autoSpaceDE w:val="0"/>
        <w:autoSpaceDN w:val="0"/>
        <w:bidi w:val="0"/>
        <w:adjustRightInd w:val="0"/>
        <w:snapToGrid/>
        <w:spacing w:line="360" w:lineRule="auto"/>
        <w:ind w:left="17"/>
        <w:textAlignment w:val="baseline"/>
        <w:outlineLvl w:val="0"/>
        <w:rPr>
          <w:rFonts w:ascii="黑体" w:hAnsi="黑体" w:eastAsia="黑体" w:cs="黑体"/>
          <w:sz w:val="28"/>
          <w:szCs w:val="28"/>
        </w:rPr>
      </w:pPr>
      <w:r>
        <w:rPr>
          <w:rFonts w:ascii="Times New Roman" w:hAnsi="Times New Roman" w:eastAsia="Times New Roman" w:cs="Times New Roman"/>
          <w:b/>
          <w:bCs/>
          <w:sz w:val="28"/>
          <w:szCs w:val="28"/>
        </w:rPr>
        <w:t>3</w:t>
      </w:r>
      <w:r>
        <w:rPr>
          <w:rFonts w:hint="eastAsia" w:ascii="Times New Roman" w:hAnsi="Times New Roman" w:eastAsia="宋体" w:cs="Times New Roman"/>
          <w:b/>
          <w:bCs/>
          <w:sz w:val="28"/>
          <w:szCs w:val="28"/>
          <w:lang w:eastAsia="zh-CN"/>
        </w:rPr>
        <w:t>、</w:t>
      </w:r>
      <w:r>
        <w:rPr>
          <w:rFonts w:ascii="黑体" w:hAnsi="黑体" w:eastAsia="黑体" w:cs="黑体"/>
          <w:sz w:val="28"/>
          <w:szCs w:val="28"/>
          <w14:textOutline w14:w="5103" w14:cap="sq" w14:cmpd="sng">
            <w14:solidFill>
              <w14:srgbClr w14:val="000000"/>
            </w14:solidFill>
            <w14:prstDash w14:val="solid"/>
            <w14:bevel/>
          </w14:textOutline>
        </w:rPr>
        <w:t>应遵循的主要标准</w:t>
      </w:r>
    </w:p>
    <w:p>
      <w:pPr>
        <w:keepNext w:val="0"/>
        <w:keepLines w:val="0"/>
        <w:pageBreakBefore w:val="0"/>
        <w:wordWrap/>
        <w:overflowPunct/>
        <w:topLinePunct w:val="0"/>
        <w:bidi w:val="0"/>
        <w:snapToGrid/>
        <w:spacing w:line="360" w:lineRule="auto"/>
        <w:ind w:left="0" w:right="0" w:firstLine="472" w:firstLineChars="200"/>
        <w:jc w:val="both"/>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pPr>
        <w:keepNext w:val="0"/>
        <w:keepLines w:val="0"/>
        <w:pageBreakBefore w:val="0"/>
        <w:wordWrap/>
        <w:overflowPunct/>
        <w:topLinePunct w:val="0"/>
        <w:bidi w:val="0"/>
        <w:snapToGrid/>
        <w:spacing w:line="360" w:lineRule="auto"/>
        <w:ind w:left="0" w:right="0" w:firstLine="472" w:firstLineChars="200"/>
        <w:jc w:val="both"/>
        <w:rPr>
          <w:rFonts w:hint="eastAsia" w:ascii="仿宋" w:hAnsi="仿宋" w:eastAsia="仿宋" w:cs="仿宋"/>
          <w:spacing w:val="-2"/>
          <w:sz w:val="24"/>
          <w:szCs w:val="24"/>
          <w:highlight w:val="none"/>
          <w:lang w:val="en-US" w:eastAsia="zh-CN"/>
        </w:rPr>
      </w:pPr>
      <w:r>
        <w:rPr>
          <w:rFonts w:hint="eastAsia" w:ascii="仿宋" w:hAnsi="仿宋" w:eastAsia="仿宋" w:cs="仿宋"/>
          <w:spacing w:val="-2"/>
          <w:sz w:val="24"/>
          <w:szCs w:val="24"/>
          <w:highlight w:val="none"/>
          <w:lang w:val="en-US" w:eastAsia="zh-CN"/>
        </w:rPr>
        <w:t>3.2 主要引用标准如下：</w:t>
      </w:r>
    </w:p>
    <w:p>
      <w:pPr>
        <w:keepNext w:val="0"/>
        <w:keepLines w:val="0"/>
        <w:pageBreakBefore w:val="0"/>
        <w:wordWrap/>
        <w:overflowPunct/>
        <w:topLinePunct w:val="0"/>
        <w:bidi w:val="0"/>
        <w:snapToGrid/>
        <w:spacing w:line="360" w:lineRule="auto"/>
        <w:ind w:left="0" w:right="0" w:firstLine="472" w:firstLineChars="200"/>
        <w:jc w:val="both"/>
        <w:rPr>
          <w:rFonts w:hint="eastAsia" w:ascii="仿宋" w:hAnsi="仿宋" w:eastAsia="仿宋" w:cs="仿宋"/>
          <w:spacing w:val="-2"/>
          <w:sz w:val="24"/>
          <w:szCs w:val="24"/>
          <w:highlight w:val="none"/>
          <w:lang w:val="en-US" w:eastAsia="zh-CN"/>
        </w:rPr>
      </w:pPr>
      <w:r>
        <w:rPr>
          <w:rFonts w:hint="eastAsia" w:ascii="仿宋" w:hAnsi="仿宋" w:eastAsia="仿宋" w:cs="仿宋"/>
          <w:spacing w:val="-2"/>
          <w:sz w:val="24"/>
          <w:szCs w:val="24"/>
          <w:highlight w:val="none"/>
          <w:lang w:val="en-US" w:eastAsia="zh-CN"/>
        </w:rPr>
        <w:t>《中国南方电网有限责任公司管理创新工作管理办法》（Q/CSG2152002-2023）</w:t>
      </w:r>
    </w:p>
    <w:p>
      <w:pPr>
        <w:keepNext w:val="0"/>
        <w:keepLines w:val="0"/>
        <w:pageBreakBefore w:val="0"/>
        <w:wordWrap/>
        <w:overflowPunct/>
        <w:topLinePunct w:val="0"/>
        <w:bidi w:val="0"/>
        <w:snapToGrid/>
        <w:spacing w:line="360" w:lineRule="auto"/>
        <w:ind w:left="21" w:leftChars="0" w:firstLine="420" w:firstLineChars="0"/>
        <w:outlineLvl w:val="0"/>
        <w:rPr>
          <w:rFonts w:hint="eastAsia" w:ascii="仿宋" w:hAnsi="仿宋" w:eastAsia="仿宋" w:cs="仿宋"/>
          <w:spacing w:val="-2"/>
          <w:sz w:val="24"/>
          <w:szCs w:val="24"/>
          <w:highlight w:val="none"/>
          <w:lang w:eastAsia="zh-CN"/>
        </w:rPr>
      </w:pPr>
      <w:r>
        <w:rPr>
          <w:rFonts w:hint="eastAsia" w:ascii="仿宋" w:hAnsi="仿宋" w:eastAsia="仿宋" w:cs="仿宋"/>
          <w:spacing w:val="-2"/>
          <w:sz w:val="24"/>
          <w:szCs w:val="24"/>
          <w:highlight w:val="none"/>
          <w:lang w:eastAsia="zh-CN"/>
        </w:rPr>
        <w:t>《安全生产风险管理体系（2022年版）》（南方电网安监〔2022〕15号）</w:t>
      </w:r>
    </w:p>
    <w:p>
      <w:pPr>
        <w:keepNext w:val="0"/>
        <w:keepLines w:val="0"/>
        <w:pageBreakBefore w:val="0"/>
        <w:wordWrap/>
        <w:overflowPunct/>
        <w:topLinePunct w:val="0"/>
        <w:bidi w:val="0"/>
        <w:snapToGrid/>
        <w:spacing w:line="360" w:lineRule="auto"/>
        <w:ind w:left="21" w:leftChars="0" w:firstLine="420" w:firstLineChars="0"/>
        <w:outlineLvl w:val="0"/>
        <w:rPr>
          <w:rFonts w:hint="eastAsia" w:ascii="仿宋" w:hAnsi="仿宋" w:eastAsia="仿宋" w:cs="仿宋"/>
          <w:spacing w:val="-2"/>
          <w:sz w:val="24"/>
          <w:szCs w:val="24"/>
          <w:highlight w:val="none"/>
          <w:lang w:eastAsia="zh-CN"/>
        </w:rPr>
      </w:pPr>
      <w:r>
        <w:rPr>
          <w:rFonts w:hint="eastAsia" w:ascii="仿宋" w:hAnsi="仿宋" w:eastAsia="仿宋" w:cs="仿宋"/>
          <w:spacing w:val="-2"/>
          <w:sz w:val="24"/>
          <w:szCs w:val="24"/>
          <w:highlight w:val="none"/>
          <w:lang w:eastAsia="zh-CN"/>
        </w:rPr>
        <w:t>《安全生产风险管理体系建设指南（2022年版）》（南方电网安监〔2022〕15号）</w:t>
      </w:r>
    </w:p>
    <w:p>
      <w:pPr>
        <w:keepNext w:val="0"/>
        <w:keepLines w:val="0"/>
        <w:pageBreakBefore w:val="0"/>
        <w:wordWrap/>
        <w:overflowPunct/>
        <w:topLinePunct w:val="0"/>
        <w:bidi w:val="0"/>
        <w:snapToGrid/>
        <w:spacing w:line="360" w:lineRule="auto"/>
        <w:ind w:left="21"/>
        <w:outlineLvl w:val="0"/>
        <w:rPr>
          <w:rFonts w:ascii="黑体" w:hAnsi="黑体" w:eastAsia="黑体" w:cs="黑体"/>
          <w:sz w:val="28"/>
          <w:szCs w:val="28"/>
        </w:rPr>
      </w:pPr>
      <w:r>
        <w:rPr>
          <w:rFonts w:ascii="Times New Roman" w:hAnsi="Times New Roman" w:eastAsia="Times New Roman" w:cs="Times New Roman"/>
          <w:b/>
          <w:bCs/>
          <w:spacing w:val="-3"/>
          <w:sz w:val="28"/>
          <w:szCs w:val="28"/>
        </w:rPr>
        <w:t>4</w:t>
      </w:r>
      <w:r>
        <w:rPr>
          <w:rFonts w:hint="eastAsia" w:ascii="Times New Roman" w:hAnsi="Times New Roman" w:eastAsia="宋体" w:cs="Times New Roman"/>
          <w:b/>
          <w:bCs/>
          <w:spacing w:val="-3"/>
          <w:sz w:val="28"/>
          <w:szCs w:val="28"/>
          <w:lang w:eastAsia="zh-CN"/>
        </w:rPr>
        <w:t>、</w:t>
      </w:r>
      <w:r>
        <w:rPr>
          <w:rFonts w:ascii="黑体" w:hAnsi="黑体" w:eastAsia="黑体" w:cs="黑体"/>
          <w:spacing w:val="-3"/>
          <w:sz w:val="28"/>
          <w:szCs w:val="28"/>
          <w14:textOutline w14:w="5103" w14:cap="sq" w14:cmpd="sng">
            <w14:solidFill>
              <w14:srgbClr w14:val="000000"/>
            </w14:solidFill>
            <w14:prstDash w14:val="solid"/>
            <w14:bevel/>
          </w14:textOutline>
        </w:rPr>
        <w:t>技术要求</w:t>
      </w:r>
    </w:p>
    <w:p>
      <w:pPr>
        <w:keepNext w:val="0"/>
        <w:keepLines w:val="0"/>
        <w:pageBreakBefore w:val="0"/>
        <w:widowControl/>
        <w:kinsoku w:val="0"/>
        <w:wordWrap/>
        <w:overflowPunct/>
        <w:topLinePunct w:val="0"/>
        <w:autoSpaceDE w:val="0"/>
        <w:autoSpaceDN w:val="0"/>
        <w:bidi w:val="0"/>
        <w:adjustRightInd/>
        <w:snapToGrid/>
        <w:spacing w:line="360" w:lineRule="auto"/>
        <w:ind w:left="0" w:firstLine="468" w:firstLineChars="200"/>
        <w:textAlignment w:val="baseline"/>
        <w:rPr>
          <w:rFonts w:hint="eastAsia" w:ascii="仿宋" w:hAnsi="仿宋" w:eastAsia="仿宋" w:cs="仿宋"/>
          <w:sz w:val="24"/>
          <w:szCs w:val="24"/>
        </w:rPr>
      </w:pPr>
      <w:r>
        <w:rPr>
          <w:rFonts w:hint="eastAsia" w:ascii="仿宋" w:hAnsi="仿宋" w:eastAsia="仿宋" w:cs="仿宋"/>
          <w:spacing w:val="-3"/>
          <w:sz w:val="24"/>
          <w:szCs w:val="24"/>
        </w:rPr>
        <w:t>4.1</w:t>
      </w:r>
      <w:r>
        <w:rPr>
          <w:rFonts w:hint="eastAsia" w:ascii="仿宋" w:hAnsi="仿宋" w:eastAsia="仿宋" w:cs="仿宋"/>
          <w:spacing w:val="-3"/>
          <w:sz w:val="24"/>
          <w:szCs w:val="24"/>
          <w:lang w:val="en-US" w:eastAsia="zh-CN"/>
        </w:rPr>
        <w:t xml:space="preserve"> 翻译</w:t>
      </w:r>
      <w:r>
        <w:rPr>
          <w:rFonts w:hint="eastAsia" w:ascii="仿宋" w:hAnsi="仿宋" w:eastAsia="仿宋" w:cs="仿宋"/>
          <w:spacing w:val="-3"/>
          <w:sz w:val="24"/>
          <w:szCs w:val="24"/>
        </w:rPr>
        <w:t>总体要求</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64" w:firstLineChars="200"/>
        <w:textAlignment w:val="baseline"/>
        <w:rPr>
          <w:rFonts w:hint="eastAsia" w:ascii="仿宋" w:hAnsi="仿宋" w:eastAsia="仿宋" w:cs="仿宋"/>
          <w:b w:val="0"/>
          <w:bCs w:val="0"/>
          <w:sz w:val="24"/>
          <w:szCs w:val="24"/>
        </w:rPr>
      </w:pPr>
      <w:r>
        <w:rPr>
          <w:rFonts w:hint="eastAsia" w:ascii="仿宋" w:hAnsi="仿宋" w:eastAsia="仿宋" w:cs="仿宋"/>
          <w:b w:val="0"/>
          <w:bCs w:val="0"/>
          <w:spacing w:val="-4"/>
          <w:sz w:val="24"/>
          <w:szCs w:val="24"/>
          <w:lang w:val="en-US" w:eastAsia="zh-CN"/>
        </w:rPr>
        <w:t>根据全国人民代表大会网站发布的英文版《中华人民共和国安全生产法》，</w:t>
      </w:r>
      <w:r>
        <w:rPr>
          <w:rFonts w:hint="eastAsia" w:ascii="仿宋" w:hAnsi="仿宋" w:eastAsia="仿宋" w:cs="仿宋"/>
          <w:b w:val="0"/>
          <w:bCs w:val="0"/>
          <w:spacing w:val="-4"/>
          <w:sz w:val="24"/>
          <w:szCs w:val="24"/>
        </w:rPr>
        <w:t>结合企业所处行业特点，以及适用的行业内外最佳实践，</w:t>
      </w:r>
      <w:r>
        <w:rPr>
          <w:rFonts w:hint="eastAsia" w:ascii="仿宋" w:hAnsi="仿宋" w:eastAsia="仿宋" w:cs="仿宋"/>
          <w:b w:val="0"/>
          <w:bCs w:val="0"/>
          <w:spacing w:val="-5"/>
          <w:sz w:val="24"/>
          <w:szCs w:val="24"/>
        </w:rPr>
        <w:t>开展本项目</w:t>
      </w:r>
      <w:r>
        <w:rPr>
          <w:rFonts w:hint="eastAsia" w:ascii="仿宋" w:hAnsi="仿宋" w:eastAsia="仿宋" w:cs="仿宋"/>
          <w:b w:val="0"/>
          <w:bCs w:val="0"/>
          <w:spacing w:val="-5"/>
          <w:sz w:val="24"/>
          <w:szCs w:val="24"/>
          <w:lang w:val="en-US" w:eastAsia="zh-CN"/>
        </w:rPr>
        <w:t>翻译服务</w:t>
      </w:r>
      <w:r>
        <w:rPr>
          <w:rFonts w:hint="eastAsia" w:ascii="仿宋" w:hAnsi="仿宋" w:eastAsia="仿宋" w:cs="仿宋"/>
          <w:b w:val="0"/>
          <w:bCs w:val="0"/>
          <w:spacing w:val="-5"/>
          <w:sz w:val="24"/>
          <w:szCs w:val="24"/>
        </w:rPr>
        <w:t>，</w:t>
      </w:r>
      <w:r>
        <w:rPr>
          <w:rFonts w:hint="eastAsia" w:ascii="仿宋" w:hAnsi="仿宋" w:eastAsia="仿宋" w:cs="仿宋"/>
          <w:b w:val="0"/>
          <w:bCs w:val="0"/>
          <w:spacing w:val="-1"/>
          <w:sz w:val="24"/>
          <w:szCs w:val="24"/>
        </w:rPr>
        <w:t>应该遵循以下要求进行：</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6" w:firstLineChars="200"/>
        <w:textAlignment w:val="baseline"/>
        <w:rPr>
          <w:rFonts w:hint="eastAsia" w:ascii="仿宋" w:hAnsi="仿宋" w:eastAsia="仿宋" w:cs="仿宋"/>
          <w:b w:val="0"/>
          <w:bCs w:val="0"/>
          <w:sz w:val="24"/>
          <w:szCs w:val="24"/>
        </w:rPr>
      </w:pPr>
      <w:r>
        <w:rPr>
          <w:rFonts w:hint="eastAsia" w:ascii="仿宋" w:hAnsi="仿宋" w:eastAsia="仿宋" w:cs="仿宋"/>
          <w:b w:val="0"/>
          <w:bCs w:val="0"/>
          <w:spacing w:val="-1"/>
          <w:sz w:val="24"/>
          <w:szCs w:val="24"/>
          <w:lang w:eastAsia="zh-CN"/>
        </w:rPr>
        <w:t>（</w:t>
      </w:r>
      <w:r>
        <w:rPr>
          <w:rFonts w:hint="eastAsia" w:ascii="仿宋" w:hAnsi="仿宋" w:eastAsia="仿宋" w:cs="仿宋"/>
          <w:b w:val="0"/>
          <w:bCs w:val="0"/>
          <w:spacing w:val="-1"/>
          <w:sz w:val="24"/>
          <w:szCs w:val="24"/>
          <w:lang w:val="en-US" w:eastAsia="zh-CN"/>
        </w:rPr>
        <w:t>1</w:t>
      </w:r>
      <w:r>
        <w:rPr>
          <w:rFonts w:hint="eastAsia" w:ascii="仿宋" w:hAnsi="仿宋" w:eastAsia="仿宋" w:cs="仿宋"/>
          <w:b w:val="0"/>
          <w:bCs w:val="0"/>
          <w:spacing w:val="-1"/>
          <w:sz w:val="24"/>
          <w:szCs w:val="24"/>
          <w:lang w:eastAsia="zh-CN"/>
        </w:rPr>
        <w:t>）</w:t>
      </w:r>
      <w:r>
        <w:rPr>
          <w:rFonts w:hint="eastAsia" w:ascii="仿宋" w:hAnsi="仿宋" w:eastAsia="仿宋" w:cs="仿宋"/>
          <w:b w:val="0"/>
          <w:bCs w:val="0"/>
          <w:spacing w:val="-1"/>
          <w:sz w:val="24"/>
          <w:szCs w:val="24"/>
          <w:lang w:val="en-US" w:eastAsia="zh-CN"/>
        </w:rPr>
        <w:t>准确</w:t>
      </w:r>
      <w:r>
        <w:rPr>
          <w:rFonts w:hint="eastAsia" w:ascii="仿宋" w:hAnsi="仿宋" w:eastAsia="仿宋" w:cs="仿宋"/>
          <w:b w:val="0"/>
          <w:bCs w:val="0"/>
          <w:spacing w:val="-1"/>
          <w:sz w:val="24"/>
          <w:szCs w:val="24"/>
        </w:rPr>
        <w:t>性：项目</w:t>
      </w:r>
      <w:r>
        <w:rPr>
          <w:rFonts w:hint="eastAsia" w:ascii="仿宋" w:hAnsi="仿宋" w:eastAsia="仿宋" w:cs="仿宋"/>
          <w:b w:val="0"/>
          <w:bCs w:val="0"/>
          <w:spacing w:val="-1"/>
          <w:sz w:val="24"/>
          <w:szCs w:val="24"/>
          <w:lang w:val="en-US" w:eastAsia="zh-CN"/>
        </w:rPr>
        <w:t>翻译</w:t>
      </w:r>
      <w:r>
        <w:rPr>
          <w:rFonts w:hint="eastAsia" w:ascii="仿宋" w:hAnsi="仿宋" w:eastAsia="仿宋" w:cs="仿宋"/>
          <w:b w:val="0"/>
          <w:bCs w:val="0"/>
          <w:spacing w:val="-1"/>
          <w:sz w:val="24"/>
          <w:szCs w:val="24"/>
        </w:rPr>
        <w:t>成果以</w:t>
      </w:r>
      <w:r>
        <w:rPr>
          <w:rFonts w:hint="eastAsia" w:ascii="仿宋" w:hAnsi="仿宋" w:eastAsia="仿宋" w:cs="仿宋"/>
          <w:b w:val="0"/>
          <w:bCs w:val="0"/>
          <w:spacing w:val="-1"/>
          <w:sz w:val="24"/>
          <w:szCs w:val="24"/>
          <w:lang w:val="en-US" w:eastAsia="zh-CN"/>
        </w:rPr>
        <w:t>准确</w:t>
      </w:r>
      <w:r>
        <w:rPr>
          <w:rFonts w:hint="eastAsia" w:ascii="仿宋" w:hAnsi="仿宋" w:eastAsia="仿宋" w:cs="仿宋"/>
          <w:b w:val="0"/>
          <w:bCs w:val="0"/>
          <w:spacing w:val="-1"/>
          <w:sz w:val="24"/>
          <w:szCs w:val="24"/>
        </w:rPr>
        <w:t>为第一要务，</w:t>
      </w:r>
      <w:r>
        <w:rPr>
          <w:rFonts w:hint="eastAsia" w:ascii="仿宋" w:hAnsi="仿宋" w:eastAsia="仿宋" w:cs="仿宋"/>
          <w:b w:val="0"/>
          <w:bCs w:val="0"/>
          <w:spacing w:val="-1"/>
          <w:sz w:val="24"/>
          <w:szCs w:val="24"/>
          <w:lang w:val="en-US" w:eastAsia="zh-CN"/>
        </w:rPr>
        <w:t>语句通顺，符合英文的表述习惯和政府及相关部门官方翻译表达，</w:t>
      </w:r>
      <w:r>
        <w:rPr>
          <w:rFonts w:hint="eastAsia" w:ascii="仿宋" w:hAnsi="仿宋" w:eastAsia="仿宋" w:cs="仿宋"/>
          <w:b w:val="0"/>
          <w:bCs w:val="0"/>
          <w:spacing w:val="-1"/>
          <w:sz w:val="24"/>
          <w:szCs w:val="24"/>
        </w:rPr>
        <w:t>能达到满足实际业务应用需求的实用化水平。</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（2）成果归属：项目的研究成果归属为技术服务需求方，中标方经技术服务需求方批准后方可使用研究成果，但无转让权。</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2" w:firstLineChars="200"/>
        <w:textAlignment w:val="baseline"/>
        <w:rPr>
          <w:rFonts w:hint="eastAsia" w:ascii="仿宋" w:hAnsi="仿宋" w:eastAsia="仿宋" w:cs="仿宋"/>
          <w:sz w:val="24"/>
          <w:szCs w:val="24"/>
        </w:rPr>
      </w:pPr>
      <w:r>
        <w:rPr>
          <w:rFonts w:hint="eastAsia" w:ascii="仿宋" w:hAnsi="仿宋" w:eastAsia="仿宋" w:cs="仿宋"/>
          <w:spacing w:val="-2"/>
          <w:sz w:val="24"/>
          <w:szCs w:val="24"/>
        </w:rPr>
        <w:t>（3）可控性：对项目研究的工具、方法、进度和全过程要在技术服务需求方可控的范围之内。</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（4）保密性：对项目研究的过程数据、文件，结果数据以及成果严格保密，未经授权不得泄露给任何单位和个人。</w:t>
      </w:r>
    </w:p>
    <w:p>
      <w:pPr>
        <w:keepNext w:val="0"/>
        <w:keepLines w:val="0"/>
        <w:pageBreakBefore w:val="0"/>
        <w:widowControl/>
        <w:wordWrap/>
        <w:overflowPunct/>
        <w:topLinePunct w:val="0"/>
        <w:bidi w:val="0"/>
        <w:adjustRightInd/>
        <w:snapToGrid/>
        <w:spacing w:line="360" w:lineRule="auto"/>
        <w:ind w:left="0" w:right="0" w:firstLine="476" w:firstLineChars="200"/>
        <w:rPr>
          <w:rFonts w:hint="eastAsia" w:ascii="仿宋" w:hAnsi="仿宋" w:eastAsia="仿宋" w:cs="仿宋"/>
          <w:sz w:val="24"/>
          <w:szCs w:val="24"/>
        </w:rPr>
      </w:pPr>
      <w:r>
        <w:rPr>
          <w:rFonts w:hint="eastAsia" w:ascii="仿宋" w:hAnsi="仿宋" w:eastAsia="仿宋" w:cs="仿宋"/>
          <w:spacing w:val="-1"/>
          <w:sz w:val="24"/>
          <w:szCs w:val="24"/>
        </w:rPr>
        <w:t>4.2</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研究内容</w:t>
      </w:r>
    </w:p>
    <w:p>
      <w:pPr>
        <w:keepNext w:val="0"/>
        <w:keepLines w:val="0"/>
        <w:pageBreakBefore w:val="0"/>
        <w:widowControl/>
        <w:wordWrap/>
        <w:overflowPunct/>
        <w:topLinePunct w:val="0"/>
        <w:bidi w:val="0"/>
        <w:adjustRightInd/>
        <w:snapToGrid/>
        <w:spacing w:line="360" w:lineRule="auto"/>
        <w:ind w:left="0" w:right="0" w:firstLine="468" w:firstLineChars="200"/>
        <w:outlineLvl w:val="1"/>
        <w:rPr>
          <w:rFonts w:hint="eastAsia" w:ascii="仿宋" w:hAnsi="仿宋" w:eastAsia="仿宋" w:cs="仿宋"/>
          <w:sz w:val="24"/>
          <w:szCs w:val="24"/>
        </w:rPr>
      </w:pPr>
      <w:r>
        <w:rPr>
          <w:rFonts w:hint="eastAsia" w:ascii="仿宋" w:hAnsi="仿宋" w:eastAsia="仿宋" w:cs="仿宋"/>
          <w:spacing w:val="-3"/>
          <w:sz w:val="24"/>
          <w:szCs w:val="24"/>
        </w:rPr>
        <w:t>4.2.1</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3"/>
          <w:sz w:val="24"/>
          <w:szCs w:val="24"/>
        </w:rPr>
        <w:t>技术服务内容</w:t>
      </w:r>
    </w:p>
    <w:p>
      <w:pPr>
        <w:keepNext w:val="0"/>
        <w:keepLines w:val="0"/>
        <w:pageBreakBefore w:val="0"/>
        <w:widowControl/>
        <w:wordWrap/>
        <w:overflowPunct/>
        <w:topLinePunct w:val="0"/>
        <w:bidi w:val="0"/>
        <w:adjustRightInd/>
        <w:snapToGrid/>
        <w:spacing w:line="360" w:lineRule="auto"/>
        <w:ind w:left="0" w:right="0" w:firstLine="472" w:firstLineChars="200"/>
        <w:jc w:val="both"/>
        <w:rPr>
          <w:rFonts w:hint="eastAsia" w:ascii="仿宋" w:hAnsi="仿宋" w:eastAsia="仿宋" w:cs="仿宋"/>
          <w:snapToGrid w:val="0"/>
          <w:color w:val="auto"/>
          <w:spacing w:val="-2"/>
          <w:kern w:val="2"/>
          <w:sz w:val="24"/>
          <w:szCs w:val="24"/>
          <w:highlight w:val="none"/>
          <w:lang w:val="en-US" w:eastAsia="zh-CN" w:bidi="ar-SA"/>
        </w:rPr>
      </w:pPr>
      <w:r>
        <w:rPr>
          <w:rFonts w:hint="eastAsia" w:ascii="仿宋" w:hAnsi="仿宋" w:eastAsia="仿宋" w:cs="仿宋"/>
          <w:color w:val="auto"/>
          <w:spacing w:val="-2"/>
          <w:sz w:val="24"/>
          <w:szCs w:val="24"/>
          <w:highlight w:val="none"/>
        </w:rPr>
        <w:t>1、</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安全生产风险管理体系（2022版）》、《安全生产风险管理体系建设指南（2022版）》、《境外水电站安全生产风险管理体系评审标准（试行）》、《境外燃煤电厂安全生产风险管理体系评审标准（试行）》及应用指引、使用模板、培训课件等配套材料</w:t>
      </w:r>
      <w:r>
        <w:rPr>
          <w:rFonts w:hint="eastAsia" w:ascii="仿宋" w:hAnsi="仿宋" w:eastAsia="仿宋" w:cs="仿宋"/>
          <w:color w:val="auto"/>
          <w:spacing w:val="-2"/>
          <w:sz w:val="24"/>
          <w:szCs w:val="24"/>
          <w:highlight w:val="none"/>
          <w:lang w:val="en-US" w:eastAsia="zh-CN"/>
        </w:rPr>
        <w:t>英文版</w:t>
      </w:r>
      <w:r>
        <w:rPr>
          <w:rFonts w:hint="eastAsia" w:ascii="仿宋" w:hAnsi="仿宋" w:eastAsia="仿宋" w:cs="仿宋"/>
          <w:color w:val="auto"/>
          <w:spacing w:val="-2"/>
          <w:sz w:val="24"/>
          <w:szCs w:val="24"/>
          <w:highlight w:val="none"/>
        </w:rPr>
        <w:t>，总计不超过70万字；</w:t>
      </w:r>
    </w:p>
    <w:p>
      <w:pPr>
        <w:keepNext w:val="0"/>
        <w:keepLines w:val="0"/>
        <w:pageBreakBefore w:val="0"/>
        <w:widowControl/>
        <w:wordWrap/>
        <w:overflowPunct/>
        <w:topLinePunct w:val="0"/>
        <w:bidi w:val="0"/>
        <w:adjustRightInd/>
        <w:snapToGrid/>
        <w:spacing w:line="360" w:lineRule="auto"/>
        <w:ind w:left="0" w:right="0" w:firstLine="480" w:firstLineChars="200"/>
        <w:jc w:val="both"/>
        <w:rPr>
          <w:rFonts w:hint="eastAsia" w:ascii="仿宋" w:hAnsi="仿宋" w:eastAsia="仿宋" w:cs="仿宋"/>
          <w:spacing w:val="-1"/>
          <w:position w:val="17"/>
          <w:sz w:val="24"/>
          <w:szCs w:val="24"/>
          <w:highlight w:val="none"/>
          <w:lang w:val="en-US" w:eastAsia="zh-CN"/>
        </w:rPr>
      </w:pPr>
      <w:r>
        <w:rPr>
          <w:rFonts w:hint="eastAsia" w:ascii="仿宋" w:hAnsi="仿宋" w:eastAsia="仿宋" w:cs="仿宋"/>
          <w:snapToGrid w:val="0"/>
          <w:color w:val="000000"/>
          <w:kern w:val="2"/>
          <w:sz w:val="24"/>
          <w:szCs w:val="24"/>
          <w:highlight w:val="none"/>
          <w:lang w:val="en-US" w:eastAsia="zh-CN" w:bidi="ar-SA"/>
        </w:rPr>
        <w:t>2、安全生产风险管理体系专业词汇中英文对照清单：</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84" w:firstLineChars="200"/>
        <w:jc w:val="both"/>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3</w:t>
      </w:r>
      <w:r>
        <w:rPr>
          <w:rFonts w:hint="eastAsia" w:ascii="仿宋" w:hAnsi="仿宋" w:eastAsia="仿宋" w:cs="仿宋"/>
          <w:spacing w:val="1"/>
          <w:sz w:val="24"/>
          <w:szCs w:val="24"/>
          <w:highlight w:val="none"/>
        </w:rPr>
        <w:t>、负责组织</w:t>
      </w:r>
      <w:r>
        <w:rPr>
          <w:rFonts w:hint="eastAsia" w:ascii="仿宋" w:hAnsi="仿宋" w:eastAsia="仿宋" w:cs="仿宋"/>
          <w:spacing w:val="1"/>
          <w:sz w:val="24"/>
          <w:szCs w:val="24"/>
          <w:highlight w:val="none"/>
          <w:lang w:val="en-US" w:eastAsia="zh-CN"/>
        </w:rPr>
        <w:t>开展线上调研或</w:t>
      </w:r>
      <w:r>
        <w:rPr>
          <w:rFonts w:hint="eastAsia" w:ascii="仿宋" w:hAnsi="仿宋" w:eastAsia="仿宋" w:cs="仿宋"/>
          <w:spacing w:val="1"/>
          <w:sz w:val="24"/>
          <w:szCs w:val="24"/>
          <w:highlight w:val="none"/>
          <w:lang w:eastAsia="zh-CN"/>
        </w:rPr>
        <w:t>现场调研（调研费用由投标方自行支付），</w:t>
      </w:r>
      <w:r>
        <w:rPr>
          <w:rFonts w:hint="eastAsia" w:ascii="仿宋" w:hAnsi="仿宋" w:eastAsia="仿宋" w:cs="仿宋"/>
          <w:spacing w:val="1"/>
          <w:sz w:val="24"/>
          <w:szCs w:val="24"/>
          <w:highlight w:val="none"/>
          <w:lang w:val="en-US" w:eastAsia="zh-CN"/>
        </w:rPr>
        <w:t>参加</w:t>
      </w:r>
      <w:r>
        <w:rPr>
          <w:rFonts w:hint="eastAsia" w:ascii="仿宋" w:hAnsi="仿宋" w:eastAsia="仿宋" w:cs="仿宋"/>
          <w:spacing w:val="1"/>
          <w:sz w:val="24"/>
          <w:szCs w:val="24"/>
          <w:highlight w:val="none"/>
        </w:rPr>
        <w:t>项目中期评审会议、验收评审会议，以及其他项目查验相关组织工作</w:t>
      </w:r>
      <w:r>
        <w:rPr>
          <w:rFonts w:hint="eastAsia" w:ascii="仿宋" w:hAnsi="仿宋" w:eastAsia="仿宋" w:cs="仿宋"/>
          <w:spacing w:val="1"/>
          <w:sz w:val="24"/>
          <w:szCs w:val="24"/>
          <w:highlight w:val="none"/>
          <w:lang w:eastAsia="zh-CN"/>
        </w:rPr>
        <w:t>，</w:t>
      </w:r>
      <w:r>
        <w:rPr>
          <w:rFonts w:hint="eastAsia" w:ascii="仿宋" w:hAnsi="仿宋" w:eastAsia="仿宋" w:cs="仿宋"/>
          <w:spacing w:val="1"/>
          <w:sz w:val="24"/>
          <w:szCs w:val="24"/>
          <w:highlight w:val="none"/>
          <w:lang w:val="en-US" w:eastAsia="zh-CN"/>
        </w:rPr>
        <w:t>按照会议要求修正翻译稿件</w:t>
      </w:r>
      <w:r>
        <w:rPr>
          <w:rFonts w:hint="eastAsia" w:ascii="仿宋" w:hAnsi="仿宋" w:eastAsia="仿宋" w:cs="仿宋"/>
          <w:spacing w:val="1"/>
          <w:sz w:val="24"/>
          <w:szCs w:val="24"/>
          <w:highlight w:val="none"/>
        </w:rPr>
        <w:t>。</w:t>
      </w:r>
    </w:p>
    <w:p>
      <w:pPr>
        <w:keepNext w:val="0"/>
        <w:keepLines w:val="0"/>
        <w:pageBreakBefore w:val="0"/>
        <w:widowControl/>
        <w:kinsoku w:val="0"/>
        <w:wordWrap/>
        <w:overflowPunct/>
        <w:topLinePunct w:val="0"/>
        <w:autoSpaceDE w:val="0"/>
        <w:autoSpaceDN w:val="0"/>
        <w:bidi w:val="0"/>
        <w:adjustRightInd/>
        <w:snapToGrid/>
        <w:spacing w:line="360" w:lineRule="auto"/>
        <w:ind w:left="0" w:right="0" w:firstLine="476" w:firstLineChars="200"/>
        <w:textAlignment w:val="baseline"/>
      </w:pPr>
      <w:r>
        <w:rPr>
          <w:rFonts w:hint="eastAsia" w:ascii="仿宋" w:hAnsi="仿宋" w:eastAsia="仿宋" w:cs="仿宋"/>
          <w:spacing w:val="-1"/>
          <w:sz w:val="24"/>
          <w:szCs w:val="24"/>
        </w:rPr>
        <w:t>4.2.2</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工作进度要求及交付物</w:t>
      </w:r>
    </w:p>
    <w:tbl>
      <w:tblPr>
        <w:tblStyle w:val="9"/>
        <w:tblW w:w="82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7"/>
        <w:gridCol w:w="2903"/>
        <w:gridCol w:w="3108"/>
        <w:gridCol w:w="16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627" w:type="dxa"/>
            <w:vAlign w:val="top"/>
          </w:tcPr>
          <w:p>
            <w:pPr>
              <w:pStyle w:val="8"/>
              <w:spacing w:before="183" w:line="240" w:lineRule="auto"/>
              <w:ind w:left="0"/>
              <w:jc w:val="center"/>
              <w:rPr>
                <w:highlight w:val="none"/>
              </w:rPr>
            </w:pPr>
            <w:r>
              <w:rPr>
                <w:spacing w:val="6"/>
                <w:highlight w:val="none"/>
                <w14:textOutline w14:w="3795" w14:cap="sq" w14:cmpd="sng">
                  <w14:solidFill>
                    <w14:srgbClr w14:val="000000"/>
                  </w14:solidFill>
                  <w14:prstDash w14:val="solid"/>
                  <w14:bevel/>
                </w14:textOutline>
              </w:rPr>
              <w:t>序号</w:t>
            </w:r>
          </w:p>
        </w:tc>
        <w:tc>
          <w:tcPr>
            <w:tcW w:w="2903" w:type="dxa"/>
            <w:vAlign w:val="top"/>
          </w:tcPr>
          <w:p>
            <w:pPr>
              <w:pStyle w:val="8"/>
              <w:spacing w:before="183" w:line="240" w:lineRule="auto"/>
              <w:jc w:val="center"/>
              <w:rPr>
                <w:highlight w:val="none"/>
              </w:rPr>
            </w:pPr>
            <w:r>
              <w:rPr>
                <w:spacing w:val="5"/>
                <w:highlight w:val="none"/>
                <w14:textOutline w14:w="3795" w14:cap="sq" w14:cmpd="sng">
                  <w14:solidFill>
                    <w14:srgbClr w14:val="000000"/>
                  </w14:solidFill>
                  <w14:prstDash w14:val="solid"/>
                  <w14:bevel/>
                </w14:textOutline>
              </w:rPr>
              <w:t>交付物</w:t>
            </w:r>
          </w:p>
        </w:tc>
        <w:tc>
          <w:tcPr>
            <w:tcW w:w="3108" w:type="dxa"/>
            <w:vAlign w:val="top"/>
          </w:tcPr>
          <w:p>
            <w:pPr>
              <w:pStyle w:val="8"/>
              <w:spacing w:before="183" w:line="240" w:lineRule="auto"/>
              <w:jc w:val="center"/>
              <w:rPr>
                <w:rFonts w:hint="eastAsia" w:eastAsia="仿宋"/>
                <w:spacing w:val="3"/>
                <w:highlight w:val="none"/>
                <w:lang w:val="en-US" w:eastAsia="zh-CN"/>
                <w14:textOutline w14:w="3795" w14:cap="sq" w14:cmpd="sng">
                  <w14:solidFill>
                    <w14:srgbClr w14:val="000000"/>
                  </w14:solidFill>
                  <w14:prstDash w14:val="solid"/>
                  <w14:bevel/>
                </w14:textOutline>
              </w:rPr>
            </w:pPr>
            <w:r>
              <w:rPr>
                <w:rFonts w:hint="eastAsia"/>
                <w:spacing w:val="3"/>
                <w:highlight w:val="none"/>
                <w:lang w:val="en-US" w:eastAsia="zh-CN"/>
                <w14:textOutline w14:w="3795" w14:cap="sq" w14:cmpd="sng">
                  <w14:solidFill>
                    <w14:srgbClr w14:val="000000"/>
                  </w14:solidFill>
                  <w14:prstDash w14:val="solid"/>
                  <w14:bevel/>
                </w14:textOutline>
              </w:rPr>
              <w:t>翻译要求</w:t>
            </w:r>
          </w:p>
        </w:tc>
        <w:tc>
          <w:tcPr>
            <w:tcW w:w="1621" w:type="dxa"/>
            <w:vAlign w:val="top"/>
          </w:tcPr>
          <w:p>
            <w:pPr>
              <w:pStyle w:val="8"/>
              <w:spacing w:before="183" w:line="240" w:lineRule="auto"/>
              <w:jc w:val="center"/>
              <w:rPr>
                <w:highlight w:val="none"/>
              </w:rPr>
            </w:pPr>
            <w:r>
              <w:rPr>
                <w:spacing w:val="3"/>
                <w:highlight w:val="none"/>
                <w14:textOutline w14:w="3795" w14:cap="sq" w14:cmpd="sng">
                  <w14:solidFill>
                    <w14:srgbClr w14:val="000000"/>
                  </w14:solidFill>
                  <w14:prstDash w14:val="solid"/>
                  <w14:bevel/>
                </w14:textOutline>
              </w:rPr>
              <w:t>时间要求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6"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仿宋" w:hAnsi="仿宋" w:eastAsia="仿宋" w:cs="仿宋"/>
                <w:sz w:val="20"/>
                <w:szCs w:val="20"/>
                <w:highlight w:val="none"/>
              </w:rPr>
            </w:pPr>
            <w:r>
              <w:rPr>
                <w:rFonts w:hint="eastAsia" w:ascii="仿宋" w:hAnsi="仿宋" w:eastAsia="仿宋" w:cs="仿宋"/>
                <w:sz w:val="20"/>
                <w:szCs w:val="20"/>
                <w:highlight w:val="none"/>
              </w:rPr>
              <w:t>1</w:t>
            </w:r>
          </w:p>
        </w:tc>
        <w:tc>
          <w:tcPr>
            <w:tcW w:w="290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eastAsia="仿宋"/>
                <w:highlight w:val="none"/>
                <w:lang w:val="en-US" w:eastAsia="zh-CN"/>
              </w:rPr>
            </w:pPr>
            <w:r>
              <w:rPr>
                <w:rFonts w:hint="eastAsia"/>
                <w:spacing w:val="12"/>
                <w:highlight w:val="none"/>
              </w:rPr>
              <w:t>《安全生产风险管理体系专业词汇中英文对照清单》</w:t>
            </w:r>
            <w:r>
              <w:rPr>
                <w:rFonts w:hint="eastAsia"/>
                <w:spacing w:val="12"/>
                <w:highlight w:val="none"/>
                <w:lang w:val="en-US" w:eastAsia="zh-CN"/>
              </w:rPr>
              <w:t>电子版文档</w:t>
            </w:r>
          </w:p>
        </w:tc>
        <w:tc>
          <w:tcPr>
            <w:tcW w:w="3108" w:type="dxa"/>
            <w:vMerge w:val="restart"/>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highlight w:val="none"/>
                <w:lang w:val="en-US" w:eastAsia="zh-CN"/>
              </w:rPr>
            </w:pPr>
            <w:bookmarkStart w:id="0" w:name="_GoBack"/>
            <w:r>
              <w:rPr>
                <w:rFonts w:hint="eastAsia"/>
                <w:highlight w:val="none"/>
                <w:lang w:val="en-US" w:eastAsia="zh-CN"/>
              </w:rPr>
              <w:t>根据</w:t>
            </w:r>
            <w:r>
              <w:rPr>
                <w:rFonts w:hint="eastAsia"/>
                <w:b/>
                <w:bCs/>
                <w:highlight w:val="none"/>
                <w:lang w:val="en-US" w:eastAsia="zh-CN"/>
              </w:rPr>
              <w:t>全国人民代表大会网站发布的英文版《中华人民共和国安全生产法》</w:t>
            </w:r>
            <w:r>
              <w:rPr>
                <w:rFonts w:hint="eastAsia"/>
                <w:highlight w:val="none"/>
                <w:lang w:val="en-US" w:eastAsia="zh-CN"/>
              </w:rPr>
              <w:t>，结合企业所处行业特点，以及适用的行业内外最佳实践，开展本项目翻译服务，应该遵循以下要求进行：</w:t>
            </w:r>
          </w:p>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highlight w:val="none"/>
                <w:lang w:val="en-US" w:eastAsia="zh-CN"/>
              </w:rPr>
            </w:pPr>
            <w:r>
              <w:rPr>
                <w:rFonts w:hint="eastAsia"/>
                <w:highlight w:val="none"/>
                <w:lang w:val="en-US" w:eastAsia="zh-CN"/>
              </w:rPr>
              <w:t>（1）准确性：</w:t>
            </w:r>
            <w:r>
              <w:rPr>
                <w:rFonts w:hint="eastAsia"/>
                <w:b/>
                <w:bCs/>
                <w:highlight w:val="none"/>
                <w:lang w:val="en-US" w:eastAsia="zh-CN"/>
              </w:rPr>
              <w:t>项目翻译成果以准确为第一要务，语句通顺，符合英文的表述习惯和政府及相关部门官方翻译表达，能达到满足实际业务应用需求的实用化水平。</w:t>
            </w:r>
          </w:p>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highlight w:val="none"/>
                <w:lang w:val="en-US" w:eastAsia="zh-CN"/>
              </w:rPr>
            </w:pPr>
            <w:r>
              <w:rPr>
                <w:rFonts w:hint="eastAsia"/>
                <w:highlight w:val="none"/>
                <w:lang w:val="en-US" w:eastAsia="zh-CN"/>
              </w:rPr>
              <w:t>（2）成果归属：项目的研究成果归属为技术服务需求方，中标方经技术服务需求方批准后方可使用研究成果，但无转让权。</w:t>
            </w:r>
          </w:p>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highlight w:val="none"/>
                <w:lang w:val="en-US" w:eastAsia="zh-CN"/>
              </w:rPr>
            </w:pPr>
            <w:r>
              <w:rPr>
                <w:rFonts w:hint="eastAsia"/>
                <w:highlight w:val="none"/>
                <w:lang w:val="en-US" w:eastAsia="zh-CN"/>
              </w:rPr>
              <w:t>（3）可控性：对项目研究的工具、方法、进度和全过程要在技术服务需求方可控的范围之内。</w:t>
            </w:r>
          </w:p>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highlight w:val="none"/>
                <w:lang w:val="en-US" w:eastAsia="zh-CN"/>
              </w:rPr>
            </w:pPr>
            <w:r>
              <w:rPr>
                <w:rFonts w:hint="eastAsia"/>
                <w:highlight w:val="none"/>
                <w:lang w:val="en-US" w:eastAsia="zh-CN"/>
              </w:rPr>
              <w:t>（4）保密性：对项目研究的过程数据、文件，结果数据以及成果严格保密，未经授权不得泄露给任何单位和个人。</w:t>
            </w:r>
            <w:bookmarkEnd w:id="0"/>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eastAsia="仿宋"/>
                <w:highlight w:val="none"/>
                <w:lang w:val="en-US" w:eastAsia="zh-CN"/>
              </w:rPr>
            </w:pPr>
            <w:r>
              <w:rPr>
                <w:rFonts w:hint="eastAsia"/>
                <w:highlight w:val="none"/>
                <w:lang w:val="en-US" w:eastAsia="zh-CN"/>
              </w:rPr>
              <w:t>2026年2月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仿宋" w:hAnsi="仿宋" w:eastAsia="仿宋" w:cs="仿宋"/>
                <w:sz w:val="20"/>
                <w:szCs w:val="20"/>
                <w:highlight w:val="none"/>
              </w:rPr>
            </w:pPr>
            <w:r>
              <w:rPr>
                <w:rFonts w:hint="eastAsia" w:ascii="仿宋" w:hAnsi="仿宋" w:eastAsia="仿宋" w:cs="仿宋"/>
                <w:sz w:val="20"/>
                <w:szCs w:val="20"/>
                <w:highlight w:val="none"/>
              </w:rPr>
              <w:t>2</w:t>
            </w:r>
          </w:p>
        </w:tc>
        <w:tc>
          <w:tcPr>
            <w:tcW w:w="290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117" w:right="104" w:firstLine="13"/>
              <w:jc w:val="center"/>
              <w:textAlignment w:val="baseline"/>
              <w:rPr>
                <w:rFonts w:hint="default"/>
                <w:highlight w:val="none"/>
                <w:lang w:val="en-US"/>
              </w:rPr>
            </w:pPr>
            <w:r>
              <w:rPr>
                <w:rFonts w:hint="eastAsia"/>
                <w:spacing w:val="12"/>
                <w:highlight w:val="none"/>
                <w:lang w:val="en-US" w:eastAsia="zh-CN"/>
              </w:rPr>
              <w:t>《安全生产风险管理体系（2022版）》英文版电子版文档</w:t>
            </w:r>
          </w:p>
        </w:tc>
        <w:tc>
          <w:tcPr>
            <w:tcW w:w="3108" w:type="dxa"/>
            <w:vMerge w:val="continue"/>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spacing w:val="1"/>
                <w:highlight w:val="none"/>
                <w:lang w:val="en-US" w:eastAsia="zh-CN"/>
              </w:rPr>
            </w:pPr>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eastAsia="仿宋"/>
                <w:highlight w:val="none"/>
                <w:lang w:val="en-US" w:eastAsia="zh-CN"/>
              </w:rPr>
            </w:pPr>
            <w:r>
              <w:rPr>
                <w:rFonts w:hint="eastAsia"/>
                <w:spacing w:val="1"/>
                <w:highlight w:val="none"/>
                <w:lang w:val="en-US" w:eastAsia="zh-CN"/>
              </w:rPr>
              <w:t>2026年4月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仿宋" w:hAnsi="仿宋" w:eastAsia="仿宋" w:cs="仿宋"/>
                <w:snapToGrid w:val="0"/>
                <w:color w:val="000000"/>
                <w:kern w:val="0"/>
                <w:sz w:val="20"/>
                <w:szCs w:val="20"/>
                <w:highlight w:val="yellow"/>
                <w:lang w:val="en-US" w:eastAsia="zh-CN" w:bidi="ar-SA"/>
              </w:rPr>
            </w:pPr>
            <w:r>
              <w:rPr>
                <w:rFonts w:hint="eastAsia" w:ascii="仿宋" w:hAnsi="仿宋" w:eastAsia="仿宋" w:cs="仿宋"/>
                <w:sz w:val="20"/>
                <w:szCs w:val="20"/>
                <w:highlight w:val="none"/>
                <w:lang w:val="en-US" w:eastAsia="zh-CN"/>
              </w:rPr>
              <w:t>3</w:t>
            </w:r>
          </w:p>
        </w:tc>
        <w:tc>
          <w:tcPr>
            <w:tcW w:w="290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117" w:right="104" w:firstLine="13"/>
              <w:jc w:val="center"/>
              <w:textAlignment w:val="baseline"/>
              <w:rPr>
                <w:rFonts w:hint="eastAsia"/>
                <w:spacing w:val="4"/>
                <w:highlight w:val="none"/>
                <w:lang w:val="en-US" w:eastAsia="zh-CN"/>
              </w:rPr>
            </w:pPr>
            <w:r>
              <w:rPr>
                <w:rFonts w:hint="eastAsia"/>
                <w:spacing w:val="12"/>
                <w:highlight w:val="none"/>
                <w:lang w:val="en-US" w:eastAsia="zh-CN"/>
              </w:rPr>
              <w:t>《安全生产风险管理体系建设指南（2022版）》英文版电子版文档</w:t>
            </w:r>
          </w:p>
        </w:tc>
        <w:tc>
          <w:tcPr>
            <w:tcW w:w="3108" w:type="dxa"/>
            <w:vMerge w:val="continue"/>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cs="仿宋"/>
                <w:spacing w:val="1"/>
                <w:highlight w:val="none"/>
                <w:lang w:val="en-US" w:eastAsia="zh-CN"/>
              </w:rPr>
            </w:pPr>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仿宋" w:hAnsi="仿宋" w:eastAsia="仿宋" w:cs="仿宋"/>
                <w:spacing w:val="1"/>
                <w:highlight w:val="none"/>
                <w:lang w:val="en-US" w:eastAsia="zh-CN"/>
              </w:rPr>
            </w:pPr>
            <w:r>
              <w:rPr>
                <w:rFonts w:hint="eastAsia" w:cs="仿宋"/>
                <w:spacing w:val="1"/>
                <w:highlight w:val="none"/>
                <w:lang w:val="en-US" w:eastAsia="zh-CN"/>
              </w:rPr>
              <w:t>2026年6月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仿宋" w:hAnsi="仿宋" w:eastAsia="仿宋" w:cs="仿宋"/>
                <w:snapToGrid w:val="0"/>
                <w:color w:val="000000"/>
                <w:kern w:val="0"/>
                <w:sz w:val="20"/>
                <w:szCs w:val="20"/>
                <w:highlight w:val="none"/>
                <w:lang w:val="en-US" w:eastAsia="zh-CN" w:bidi="ar-SA"/>
              </w:rPr>
            </w:pPr>
            <w:r>
              <w:rPr>
                <w:rFonts w:hint="eastAsia" w:ascii="仿宋" w:hAnsi="仿宋" w:eastAsia="仿宋" w:cs="仿宋"/>
                <w:sz w:val="20"/>
                <w:szCs w:val="20"/>
                <w:highlight w:val="none"/>
                <w:lang w:val="en-US" w:eastAsia="zh-CN"/>
              </w:rPr>
              <w:t>4</w:t>
            </w:r>
          </w:p>
        </w:tc>
        <w:tc>
          <w:tcPr>
            <w:tcW w:w="290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117" w:leftChars="0" w:right="104" w:rightChars="0" w:firstLine="13" w:firstLineChars="0"/>
              <w:jc w:val="center"/>
              <w:textAlignment w:val="baseline"/>
              <w:rPr>
                <w:rFonts w:hint="eastAsia"/>
                <w:spacing w:val="12"/>
                <w:highlight w:val="none"/>
                <w:lang w:val="en-US" w:eastAsia="zh-CN"/>
              </w:rPr>
            </w:pPr>
            <w:r>
              <w:rPr>
                <w:rFonts w:hint="eastAsia"/>
                <w:spacing w:val="12"/>
                <w:highlight w:val="none"/>
                <w:lang w:val="en-US" w:eastAsia="zh-CN"/>
              </w:rPr>
              <w:t>《境外水电站安全生产风险管理体系评审标准（试行）》英文版电子版文档</w:t>
            </w:r>
          </w:p>
        </w:tc>
        <w:tc>
          <w:tcPr>
            <w:tcW w:w="3108" w:type="dxa"/>
            <w:vMerge w:val="continue"/>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spacing w:val="1"/>
                <w:highlight w:val="none"/>
                <w:lang w:val="en-US" w:eastAsia="zh-CN"/>
              </w:rPr>
            </w:pPr>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仿宋" w:hAnsi="仿宋" w:eastAsia="仿宋" w:cs="仿宋"/>
                <w:spacing w:val="1"/>
                <w:highlight w:val="none"/>
                <w:lang w:val="en-US" w:eastAsia="zh-CN"/>
              </w:rPr>
            </w:pPr>
            <w:r>
              <w:rPr>
                <w:rFonts w:hint="eastAsia"/>
                <w:spacing w:val="1"/>
                <w:highlight w:val="none"/>
                <w:lang w:val="en-US" w:eastAsia="zh-CN"/>
              </w:rPr>
              <w:t>2026年8月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5</w:t>
            </w:r>
          </w:p>
        </w:tc>
        <w:tc>
          <w:tcPr>
            <w:tcW w:w="290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117" w:leftChars="0" w:right="104" w:rightChars="0" w:firstLine="13" w:firstLineChars="0"/>
              <w:jc w:val="center"/>
              <w:textAlignment w:val="baseline"/>
              <w:rPr>
                <w:rFonts w:hint="eastAsia"/>
                <w:spacing w:val="12"/>
                <w:highlight w:val="none"/>
                <w:lang w:val="en-US" w:eastAsia="zh-CN"/>
              </w:rPr>
            </w:pPr>
            <w:r>
              <w:rPr>
                <w:rFonts w:hint="eastAsia"/>
                <w:spacing w:val="12"/>
                <w:highlight w:val="none"/>
                <w:lang w:val="en-US" w:eastAsia="zh-CN"/>
              </w:rPr>
              <w:t>《境外燃煤电厂安全生产风险管理体系评审标准（试行）》英文版电子版文档</w:t>
            </w:r>
          </w:p>
        </w:tc>
        <w:tc>
          <w:tcPr>
            <w:tcW w:w="3108" w:type="dxa"/>
            <w:vMerge w:val="continue"/>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spacing w:val="1"/>
                <w:highlight w:val="none"/>
                <w:lang w:val="en-US" w:eastAsia="zh-CN"/>
              </w:rPr>
            </w:pPr>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spacing w:val="1"/>
                <w:highlight w:val="none"/>
                <w:lang w:val="en-US" w:eastAsia="zh-CN"/>
              </w:rPr>
            </w:pPr>
            <w:r>
              <w:rPr>
                <w:rFonts w:hint="eastAsia"/>
                <w:spacing w:val="1"/>
                <w:highlight w:val="none"/>
                <w:lang w:val="en-US" w:eastAsia="zh-CN"/>
              </w:rPr>
              <w:t>2026年8月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6</w:t>
            </w:r>
          </w:p>
        </w:tc>
        <w:tc>
          <w:tcPr>
            <w:tcW w:w="2903"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117" w:leftChars="0" w:right="104" w:rightChars="0" w:firstLine="13" w:firstLineChars="0"/>
              <w:jc w:val="center"/>
              <w:textAlignment w:val="baseline"/>
              <w:rPr>
                <w:rFonts w:hint="eastAsia"/>
                <w:spacing w:val="12"/>
                <w:highlight w:val="none"/>
                <w:lang w:val="en-US" w:eastAsia="zh-CN"/>
              </w:rPr>
            </w:pPr>
            <w:r>
              <w:rPr>
                <w:rFonts w:hint="eastAsia"/>
                <w:spacing w:val="12"/>
                <w:highlight w:val="none"/>
                <w:lang w:val="en-US" w:eastAsia="zh-CN"/>
              </w:rPr>
              <w:t>南网安风体系应用指引文件及使用模板、培训课件等配套材料英文版电子版文档</w:t>
            </w:r>
          </w:p>
        </w:tc>
        <w:tc>
          <w:tcPr>
            <w:tcW w:w="3108" w:type="dxa"/>
            <w:vMerge w:val="continue"/>
            <w:tcBorders/>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spacing w:val="1"/>
                <w:highlight w:val="none"/>
                <w:lang w:val="en-US" w:eastAsia="zh-CN"/>
              </w:rPr>
            </w:pPr>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spacing w:val="1"/>
                <w:highlight w:val="none"/>
                <w:lang w:val="en-US" w:eastAsia="zh-CN"/>
              </w:rPr>
            </w:pPr>
            <w:r>
              <w:rPr>
                <w:rFonts w:hint="eastAsia"/>
                <w:spacing w:val="1"/>
                <w:highlight w:val="none"/>
                <w:lang w:val="en-US" w:eastAsia="zh-CN"/>
              </w:rPr>
              <w:t>2026年10月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7</w:t>
            </w:r>
          </w:p>
        </w:tc>
        <w:tc>
          <w:tcPr>
            <w:tcW w:w="2903" w:type="dxa"/>
            <w:vAlign w:val="center"/>
          </w:tcPr>
          <w:p>
            <w:pPr>
              <w:pStyle w:val="8"/>
              <w:keepNext w:val="0"/>
              <w:keepLines w:val="0"/>
              <w:pageBreakBefore w:val="0"/>
              <w:widowControl/>
              <w:numPr>
                <w:ilvl w:val="-1"/>
                <w:numId w:val="0"/>
              </w:numPr>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spacing w:val="12"/>
                <w:highlight w:val="none"/>
                <w:lang w:val="en-US" w:eastAsia="zh-CN"/>
              </w:rPr>
            </w:pPr>
            <w:r>
              <w:rPr>
                <w:rFonts w:hint="eastAsia"/>
                <w:spacing w:val="12"/>
                <w:sz w:val="20"/>
                <w:szCs w:val="20"/>
                <w:highlight w:val="none"/>
                <w:lang w:val="en-US" w:eastAsia="zh-CN"/>
              </w:rPr>
              <w:t>项目验收证书</w:t>
            </w:r>
          </w:p>
        </w:tc>
        <w:tc>
          <w:tcPr>
            <w:tcW w:w="3108"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仿宋" w:hAnsi="仿宋" w:eastAsia="仿宋" w:cs="仿宋"/>
                <w:spacing w:val="12"/>
                <w:sz w:val="20"/>
                <w:szCs w:val="20"/>
                <w:highlight w:val="none"/>
                <w:lang w:val="en-US" w:eastAsia="zh-CN"/>
              </w:rPr>
            </w:pPr>
            <w:r>
              <w:rPr>
                <w:rFonts w:hint="eastAsia" w:cs="仿宋"/>
                <w:spacing w:val="12"/>
                <w:sz w:val="20"/>
                <w:szCs w:val="20"/>
                <w:highlight w:val="none"/>
                <w:lang w:val="en-US" w:eastAsia="zh-CN"/>
              </w:rPr>
              <w:t>/</w:t>
            </w:r>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仿宋" w:hAnsi="仿宋" w:eastAsia="仿宋" w:cs="仿宋"/>
                <w:spacing w:val="12"/>
                <w:highlight w:val="none"/>
                <w:lang w:val="en-US" w:eastAsia="zh-CN"/>
              </w:rPr>
            </w:pPr>
            <w:r>
              <w:rPr>
                <w:rFonts w:hint="eastAsia" w:ascii="仿宋" w:hAnsi="仿宋" w:eastAsia="仿宋" w:cs="仿宋"/>
                <w:spacing w:val="12"/>
                <w:sz w:val="20"/>
                <w:szCs w:val="20"/>
                <w:highlight w:val="none"/>
                <w:lang w:val="en-US" w:eastAsia="zh-CN"/>
              </w:rPr>
              <w:t>202</w:t>
            </w:r>
            <w:r>
              <w:rPr>
                <w:rFonts w:hint="eastAsia" w:cs="仿宋"/>
                <w:spacing w:val="12"/>
                <w:sz w:val="20"/>
                <w:szCs w:val="20"/>
                <w:highlight w:val="none"/>
                <w:lang w:val="en-US" w:eastAsia="zh-CN"/>
              </w:rPr>
              <w:t>6</w:t>
            </w:r>
            <w:r>
              <w:rPr>
                <w:rFonts w:hint="eastAsia" w:ascii="仿宋" w:hAnsi="仿宋" w:eastAsia="仿宋" w:cs="仿宋"/>
                <w:spacing w:val="12"/>
                <w:sz w:val="20"/>
                <w:szCs w:val="20"/>
                <w:highlight w:val="none"/>
                <w:lang w:val="en-US" w:eastAsia="zh-CN"/>
              </w:rPr>
              <w:t>年</w:t>
            </w:r>
            <w:r>
              <w:rPr>
                <w:rFonts w:hint="eastAsia" w:ascii="仿宋" w:hAnsi="仿宋" w:cs="仿宋"/>
                <w:spacing w:val="12"/>
                <w:sz w:val="20"/>
                <w:szCs w:val="20"/>
                <w:highlight w:val="none"/>
                <w:lang w:val="en-US" w:eastAsia="zh-CN"/>
              </w:rPr>
              <w:t>12</w:t>
            </w:r>
            <w:r>
              <w:rPr>
                <w:rFonts w:hint="eastAsia" w:ascii="仿宋" w:hAnsi="仿宋" w:eastAsia="仿宋" w:cs="仿宋"/>
                <w:spacing w:val="12"/>
                <w:sz w:val="20"/>
                <w:szCs w:val="20"/>
                <w:highlight w:val="none"/>
                <w:lang w:val="en-US" w:eastAsia="zh-CN"/>
              </w:rPr>
              <w:t>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jc w:val="center"/>
        </w:trPr>
        <w:tc>
          <w:tcPr>
            <w:tcW w:w="62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8</w:t>
            </w:r>
          </w:p>
        </w:tc>
        <w:tc>
          <w:tcPr>
            <w:tcW w:w="2903" w:type="dxa"/>
            <w:vAlign w:val="center"/>
          </w:tcPr>
          <w:p>
            <w:pPr>
              <w:pStyle w:val="8"/>
              <w:keepNext w:val="0"/>
              <w:keepLines w:val="0"/>
              <w:pageBreakBefore w:val="0"/>
              <w:widowControl/>
              <w:numPr>
                <w:ilvl w:val="-1"/>
                <w:numId w:val="0"/>
              </w:numPr>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spacing w:val="12"/>
                <w:highlight w:val="none"/>
                <w:lang w:val="en-US" w:eastAsia="zh-CN"/>
              </w:rPr>
            </w:pPr>
            <w:r>
              <w:rPr>
                <w:rFonts w:hint="eastAsia"/>
                <w:spacing w:val="12"/>
                <w:sz w:val="20"/>
                <w:szCs w:val="20"/>
                <w:highlight w:val="none"/>
                <w:lang w:val="en-US" w:eastAsia="zh-CN"/>
              </w:rPr>
              <w:t>项目归档材料</w:t>
            </w:r>
          </w:p>
        </w:tc>
        <w:tc>
          <w:tcPr>
            <w:tcW w:w="3108"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仿宋" w:hAnsi="仿宋" w:eastAsia="仿宋" w:cs="仿宋"/>
                <w:spacing w:val="12"/>
                <w:sz w:val="20"/>
                <w:szCs w:val="20"/>
                <w:highlight w:val="none"/>
                <w:lang w:val="en-US" w:eastAsia="zh-CN"/>
              </w:rPr>
            </w:pPr>
            <w:r>
              <w:rPr>
                <w:rFonts w:hint="eastAsia" w:cs="仿宋"/>
                <w:spacing w:val="12"/>
                <w:sz w:val="20"/>
                <w:szCs w:val="20"/>
                <w:highlight w:val="none"/>
                <w:lang w:val="en-US" w:eastAsia="zh-CN"/>
              </w:rPr>
              <w:t>/</w:t>
            </w:r>
          </w:p>
        </w:tc>
        <w:tc>
          <w:tcPr>
            <w:tcW w:w="1621" w:type="dxa"/>
            <w:vAlign w:val="center"/>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仿宋" w:hAnsi="仿宋" w:eastAsia="仿宋" w:cs="仿宋"/>
                <w:spacing w:val="12"/>
                <w:highlight w:val="none"/>
                <w:lang w:val="en-US" w:eastAsia="zh-CN"/>
              </w:rPr>
            </w:pPr>
            <w:r>
              <w:rPr>
                <w:rFonts w:hint="eastAsia" w:ascii="仿宋" w:hAnsi="仿宋" w:eastAsia="仿宋" w:cs="仿宋"/>
                <w:spacing w:val="12"/>
                <w:sz w:val="20"/>
                <w:szCs w:val="20"/>
                <w:highlight w:val="none"/>
                <w:lang w:val="en-US" w:eastAsia="zh-CN"/>
              </w:rPr>
              <w:t>202</w:t>
            </w:r>
            <w:r>
              <w:rPr>
                <w:rFonts w:hint="eastAsia" w:cs="仿宋"/>
                <w:spacing w:val="12"/>
                <w:sz w:val="20"/>
                <w:szCs w:val="20"/>
                <w:highlight w:val="none"/>
                <w:lang w:val="en-US" w:eastAsia="zh-CN"/>
              </w:rPr>
              <w:t>6</w:t>
            </w:r>
            <w:r>
              <w:rPr>
                <w:rFonts w:hint="eastAsia" w:ascii="仿宋" w:hAnsi="仿宋" w:eastAsia="仿宋" w:cs="仿宋"/>
                <w:spacing w:val="12"/>
                <w:sz w:val="20"/>
                <w:szCs w:val="20"/>
                <w:highlight w:val="none"/>
                <w:lang w:val="en-US" w:eastAsia="zh-CN"/>
              </w:rPr>
              <w:t>年</w:t>
            </w:r>
            <w:r>
              <w:rPr>
                <w:rFonts w:hint="eastAsia" w:ascii="仿宋" w:hAnsi="仿宋" w:cs="仿宋"/>
                <w:spacing w:val="12"/>
                <w:sz w:val="20"/>
                <w:szCs w:val="20"/>
                <w:highlight w:val="none"/>
                <w:lang w:val="en-US" w:eastAsia="zh-CN"/>
              </w:rPr>
              <w:t>12</w:t>
            </w:r>
            <w:r>
              <w:rPr>
                <w:rFonts w:hint="eastAsia" w:ascii="仿宋" w:hAnsi="仿宋" w:eastAsia="仿宋" w:cs="仿宋"/>
                <w:spacing w:val="12"/>
                <w:sz w:val="20"/>
                <w:szCs w:val="20"/>
                <w:highlight w:val="none"/>
                <w:lang w:val="en-US" w:eastAsia="zh-CN"/>
              </w:rPr>
              <w:t>月</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4.3</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项目组织要求</w:t>
      </w:r>
    </w:p>
    <w:p>
      <w:pPr>
        <w:keepNext w:val="0"/>
        <w:keepLines w:val="0"/>
        <w:pageBreakBefore w:val="0"/>
        <w:widowControl/>
        <w:kinsoku w:val="0"/>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（1）为了高质量开展此项工作，</w:t>
      </w:r>
      <w:r>
        <w:rPr>
          <w:rFonts w:hint="eastAsia" w:ascii="仿宋" w:hAnsi="仿宋" w:eastAsia="仿宋" w:cs="仿宋"/>
          <w:spacing w:val="-1"/>
          <w:sz w:val="24"/>
          <w:szCs w:val="24"/>
          <w:lang w:eastAsia="zh-CN"/>
        </w:rPr>
        <w:t>投标方</w:t>
      </w:r>
      <w:r>
        <w:rPr>
          <w:rFonts w:hint="eastAsia" w:ascii="仿宋" w:hAnsi="仿宋" w:eastAsia="仿宋" w:cs="仿宋"/>
          <w:spacing w:val="-1"/>
          <w:sz w:val="24"/>
          <w:szCs w:val="24"/>
        </w:rPr>
        <w:t>应编制本项目研究专项工作方案，工作方案应职责分工明确、进度计划合理，并经</w:t>
      </w:r>
      <w:r>
        <w:rPr>
          <w:rFonts w:hint="eastAsia" w:ascii="仿宋" w:hAnsi="仿宋" w:eastAsia="仿宋" w:cs="仿宋"/>
          <w:spacing w:val="-1"/>
          <w:sz w:val="24"/>
          <w:szCs w:val="24"/>
          <w:lang w:eastAsia="zh-CN"/>
        </w:rPr>
        <w:t>招标方</w:t>
      </w:r>
      <w:r>
        <w:rPr>
          <w:rFonts w:hint="eastAsia" w:ascii="仿宋" w:hAnsi="仿宋" w:eastAsia="仿宋" w:cs="仿宋"/>
          <w:spacing w:val="-1"/>
          <w:sz w:val="24"/>
          <w:szCs w:val="24"/>
        </w:rPr>
        <w:t>审核通过。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仿宋" w:hAnsi="仿宋" w:eastAsia="仿宋" w:cs="仿宋"/>
          <w:sz w:val="24"/>
          <w:szCs w:val="24"/>
          <w:lang w:eastAsia="zh-CN"/>
        </w:rPr>
      </w:pPr>
      <w:r>
        <w:rPr>
          <w:rFonts w:hint="eastAsia" w:ascii="仿宋" w:hAnsi="仿宋" w:eastAsia="仿宋" w:cs="仿宋"/>
          <w:spacing w:val="-1"/>
          <w:sz w:val="24"/>
          <w:szCs w:val="24"/>
        </w:rPr>
        <w:t>（2）选择业务和技术骨干成立专项工作组，并保证工作组人员稳定</w:t>
      </w:r>
      <w:r>
        <w:rPr>
          <w:rFonts w:hint="eastAsia" w:ascii="仿宋" w:hAnsi="仿宋" w:eastAsia="仿宋" w:cs="仿宋"/>
          <w:spacing w:val="-1"/>
          <w:sz w:val="24"/>
          <w:szCs w:val="24"/>
          <w:lang w:eastAsia="zh-CN"/>
        </w:rPr>
        <w:t>，</w:t>
      </w:r>
      <w:r>
        <w:rPr>
          <w:rFonts w:hint="eastAsia" w:ascii="仿宋" w:hAnsi="仿宋" w:eastAsia="仿宋" w:cs="仿宋"/>
          <w:spacing w:val="-1"/>
          <w:sz w:val="24"/>
          <w:szCs w:val="24"/>
          <w:lang w:val="en-US" w:eastAsia="zh-CN"/>
        </w:rPr>
        <w:t>工作组成员至少2人</w:t>
      </w:r>
      <w:r>
        <w:rPr>
          <w:rFonts w:hint="eastAsia" w:ascii="仿宋" w:hAnsi="仿宋" w:eastAsia="仿宋" w:cs="仿宋"/>
          <w:spacing w:val="-1"/>
          <w:sz w:val="24"/>
          <w:szCs w:val="24"/>
        </w:rPr>
        <w:t>。</w:t>
      </w:r>
      <w:r>
        <w:rPr>
          <w:rFonts w:hint="eastAsia" w:ascii="仿宋" w:hAnsi="仿宋" w:eastAsia="仿宋" w:cs="仿宋"/>
          <w:sz w:val="24"/>
          <w:szCs w:val="24"/>
        </w:rPr>
        <w:t>参加翻译的人员须全部持有CATTI三级及以上证书，至少一位团队成员持有CATTI一级证书，参与成员需电力主题相关文件翻译业绩</w:t>
      </w:r>
      <w:r>
        <w:rPr>
          <w:rFonts w:hint="eastAsia" w:ascii="仿宋" w:hAnsi="仿宋" w:eastAsia="仿宋" w:cs="仿宋"/>
          <w:spacing w:val="-1"/>
          <w:sz w:val="24"/>
          <w:szCs w:val="24"/>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0" w:firstLineChars="200"/>
        <w:jc w:val="both"/>
        <w:textAlignment w:val="baseline"/>
        <w:rPr>
          <w:rFonts w:hint="eastAsia" w:ascii="仿宋" w:hAnsi="仿宋" w:eastAsia="仿宋" w:cs="仿宋"/>
          <w:spacing w:val="-5"/>
          <w:sz w:val="24"/>
          <w:szCs w:val="24"/>
        </w:rPr>
      </w:pPr>
      <w:r>
        <w:rPr>
          <w:rFonts w:hint="eastAsia" w:ascii="仿宋" w:hAnsi="仿宋" w:eastAsia="仿宋" w:cs="仿宋"/>
          <w:spacing w:val="-5"/>
          <w:sz w:val="24"/>
          <w:szCs w:val="24"/>
        </w:rPr>
        <w:t>（3）严格按照工作计划推进相关工作，项目工作组</w:t>
      </w:r>
      <w:r>
        <w:rPr>
          <w:rFonts w:hint="eastAsia" w:ascii="仿宋" w:hAnsi="仿宋" w:eastAsia="仿宋" w:cs="仿宋"/>
          <w:spacing w:val="-5"/>
          <w:sz w:val="24"/>
          <w:szCs w:val="24"/>
          <w:lang w:val="en-US" w:eastAsia="zh-CN"/>
        </w:rPr>
        <w:t>每月</w:t>
      </w:r>
      <w:r>
        <w:rPr>
          <w:rFonts w:hint="eastAsia" w:ascii="仿宋" w:hAnsi="仿宋" w:eastAsia="仿宋" w:cs="仿宋"/>
          <w:spacing w:val="-5"/>
          <w:sz w:val="24"/>
          <w:szCs w:val="24"/>
        </w:rPr>
        <w:t>组织召开项目</w:t>
      </w:r>
      <w:r>
        <w:rPr>
          <w:rFonts w:hint="eastAsia" w:ascii="仿宋" w:hAnsi="仿宋" w:eastAsia="仿宋" w:cs="仿宋"/>
          <w:spacing w:val="-6"/>
          <w:sz w:val="24"/>
          <w:szCs w:val="24"/>
        </w:rPr>
        <w:t>例会，</w:t>
      </w:r>
      <w:r>
        <w:rPr>
          <w:rFonts w:hint="eastAsia" w:ascii="仿宋" w:hAnsi="仿宋" w:eastAsia="仿宋" w:cs="仿宋"/>
          <w:spacing w:val="-3"/>
          <w:sz w:val="24"/>
          <w:szCs w:val="24"/>
        </w:rPr>
        <w:t>跟踪研究项目总体进展情况，对项目计划、质量、问题和需求进行沟通协调和管</w:t>
      </w:r>
      <w:r>
        <w:rPr>
          <w:rFonts w:hint="eastAsia" w:ascii="仿宋" w:hAnsi="仿宋" w:eastAsia="仿宋" w:cs="仿宋"/>
          <w:spacing w:val="-5"/>
          <w:sz w:val="24"/>
          <w:szCs w:val="24"/>
        </w:rPr>
        <w:t>控。</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0" w:firstLineChars="200"/>
        <w:jc w:val="both"/>
        <w:textAlignment w:val="baseline"/>
        <w:rPr>
          <w:rFonts w:hint="eastAsia" w:ascii="仿宋" w:hAnsi="仿宋" w:eastAsia="仿宋" w:cs="仿宋"/>
          <w:spacing w:val="-5"/>
          <w:sz w:val="24"/>
          <w:szCs w:val="24"/>
        </w:rPr>
      </w:pPr>
      <w:r>
        <w:rPr>
          <w:rFonts w:hint="eastAsia" w:ascii="仿宋" w:hAnsi="仿宋" w:eastAsia="仿宋" w:cs="仿宋"/>
          <w:spacing w:val="-5"/>
          <w:sz w:val="24"/>
          <w:szCs w:val="24"/>
        </w:rPr>
        <w:t>（4）项目工作组在各里程碑节点组织召开里程碑会议，技术服务需求方指派专业人员参与。由各成员汇报工作进展情况。</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4.4</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其他技术要求。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通过项目实施，制定符合</w:t>
      </w:r>
      <w:r>
        <w:rPr>
          <w:rFonts w:hint="eastAsia" w:ascii="仿宋" w:hAnsi="仿宋" w:eastAsia="仿宋" w:cs="仿宋"/>
          <w:spacing w:val="-1"/>
          <w:sz w:val="24"/>
          <w:szCs w:val="24"/>
          <w:lang w:val="en-US" w:eastAsia="zh-CN"/>
        </w:rPr>
        <w:t>南网国际</w:t>
      </w:r>
      <w:r>
        <w:rPr>
          <w:rFonts w:hint="eastAsia" w:ascii="仿宋" w:hAnsi="仿宋" w:eastAsia="仿宋" w:cs="仿宋"/>
          <w:spacing w:val="-1"/>
          <w:sz w:val="24"/>
          <w:szCs w:val="24"/>
        </w:rPr>
        <w:t>实际，具有电网行业特点的管理体系文件，包含但不限于方案、计划、</w:t>
      </w:r>
      <w:r>
        <w:rPr>
          <w:rFonts w:hint="eastAsia" w:ascii="仿宋" w:hAnsi="仿宋" w:eastAsia="仿宋" w:cs="仿宋"/>
          <w:spacing w:val="-2"/>
          <w:sz w:val="24"/>
          <w:szCs w:val="24"/>
        </w:rPr>
        <w:t>制度或指引等。</w:t>
      </w:r>
      <w:r>
        <w:rPr>
          <w:rFonts w:hint="eastAsia" w:ascii="仿宋" w:hAnsi="仿宋" w:eastAsia="仿宋" w:cs="仿宋"/>
          <w:spacing w:val="-3"/>
          <w:sz w:val="24"/>
          <w:szCs w:val="24"/>
        </w:rPr>
        <w:t>资料的组织结构</w:t>
      </w:r>
      <w:r>
        <w:rPr>
          <w:rFonts w:hint="eastAsia" w:ascii="仿宋" w:hAnsi="仿宋" w:eastAsia="仿宋" w:cs="仿宋"/>
          <w:spacing w:val="-1"/>
          <w:sz w:val="24"/>
          <w:szCs w:val="24"/>
        </w:rPr>
        <w:t>清晰、逻辑性强。资料内容要正确、准确、一致、清晰、完整。</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仿宋" w:hAnsi="仿宋" w:eastAsia="仿宋" w:cs="仿宋"/>
          <w:sz w:val="24"/>
          <w:szCs w:val="24"/>
        </w:rPr>
      </w:pPr>
      <w:r>
        <w:rPr>
          <w:rFonts w:hint="eastAsia" w:ascii="仿宋" w:hAnsi="仿宋" w:eastAsia="仿宋" w:cs="仿宋"/>
          <w:spacing w:val="-2"/>
          <w:sz w:val="24"/>
          <w:szCs w:val="24"/>
        </w:rPr>
        <w:t>4.5</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为保证投标方有效进行技术服务工作，招标方提供与项目有关的技术资料，</w:t>
      </w:r>
      <w:r>
        <w:rPr>
          <w:rFonts w:hint="eastAsia" w:ascii="仿宋" w:hAnsi="仿宋" w:eastAsia="仿宋" w:cs="仿宋"/>
          <w:spacing w:val="-1"/>
          <w:sz w:val="24"/>
          <w:szCs w:val="24"/>
        </w:rPr>
        <w:t>并协助投标方协调项目实施过程中所需解决的事项。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spacing w:val="-6"/>
          <w:sz w:val="24"/>
          <w:szCs w:val="24"/>
        </w:rPr>
      </w:pPr>
      <w:r>
        <w:rPr>
          <w:rFonts w:hint="eastAsia" w:ascii="仿宋" w:hAnsi="仿宋" w:eastAsia="仿宋" w:cs="仿宋"/>
          <w:sz w:val="24"/>
          <w:szCs w:val="24"/>
        </w:rPr>
        <w:t>4.6</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双方确定，在项目进行期内，双方均指定项目联系人。项目联系</w:t>
      </w:r>
      <w:r>
        <w:rPr>
          <w:rFonts w:hint="eastAsia" w:ascii="仿宋" w:hAnsi="仿宋" w:eastAsia="仿宋" w:cs="仿宋"/>
          <w:spacing w:val="-1"/>
          <w:sz w:val="24"/>
          <w:szCs w:val="24"/>
        </w:rPr>
        <w:t>人承担以下</w:t>
      </w:r>
      <w:r>
        <w:rPr>
          <w:rFonts w:hint="eastAsia" w:ascii="仿宋" w:hAnsi="仿宋" w:eastAsia="仿宋" w:cs="仿宋"/>
          <w:spacing w:val="-6"/>
          <w:sz w:val="24"/>
          <w:szCs w:val="24"/>
        </w:rPr>
        <w:t>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textAlignment w:val="baseline"/>
        <w:rPr>
          <w:rFonts w:hint="eastAsia" w:ascii="仿宋" w:hAnsi="仿宋" w:eastAsia="仿宋" w:cs="仿宋"/>
          <w:spacing w:val="-6"/>
          <w:sz w:val="24"/>
          <w:szCs w:val="24"/>
        </w:rPr>
      </w:pPr>
      <w:r>
        <w:rPr>
          <w:rFonts w:hint="eastAsia" w:ascii="仿宋" w:hAnsi="仿宋" w:eastAsia="仿宋" w:cs="仿宋"/>
          <w:spacing w:val="-6"/>
          <w:sz w:val="24"/>
          <w:szCs w:val="24"/>
        </w:rPr>
        <w:t>（1）沟通项目所需资料的收集。</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textAlignment w:val="baseline"/>
        <w:rPr>
          <w:rFonts w:hint="eastAsia" w:ascii="仿宋" w:hAnsi="仿宋" w:eastAsia="仿宋" w:cs="仿宋"/>
          <w:spacing w:val="-6"/>
          <w:sz w:val="24"/>
          <w:szCs w:val="24"/>
        </w:rPr>
      </w:pPr>
      <w:r>
        <w:rPr>
          <w:rFonts w:hint="eastAsia" w:ascii="仿宋" w:hAnsi="仿宋" w:eastAsia="仿宋" w:cs="仿宋"/>
          <w:spacing w:val="-6"/>
          <w:sz w:val="24"/>
          <w:szCs w:val="24"/>
        </w:rPr>
        <w:t>（2）沟通项目进度信息。</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textAlignment w:val="baseline"/>
        <w:rPr>
          <w:rFonts w:hint="eastAsia" w:ascii="仿宋" w:hAnsi="仿宋" w:eastAsia="仿宋" w:cs="仿宋"/>
          <w:spacing w:val="-6"/>
          <w:sz w:val="24"/>
          <w:szCs w:val="24"/>
        </w:rPr>
      </w:pPr>
      <w:r>
        <w:rPr>
          <w:rFonts w:hint="eastAsia" w:ascii="仿宋" w:hAnsi="仿宋" w:eastAsia="仿宋" w:cs="仿宋"/>
          <w:spacing w:val="-6"/>
          <w:sz w:val="24"/>
          <w:szCs w:val="24"/>
        </w:rPr>
        <w:t>（3）协商解决项目执行过程中遇到的问题。</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仿宋" w:hAnsi="仿宋" w:eastAsia="仿宋" w:cs="仿宋"/>
          <w:spacing w:val="-2"/>
          <w:sz w:val="24"/>
          <w:szCs w:val="24"/>
        </w:rPr>
      </w:pPr>
      <w:r>
        <w:rPr>
          <w:rFonts w:hint="eastAsia" w:ascii="仿宋" w:hAnsi="仿宋" w:eastAsia="仿宋" w:cs="仿宋"/>
          <w:spacing w:val="-2"/>
          <w:sz w:val="24"/>
          <w:szCs w:val="24"/>
        </w:rPr>
        <w:t>一方变更项目联系人的，应当及时以书面形式通知另一方。未及时通知并影响项目进行或造成损失的，应承担相应的责任。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4.7</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项目投标方有关保密义务如下：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（1）保密内容（包括技术信息和经营信息）：过程所有文件。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（2）涉密人员范围：参与技术服务工作人员。</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仿宋" w:hAnsi="仿宋" w:eastAsia="仿宋" w:cs="仿宋"/>
          <w:spacing w:val="-2"/>
          <w:sz w:val="24"/>
          <w:szCs w:val="24"/>
        </w:rPr>
      </w:pPr>
      <w:r>
        <w:rPr>
          <w:rFonts w:hint="eastAsia" w:ascii="仿宋" w:hAnsi="仿宋" w:eastAsia="仿宋" w:cs="仿宋"/>
          <w:spacing w:val="-2"/>
          <w:sz w:val="24"/>
          <w:szCs w:val="24"/>
        </w:rPr>
        <w:t>（3）保密期限：本项目有效期及期满后5年内。</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2"/>
          <w:sz w:val="24"/>
          <w:szCs w:val="24"/>
        </w:rPr>
      </w:pPr>
      <w:r>
        <w:rPr>
          <w:rFonts w:hint="eastAsia" w:ascii="仿宋" w:hAnsi="仿宋" w:eastAsia="仿宋" w:cs="仿宋"/>
          <w:spacing w:val="-1"/>
          <w:sz w:val="24"/>
          <w:szCs w:val="24"/>
        </w:rPr>
        <w:t>（4）泄密责任：承担法律责任并赔偿由此给招标方造成的损失。</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3"/>
        <w:textAlignment w:val="baseline"/>
        <w:outlineLvl w:val="0"/>
      </w:pPr>
      <w:r>
        <w:rPr>
          <w:rFonts w:ascii="Times New Roman" w:hAnsi="Times New Roman" w:eastAsia="Times New Roman" w:cs="Times New Roman"/>
          <w:b/>
          <w:bCs/>
          <w:spacing w:val="-2"/>
          <w:sz w:val="28"/>
          <w:szCs w:val="28"/>
        </w:rPr>
        <w:t>5</w:t>
      </w:r>
      <w:r>
        <w:rPr>
          <w:rFonts w:hint="eastAsia" w:ascii="Times New Roman" w:hAnsi="Times New Roman" w:eastAsia="宋体" w:cs="Times New Roman"/>
          <w:b/>
          <w:bCs/>
          <w:spacing w:val="-2"/>
          <w:sz w:val="28"/>
          <w:szCs w:val="28"/>
          <w:lang w:eastAsia="zh-CN"/>
        </w:rPr>
        <w:t>、</w:t>
      </w:r>
      <w:r>
        <w:rPr>
          <w:rFonts w:ascii="黑体" w:hAnsi="黑体" w:eastAsia="黑体" w:cs="黑体"/>
          <w:spacing w:val="-2"/>
          <w:sz w:val="28"/>
          <w:szCs w:val="28"/>
          <w14:textOutline w14:w="5103" w14:cap="sq" w14:cmpd="sng">
            <w14:solidFill>
              <w14:srgbClr w14:val="000000"/>
            </w14:solidFill>
            <w14:prstDash w14:val="solid"/>
            <w14:bevel/>
          </w14:textOutline>
        </w:rPr>
        <w:t>项目验收</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投标方在自评具备验收条件后提出验收申请，招标方在收到验收申请后组织专家对所有项目材料和相关成果进行评审，开展项目验收。验收按照招标方制定的验收方案具体实施，方案将包括验收项目、验收目的、验收标准、验收人员等。项目验收后，验收人员将根据实际情况提出验收报告，如若有需要整改的内容，投标方在验收后应主动配合招标方严格按照整改意见进行整改完善。</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5.</w:t>
      </w:r>
      <w:r>
        <w:rPr>
          <w:rFonts w:hint="eastAsia" w:ascii="仿宋" w:hAnsi="仿宋" w:eastAsia="仿宋" w:cs="仿宋"/>
          <w:spacing w:val="-1"/>
          <w:sz w:val="24"/>
          <w:szCs w:val="24"/>
          <w:lang w:val="en-US" w:eastAsia="zh-CN"/>
        </w:rPr>
        <w:t xml:space="preserve">1 </w:t>
      </w:r>
      <w:r>
        <w:rPr>
          <w:rFonts w:hint="eastAsia" w:ascii="仿宋" w:hAnsi="仿宋" w:eastAsia="仿宋" w:cs="仿宋"/>
          <w:spacing w:val="-1"/>
          <w:sz w:val="24"/>
          <w:szCs w:val="24"/>
        </w:rPr>
        <w:t>项目交付</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投标方应在合同规定时间内，将本技术规范书所界定的工作完成，并在通过</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双方</w:t>
      </w:r>
      <w:r>
        <w:rPr>
          <w:rFonts w:hint="eastAsia" w:ascii="仿宋" w:hAnsi="仿宋" w:eastAsia="仿宋" w:cs="仿宋"/>
          <w:spacing w:val="-1"/>
          <w:sz w:val="24"/>
          <w:szCs w:val="24"/>
          <w:lang w:eastAsia="zh-CN"/>
        </w:rPr>
        <w:t>认可</w:t>
      </w:r>
      <w:r>
        <w:rPr>
          <w:rFonts w:hint="eastAsia" w:ascii="仿宋" w:hAnsi="仿宋" w:eastAsia="仿宋" w:cs="仿宋"/>
          <w:spacing w:val="-1"/>
          <w:sz w:val="24"/>
          <w:szCs w:val="24"/>
        </w:rPr>
        <w:t>验收后，交付给招标方。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交付项主要包括以下项目：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1.</w:t>
      </w:r>
      <w:r>
        <w:rPr>
          <w:rFonts w:hint="eastAsia" w:ascii="仿宋" w:hAnsi="仿宋" w:eastAsia="仿宋" w:cs="仿宋"/>
          <w:spacing w:val="-1"/>
          <w:sz w:val="24"/>
          <w:szCs w:val="24"/>
          <w:highlight w:val="none"/>
        </w:rPr>
        <w:t>《安全生产风险管理体系专业词汇中英文对照清单》电子版文档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2.</w:t>
      </w:r>
      <w:r>
        <w:rPr>
          <w:rFonts w:hint="eastAsia" w:ascii="仿宋" w:hAnsi="仿宋" w:eastAsia="仿宋" w:cs="仿宋"/>
          <w:spacing w:val="-1"/>
          <w:sz w:val="24"/>
          <w:szCs w:val="24"/>
          <w:highlight w:val="none"/>
        </w:rPr>
        <w:t>《安全生产风险管理体系（2022版）》英文版电子版文档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3.</w:t>
      </w:r>
      <w:r>
        <w:rPr>
          <w:rFonts w:hint="eastAsia" w:ascii="仿宋" w:hAnsi="仿宋" w:eastAsia="仿宋" w:cs="仿宋"/>
          <w:spacing w:val="-1"/>
          <w:sz w:val="24"/>
          <w:szCs w:val="24"/>
          <w:highlight w:val="none"/>
        </w:rPr>
        <w:t>《安全生产风险管理体系建设指南（2022版）》英文版电子版文档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4.</w:t>
      </w:r>
      <w:r>
        <w:rPr>
          <w:rFonts w:hint="eastAsia" w:ascii="仿宋" w:hAnsi="仿宋" w:eastAsia="仿宋" w:cs="仿宋"/>
          <w:spacing w:val="-1"/>
          <w:sz w:val="24"/>
          <w:szCs w:val="24"/>
          <w:highlight w:val="none"/>
        </w:rPr>
        <w:t>《境外水电站安全生产风险管理体系评审标准（试行）》英文版电子版文档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5.</w:t>
      </w:r>
      <w:r>
        <w:rPr>
          <w:rFonts w:hint="eastAsia" w:ascii="仿宋" w:hAnsi="仿宋" w:eastAsia="仿宋" w:cs="仿宋"/>
          <w:spacing w:val="-1"/>
          <w:sz w:val="24"/>
          <w:szCs w:val="24"/>
          <w:highlight w:val="none"/>
        </w:rPr>
        <w:t>《境外燃煤电厂安全生产风险管理体系评审标准（试行）》英文版电子版文档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6.</w:t>
      </w:r>
      <w:r>
        <w:rPr>
          <w:rFonts w:hint="eastAsia" w:ascii="仿宋" w:hAnsi="仿宋" w:eastAsia="仿宋" w:cs="仿宋"/>
          <w:spacing w:val="-1"/>
          <w:sz w:val="24"/>
          <w:szCs w:val="24"/>
          <w:highlight w:val="none"/>
        </w:rPr>
        <w:t>南网安风体系应用指引文件及使用模板、培训课件等配套材料英文版电子版文档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7.参加项目所需的会议并提供</w:t>
      </w:r>
      <w:r>
        <w:rPr>
          <w:rFonts w:hint="eastAsia" w:ascii="仿宋" w:hAnsi="仿宋" w:eastAsia="仿宋" w:cs="仿宋"/>
          <w:spacing w:val="-1"/>
          <w:sz w:val="24"/>
          <w:szCs w:val="24"/>
          <w:highlight w:val="none"/>
        </w:rPr>
        <w:t>项目审核验收所需</w:t>
      </w:r>
      <w:r>
        <w:rPr>
          <w:rFonts w:hint="eastAsia" w:ascii="仿宋" w:hAnsi="仿宋" w:eastAsia="仿宋" w:cs="仿宋"/>
          <w:spacing w:val="-1"/>
          <w:sz w:val="24"/>
          <w:szCs w:val="24"/>
          <w:highlight w:val="none"/>
          <w:lang w:eastAsia="zh-CN"/>
        </w:rPr>
        <w:t>的其他</w:t>
      </w:r>
      <w:r>
        <w:rPr>
          <w:rFonts w:hint="eastAsia" w:ascii="仿宋" w:hAnsi="仿宋" w:eastAsia="仿宋" w:cs="仿宋"/>
          <w:spacing w:val="-1"/>
          <w:sz w:val="24"/>
          <w:szCs w:val="24"/>
          <w:highlight w:val="none"/>
        </w:rPr>
        <w:t>相关材料。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5.</w:t>
      </w:r>
      <w:r>
        <w:rPr>
          <w:rFonts w:hint="eastAsia" w:ascii="仿宋" w:hAnsi="仿宋" w:eastAsia="仿宋" w:cs="仿宋"/>
          <w:spacing w:val="-1"/>
          <w:sz w:val="24"/>
          <w:szCs w:val="24"/>
          <w:highlight w:val="none"/>
          <w:lang w:val="en-US" w:eastAsia="zh-CN"/>
        </w:rPr>
        <w:t xml:space="preserve">2 </w:t>
      </w:r>
      <w:r>
        <w:rPr>
          <w:rFonts w:hint="eastAsia" w:ascii="仿宋" w:hAnsi="仿宋" w:eastAsia="仿宋" w:cs="仿宋"/>
          <w:spacing w:val="-1"/>
          <w:sz w:val="24"/>
          <w:szCs w:val="24"/>
          <w:highlight w:val="none"/>
        </w:rPr>
        <w:t>验收时间</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由双方在第四部分服务范围及要求的时间节点时间内商定，验收地点为广东省广州市黄埔区</w:t>
      </w:r>
      <w:r>
        <w:rPr>
          <w:rFonts w:hint="eastAsia" w:ascii="仿宋" w:hAnsi="仿宋" w:eastAsia="仿宋" w:cs="仿宋"/>
          <w:spacing w:val="-1"/>
          <w:sz w:val="24"/>
          <w:szCs w:val="24"/>
          <w:highlight w:val="none"/>
          <w:lang w:val="en-US" w:eastAsia="zh-CN"/>
        </w:rPr>
        <w:t>科翔路11号</w:t>
      </w:r>
      <w:r>
        <w:rPr>
          <w:rFonts w:hint="eastAsia" w:ascii="仿宋" w:hAnsi="仿宋" w:eastAsia="仿宋" w:cs="仿宋"/>
          <w:spacing w:val="-1"/>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0"/>
        <w:rPr>
          <w:rFonts w:ascii="黑体" w:hAnsi="黑体" w:eastAsia="黑体" w:cs="黑体"/>
          <w:sz w:val="28"/>
          <w:szCs w:val="28"/>
        </w:rPr>
      </w:pPr>
      <w:r>
        <w:rPr>
          <w:rFonts w:hint="eastAsia" w:ascii="Times New Roman" w:hAnsi="Times New Roman" w:eastAsia="宋体" w:cs="Times New Roman"/>
          <w:b/>
          <w:bCs/>
          <w:spacing w:val="12"/>
          <w:position w:val="1"/>
          <w:sz w:val="28"/>
          <w:szCs w:val="28"/>
          <w:lang w:val="en-US" w:eastAsia="zh-CN"/>
        </w:rPr>
        <w:t>6、</w:t>
      </w:r>
      <w:r>
        <w:rPr>
          <w:rFonts w:ascii="黑体" w:hAnsi="黑体" w:eastAsia="黑体" w:cs="黑体"/>
          <w:spacing w:val="12"/>
          <w:position w:val="1"/>
          <w:sz w:val="28"/>
          <w:szCs w:val="28"/>
          <w14:textOutline w14:w="5103" w14:cap="sq" w14:cmpd="sng">
            <w14:solidFill>
              <w14:srgbClr w14:val="000000"/>
            </w14:solidFill>
            <w14:prstDash w14:val="solid"/>
            <w14:bevel/>
          </w14:textOutline>
        </w:rPr>
        <w:t>其他要求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6.1</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进度控制以投标方向招标方提交的报告为考核依据，按期执行、推进相应工作，保障任务最终完成的时间节点。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6.2</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招标方有义务协助投标方开展相关沟通协调工作，但投标方须按照本技术规范书第四部分服务范围及要求的时间节点，完成各项工作。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6.3</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投标方应按照工作方案及计划，明晰组织结构，明确责任人，成立专业团队，加紧开展工作。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6.4</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工作过程中出现报告质量与完整性不足的情况，投标方负责辅导更正。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spacing w:val="-1"/>
          <w:sz w:val="24"/>
          <w:szCs w:val="24"/>
        </w:rPr>
      </w:pPr>
      <w:r>
        <w:rPr>
          <w:rFonts w:hint="eastAsia" w:ascii="仿宋" w:hAnsi="仿宋" w:eastAsia="仿宋" w:cs="仿宋"/>
          <w:spacing w:val="-1"/>
          <w:sz w:val="24"/>
          <w:szCs w:val="24"/>
        </w:rPr>
        <w:t>6.5</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本技术规范书中的未尽事宜，请与招标方联系。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default"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6.6 项目服务期内若未按时交付交付物，按照合同设置的违约条款，直至交付成果。</w:t>
      </w:r>
    </w:p>
    <w:p/>
    <w:sectPr>
      <w:headerReference r:id="rId7" w:type="default"/>
      <w:footerReference r:id="rId8" w:type="default"/>
      <w:pgSz w:w="11906" w:h="16839"/>
      <w:pgMar w:top="1440" w:right="1800" w:bottom="1440" w:left="1800" w:header="0" w:footer="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kinsoku w:val="0"/>
      <w:wordWrap/>
      <w:overflowPunct/>
      <w:topLinePunct w:val="0"/>
      <w:bidi w:val="0"/>
      <w:adjustRightInd w:val="0"/>
      <w:snapToGrid w:val="0"/>
      <w:spacing w:line="480" w:lineRule="auto"/>
      <w:textAlignment w:val="baseli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keepNext w:val="0"/>
      <w:keepLines w:val="0"/>
      <w:pageBreakBefore w:val="0"/>
      <w:widowControl/>
      <w:kinsoku w:val="0"/>
      <w:wordWrap/>
      <w:overflowPunct/>
      <w:topLinePunct w:val="0"/>
      <w:bidi w:val="0"/>
      <w:adjustRightInd w:val="0"/>
      <w:snapToGrid w:val="0"/>
      <w:spacing w:line="360" w:lineRule="auto"/>
      <w:jc w:val="center"/>
      <w:textAlignment w:val="baseline"/>
      <w:rPr>
        <w:sz w:val="2"/>
      </w:rPr>
    </w:pPr>
    <w:r>
      <w:rPr>
        <w:sz w:val="2"/>
      </w:rPr>
      <mc:AlternateContent>
        <mc:Choice Requires="wps">
          <w:drawing>
            <wp:anchor distT="0" distB="0" distL="114300" distR="114300" simplePos="0" relativeHeight="251659264" behindDoc="0" locked="0" layoutInCell="1" allowOverlap="1">
              <wp:simplePos x="0" y="0"/>
              <wp:positionH relativeFrom="margin">
                <wp:posOffset>2595245</wp:posOffset>
              </wp:positionH>
              <wp:positionV relativeFrom="paragraph">
                <wp:posOffset>-673100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4.35pt;margin-top:-53pt;height:144pt;width:144pt;mso-position-horizontal-relative:margin;mso-wrap-style:none;z-index:251659264;mso-width-relative:page;mso-height-relative:page;" filled="f" stroked="f" coordsize="21600,21600" o:gfxdata="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FjoZivYAAAADAEAAA8AAAAAAAAAAQAgAAAAIgAAAGRycy9kb3ducmV2Lnht&#10;bFBLAQIUABQAAAAIAIdO4kDhgNOOMgIAAGEEAAAOAAAAAAAAAAEAIAAAACcBAABkcnMvZTJvRG9j&#10;LnhtbFBLBQYAAAAABgAGAFkBAADL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yMzMyMzZhOTgwM2M5YzdlZDBmMjY4N2U5MjMzZTEifQ=="/>
  </w:docVars>
  <w:rsids>
    <w:rsidRoot w:val="71D538EF"/>
    <w:rsid w:val="02ED75C2"/>
    <w:rsid w:val="04AF6ECB"/>
    <w:rsid w:val="1332372A"/>
    <w:rsid w:val="1D5C0A62"/>
    <w:rsid w:val="24410DEF"/>
    <w:rsid w:val="247A9356"/>
    <w:rsid w:val="24D56F3B"/>
    <w:rsid w:val="2A53234E"/>
    <w:rsid w:val="2A552C65"/>
    <w:rsid w:val="2C9D0377"/>
    <w:rsid w:val="34A179D8"/>
    <w:rsid w:val="39F07BE2"/>
    <w:rsid w:val="3AE15C39"/>
    <w:rsid w:val="40044319"/>
    <w:rsid w:val="4E184C25"/>
    <w:rsid w:val="583F228F"/>
    <w:rsid w:val="59BA2361"/>
    <w:rsid w:val="5BFF32E8"/>
    <w:rsid w:val="5CF41742"/>
    <w:rsid w:val="67DC2203"/>
    <w:rsid w:val="67F65F9A"/>
    <w:rsid w:val="6B9E737F"/>
    <w:rsid w:val="71D538EF"/>
    <w:rsid w:val="721368A8"/>
    <w:rsid w:val="75ED09C2"/>
    <w:rsid w:val="77A9272C"/>
    <w:rsid w:val="79577E5F"/>
    <w:rsid w:val="7C593F0B"/>
    <w:rsid w:val="7DFBEAA8"/>
    <w:rsid w:val="7F7C9E70"/>
    <w:rsid w:val="B97E37C2"/>
    <w:rsid w:val="BFCFDD99"/>
    <w:rsid w:val="BFEB4AAF"/>
    <w:rsid w:val="FFBCD443"/>
    <w:rsid w:val="FFFA5B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Table Text"/>
    <w:basedOn w:val="1"/>
    <w:semiHidden/>
    <w:qFormat/>
    <w:uiPriority w:val="0"/>
    <w:rPr>
      <w:rFonts w:ascii="仿宋" w:hAnsi="仿宋" w:eastAsia="仿宋" w:cs="仿宋"/>
      <w:sz w:val="20"/>
      <w:szCs w:val="20"/>
      <w:lang w:val="en-US" w:eastAsia="en-US" w:bidi="ar-SA"/>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2024-05-10T18:03:00Z</dcterms:created>
  <dc:creator>吴典校</dc:creator>
  <cp:lastModifiedBy>林若珏</cp:lastModifiedBy>
  <dcterms:modified xsi:type="dcterms:W3CDTF">2026-01-27T03:39:26Z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5098C22EC724848844AA44662AF91BE4</vt:lpwstr>
  </property>
</Properties>
</file>