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11"/>
        <w:adjustRightInd w:val="0"/>
        <w:snapToGrid w:val="0"/>
        <w:spacing w:line="360" w:lineRule="auto"/>
        <w:ind w:firstLine="562" w:firstLineChars="200"/>
        <w:jc w:val="left"/>
        <w:outlineLvl w:val="0"/>
        <w:rPr>
          <w:rFonts w:hint="eastAsia" w:hAnsi="宋体" w:cs="宋体"/>
          <w:b/>
          <w:bCs/>
          <w:snapToGrid w:val="0"/>
          <w:color w:val="auto"/>
          <w:sz w:val="28"/>
          <w:szCs w:val="28"/>
        </w:rPr>
      </w:pPr>
      <w:r>
        <w:rPr>
          <w:rFonts w:hint="eastAsia" w:hAnsi="宋体" w:cs="宋体"/>
          <w:b/>
          <w:bCs/>
          <w:snapToGrid w:val="0"/>
          <w:color w:val="auto"/>
          <w:sz w:val="28"/>
          <w:szCs w:val="28"/>
        </w:rPr>
        <w:t>项目</w:t>
      </w:r>
      <w:r>
        <w:rPr>
          <w:rFonts w:hint="eastAsia" w:hAnsi="宋体" w:eastAsia="宋体" w:cs="宋体"/>
          <w:b/>
          <w:bCs/>
          <w:snapToGrid w:val="0"/>
          <w:color w:val="auto"/>
          <w:sz w:val="28"/>
          <w:szCs w:val="28"/>
        </w:rPr>
        <w:t>名称：</w:t>
      </w:r>
      <w:r>
        <w:rPr>
          <w:rFonts w:hint="eastAsia" w:hAnsi="宋体" w:cs="宋体" w:eastAsiaTheme="minorEastAsia"/>
          <w:b/>
          <w:bCs/>
          <w:snapToGrid w:val="0"/>
          <w:color w:val="auto"/>
          <w:sz w:val="28"/>
          <w:szCs w:val="28"/>
        </w:rPr>
        <w:t>500千伏长新输变电工程监理（标段</w:t>
      </w:r>
      <w:r>
        <w:rPr>
          <w:rFonts w:hint="eastAsia" w:hAnsi="宋体" w:cs="宋体" w:eastAsiaTheme="minorEastAsia"/>
          <w:b/>
          <w:bCs/>
          <w:snapToGrid w:val="0"/>
          <w:color w:val="auto"/>
          <w:sz w:val="28"/>
          <w:szCs w:val="28"/>
          <w:lang w:val="en-US" w:eastAsia="zh-CN"/>
        </w:rPr>
        <w:t>一</w:t>
      </w:r>
      <w:r>
        <w:rPr>
          <w:rFonts w:hint="eastAsia" w:hAnsi="宋体" w:cs="宋体" w:eastAsiaTheme="minorEastAsia"/>
          <w:b/>
          <w:bCs/>
          <w:snapToGrid w:val="0"/>
          <w:color w:val="auto"/>
          <w:sz w:val="28"/>
          <w:szCs w:val="28"/>
        </w:rPr>
        <w:t>）</w:t>
      </w:r>
    </w:p>
    <w:tbl>
      <w:tblPr>
        <w:tblStyle w:val="15"/>
        <w:tblW w:w="736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78"/>
        <w:gridCol w:w="2911"/>
        <w:gridCol w:w="347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11"/>
              <w:spacing w:line="400" w:lineRule="exact"/>
              <w:jc w:val="center"/>
              <w:rPr>
                <w:rFonts w:hAnsi="宋体" w:eastAsia="宋体" w:cs="宋体"/>
                <w:b/>
                <w:bCs/>
                <w:snapToGrid w:val="0"/>
                <w:color w:val="auto"/>
                <w:sz w:val="21"/>
                <w:szCs w:val="21"/>
              </w:rPr>
            </w:pPr>
            <w:r>
              <w:rPr>
                <w:rFonts w:hint="eastAsia" w:hAnsi="宋体" w:eastAsia="宋体" w:cs="宋体"/>
                <w:b/>
                <w:bCs/>
                <w:snapToGrid w:val="0"/>
                <w:color w:val="auto"/>
                <w:sz w:val="21"/>
                <w:szCs w:val="21"/>
              </w:rPr>
              <w:t>序号</w:t>
            </w:r>
          </w:p>
        </w:tc>
        <w:tc>
          <w:tcPr>
            <w:tcW w:w="2911" w:type="dxa"/>
            <w:vAlign w:val="center"/>
          </w:tcPr>
          <w:p>
            <w:pPr>
              <w:pStyle w:val="11"/>
              <w:spacing w:line="400" w:lineRule="exact"/>
              <w:jc w:val="center"/>
              <w:rPr>
                <w:rFonts w:hAnsi="宋体" w:eastAsia="宋体" w:cs="宋体"/>
                <w:b/>
                <w:bCs/>
                <w:snapToGrid w:val="0"/>
                <w:color w:val="auto"/>
                <w:sz w:val="21"/>
                <w:szCs w:val="21"/>
              </w:rPr>
            </w:pPr>
            <w:r>
              <w:rPr>
                <w:rFonts w:hint="eastAsia" w:hAnsi="宋体" w:eastAsia="宋体" w:cs="宋体"/>
                <w:b/>
                <w:bCs/>
                <w:snapToGrid w:val="0"/>
                <w:color w:val="auto"/>
                <w:sz w:val="21"/>
                <w:szCs w:val="21"/>
              </w:rPr>
              <w:t>项目</w:t>
            </w:r>
          </w:p>
        </w:tc>
        <w:tc>
          <w:tcPr>
            <w:tcW w:w="3476" w:type="dxa"/>
            <w:vAlign w:val="center"/>
          </w:tcPr>
          <w:p>
            <w:pPr>
              <w:pStyle w:val="11"/>
              <w:spacing w:line="400" w:lineRule="exact"/>
              <w:jc w:val="center"/>
              <w:rPr>
                <w:rFonts w:hAnsi="宋体" w:eastAsia="宋体" w:cs="宋体"/>
                <w:b/>
                <w:bCs/>
                <w:snapToGrid w:val="0"/>
                <w:color w:val="auto"/>
                <w:sz w:val="21"/>
                <w:szCs w:val="21"/>
              </w:rPr>
            </w:pPr>
            <w:r>
              <w:rPr>
                <w:rFonts w:hint="eastAsia" w:hAnsi="宋体" w:eastAsia="宋体" w:cs="宋体"/>
                <w:b/>
                <w:bCs/>
                <w:snapToGrid w:val="0"/>
                <w:color w:val="auto"/>
                <w:sz w:val="21"/>
                <w:szCs w:val="21"/>
              </w:rPr>
              <w:t>内容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11"/>
              <w:spacing w:line="400" w:lineRule="exact"/>
              <w:jc w:val="center"/>
              <w:rPr>
                <w:rFonts w:hAnsi="宋体" w:eastAsia="宋体" w:cs="宋体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eastAsia" w:hAnsi="宋体" w:eastAsia="宋体" w:cs="宋体"/>
                <w:b/>
                <w:bCs/>
                <w:snapToGrid w:val="0"/>
                <w:sz w:val="21"/>
                <w:szCs w:val="21"/>
              </w:rPr>
              <w:t>1</w:t>
            </w:r>
          </w:p>
        </w:tc>
        <w:tc>
          <w:tcPr>
            <w:tcW w:w="2911" w:type="dxa"/>
            <w:vAlign w:val="center"/>
          </w:tcPr>
          <w:p>
            <w:pPr>
              <w:pStyle w:val="11"/>
              <w:spacing w:line="400" w:lineRule="exact"/>
              <w:jc w:val="center"/>
              <w:rPr>
                <w:rFonts w:hAnsi="宋体" w:eastAsia="宋体" w:cs="宋体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eastAsia" w:hAnsi="宋体" w:eastAsia="宋体" w:cs="宋体"/>
                <w:b/>
                <w:bCs/>
                <w:snapToGrid w:val="0"/>
                <w:sz w:val="21"/>
                <w:szCs w:val="21"/>
              </w:rPr>
              <w:t>项目建设单位</w:t>
            </w:r>
          </w:p>
        </w:tc>
        <w:tc>
          <w:tcPr>
            <w:tcW w:w="3476" w:type="dxa"/>
            <w:vAlign w:val="center"/>
          </w:tcPr>
          <w:p>
            <w:pPr>
              <w:pStyle w:val="11"/>
              <w:spacing w:line="400" w:lineRule="exact"/>
              <w:jc w:val="center"/>
              <w:rPr>
                <w:rFonts w:hAnsi="宋体" w:eastAsia="宋体" w:cs="宋体"/>
                <w:snapToGrid w:val="0"/>
                <w:sz w:val="21"/>
                <w:szCs w:val="21"/>
              </w:rPr>
            </w:pPr>
            <w:r>
              <w:rPr>
                <w:rFonts w:hint="eastAsia" w:hAnsi="宋体" w:eastAsia="宋体" w:cs="宋体"/>
                <w:sz w:val="21"/>
                <w:szCs w:val="21"/>
              </w:rPr>
              <w:t>云南电网有限责任公司</w:t>
            </w:r>
            <w:r>
              <w:rPr>
                <w:rFonts w:hint="eastAsia" w:hAnsi="宋体" w:cs="宋体"/>
                <w:sz w:val="21"/>
                <w:szCs w:val="21"/>
              </w:rPr>
              <w:t>建设分公司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11"/>
              <w:spacing w:line="400" w:lineRule="exact"/>
              <w:jc w:val="center"/>
              <w:rPr>
                <w:rFonts w:hAnsi="宋体" w:eastAsia="宋体" w:cs="宋体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eastAsia" w:hAnsi="宋体" w:eastAsia="宋体" w:cs="宋体"/>
                <w:b/>
                <w:bCs/>
                <w:snapToGrid w:val="0"/>
                <w:sz w:val="21"/>
                <w:szCs w:val="21"/>
              </w:rPr>
              <w:t>2</w:t>
            </w:r>
          </w:p>
        </w:tc>
        <w:tc>
          <w:tcPr>
            <w:tcW w:w="2911" w:type="dxa"/>
            <w:vAlign w:val="center"/>
          </w:tcPr>
          <w:p>
            <w:pPr>
              <w:pStyle w:val="11"/>
              <w:spacing w:line="400" w:lineRule="exact"/>
              <w:jc w:val="center"/>
              <w:rPr>
                <w:rFonts w:hAnsi="宋体" w:eastAsia="宋体" w:cs="宋体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eastAsia" w:hAnsi="宋体" w:eastAsia="宋体" w:cs="宋体"/>
                <w:b/>
                <w:bCs/>
                <w:snapToGrid w:val="0"/>
                <w:sz w:val="21"/>
                <w:szCs w:val="21"/>
              </w:rPr>
              <w:t>项目建设地点</w:t>
            </w:r>
          </w:p>
        </w:tc>
        <w:tc>
          <w:tcPr>
            <w:tcW w:w="3476" w:type="dxa"/>
            <w:shd w:val="clear" w:color="auto" w:fill="auto"/>
            <w:vAlign w:val="center"/>
          </w:tcPr>
          <w:p>
            <w:pPr>
              <w:pStyle w:val="11"/>
              <w:spacing w:line="400" w:lineRule="exact"/>
              <w:jc w:val="center"/>
              <w:rPr>
                <w:rFonts w:hAnsi="宋体" w:eastAsia="宋体" w:cs="宋体"/>
                <w:snapToGrid w:val="0"/>
                <w:sz w:val="21"/>
                <w:szCs w:val="21"/>
              </w:rPr>
            </w:pPr>
            <w:r>
              <w:rPr>
                <w:rFonts w:hint="eastAsia" w:hAnsi="宋体" w:eastAsia="宋体" w:cs="宋体"/>
                <w:sz w:val="21"/>
                <w:szCs w:val="21"/>
              </w:rPr>
              <w:t>云南省大理市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11"/>
              <w:spacing w:line="400" w:lineRule="exact"/>
              <w:jc w:val="center"/>
              <w:rPr>
                <w:rFonts w:hAnsi="宋体" w:eastAsia="宋体" w:cs="宋体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eastAsia" w:hAnsi="宋体" w:eastAsia="宋体" w:cs="宋体"/>
                <w:b/>
                <w:bCs/>
                <w:snapToGrid w:val="0"/>
                <w:sz w:val="21"/>
                <w:szCs w:val="21"/>
              </w:rPr>
              <w:t>3</w:t>
            </w:r>
          </w:p>
        </w:tc>
        <w:tc>
          <w:tcPr>
            <w:tcW w:w="2911" w:type="dxa"/>
            <w:vAlign w:val="center"/>
          </w:tcPr>
          <w:p>
            <w:pPr>
              <w:pStyle w:val="11"/>
              <w:spacing w:line="400" w:lineRule="exact"/>
              <w:jc w:val="center"/>
              <w:rPr>
                <w:rFonts w:hAnsi="宋体" w:eastAsia="宋体" w:cs="宋体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eastAsia" w:hAnsi="宋体" w:eastAsia="宋体" w:cs="宋体"/>
                <w:b/>
                <w:bCs/>
                <w:snapToGrid w:val="0"/>
                <w:sz w:val="21"/>
                <w:szCs w:val="21"/>
              </w:rPr>
              <w:t>可研批复文号</w:t>
            </w:r>
          </w:p>
        </w:tc>
        <w:tc>
          <w:tcPr>
            <w:tcW w:w="3476" w:type="dxa"/>
            <w:shd w:val="clear" w:color="auto" w:fill="auto"/>
            <w:vAlign w:val="center"/>
          </w:tcPr>
          <w:p>
            <w:pPr>
              <w:pStyle w:val="11"/>
              <w:spacing w:line="400" w:lineRule="exact"/>
              <w:jc w:val="center"/>
              <w:rPr>
                <w:rFonts w:hAnsi="宋体" w:eastAsia="宋体" w:cs="宋体"/>
                <w:snapToGrid w:val="0"/>
                <w:sz w:val="21"/>
                <w:szCs w:val="21"/>
              </w:rPr>
            </w:pPr>
            <w:r>
              <w:rPr>
                <w:rFonts w:hint="eastAsia" w:hAnsi="宋体" w:eastAsia="宋体" w:cs="宋体"/>
                <w:sz w:val="21"/>
                <w:szCs w:val="21"/>
              </w:rPr>
              <w:t>南方电网规划〔2025〕34号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11"/>
              <w:spacing w:line="400" w:lineRule="exact"/>
              <w:jc w:val="center"/>
              <w:rPr>
                <w:rFonts w:hAnsi="宋体" w:eastAsia="宋体" w:cs="宋体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eastAsia" w:hAnsi="宋体" w:eastAsia="宋体" w:cs="宋体"/>
                <w:b/>
                <w:bCs/>
                <w:snapToGrid w:val="0"/>
                <w:sz w:val="21"/>
                <w:szCs w:val="21"/>
              </w:rPr>
              <w:t>4</w:t>
            </w:r>
          </w:p>
        </w:tc>
        <w:tc>
          <w:tcPr>
            <w:tcW w:w="2911" w:type="dxa"/>
            <w:vAlign w:val="center"/>
          </w:tcPr>
          <w:p>
            <w:pPr>
              <w:pStyle w:val="11"/>
              <w:spacing w:line="400" w:lineRule="exact"/>
              <w:jc w:val="center"/>
              <w:rPr>
                <w:rFonts w:hAnsi="宋体" w:eastAsia="宋体" w:cs="宋体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eastAsia" w:hAnsi="宋体" w:eastAsia="宋体" w:cs="宋体"/>
                <w:b/>
                <w:bCs/>
                <w:snapToGrid w:val="0"/>
                <w:sz w:val="21"/>
                <w:szCs w:val="21"/>
              </w:rPr>
              <w:t>项目核准、备案文号</w:t>
            </w:r>
          </w:p>
        </w:tc>
        <w:tc>
          <w:tcPr>
            <w:tcW w:w="3476" w:type="dxa"/>
            <w:vAlign w:val="center"/>
          </w:tcPr>
          <w:p>
            <w:pPr>
              <w:pStyle w:val="11"/>
              <w:spacing w:line="400" w:lineRule="exact"/>
              <w:jc w:val="center"/>
              <w:rPr>
                <w:rFonts w:hAnsi="宋体" w:eastAsia="宋体" w:cs="宋体"/>
                <w:snapToGrid w:val="0"/>
                <w:sz w:val="21"/>
                <w:szCs w:val="21"/>
                <w:highlight w:val="cyan"/>
              </w:rPr>
            </w:pPr>
            <w:r>
              <w:rPr>
                <w:rFonts w:hint="eastAsia" w:hAnsi="宋体" w:eastAsia="宋体" w:cs="宋体"/>
                <w:sz w:val="21"/>
                <w:szCs w:val="21"/>
              </w:rPr>
              <w:t>云发改能源[2025]948号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11"/>
              <w:spacing w:line="400" w:lineRule="exact"/>
              <w:jc w:val="center"/>
              <w:rPr>
                <w:rFonts w:hAnsi="宋体" w:eastAsia="宋体" w:cs="宋体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eastAsia" w:hAnsi="宋体" w:eastAsia="宋体" w:cs="宋体"/>
                <w:b/>
                <w:bCs/>
                <w:snapToGrid w:val="0"/>
                <w:sz w:val="21"/>
                <w:szCs w:val="21"/>
              </w:rPr>
              <w:t>5</w:t>
            </w:r>
          </w:p>
        </w:tc>
        <w:tc>
          <w:tcPr>
            <w:tcW w:w="2911" w:type="dxa"/>
            <w:vAlign w:val="center"/>
          </w:tcPr>
          <w:p>
            <w:pPr>
              <w:pStyle w:val="11"/>
              <w:spacing w:line="400" w:lineRule="exact"/>
              <w:jc w:val="center"/>
              <w:rPr>
                <w:rFonts w:hAnsi="宋体" w:eastAsia="宋体" w:cs="宋体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eastAsia" w:hAnsi="宋体" w:eastAsia="宋体" w:cs="宋体"/>
                <w:b/>
                <w:bCs/>
                <w:snapToGrid w:val="0"/>
                <w:sz w:val="21"/>
                <w:szCs w:val="21"/>
              </w:rPr>
              <w:t>资金落实情况</w:t>
            </w:r>
          </w:p>
        </w:tc>
        <w:tc>
          <w:tcPr>
            <w:tcW w:w="3476" w:type="dxa"/>
            <w:vAlign w:val="center"/>
          </w:tcPr>
          <w:p>
            <w:pPr>
              <w:pStyle w:val="11"/>
              <w:spacing w:line="400" w:lineRule="exact"/>
              <w:jc w:val="center"/>
              <w:rPr>
                <w:rFonts w:hAnsi="宋体" w:eastAsia="宋体" w:cs="宋体"/>
                <w:snapToGrid w:val="0"/>
                <w:sz w:val="21"/>
                <w:szCs w:val="21"/>
                <w:highlight w:val="cyan"/>
              </w:rPr>
            </w:pPr>
            <w:r>
              <w:rPr>
                <w:rFonts w:hint="eastAsia" w:hAnsi="宋体" w:eastAsia="宋体" w:cs="宋体"/>
                <w:sz w:val="21"/>
                <w:szCs w:val="21"/>
              </w:rPr>
              <w:t>云电规划[2025]1号</w:t>
            </w:r>
          </w:p>
        </w:tc>
      </w:tr>
    </w:tbl>
    <w:p>
      <w:pPr>
        <w:pStyle w:val="11"/>
        <w:adjustRightInd w:val="0"/>
        <w:snapToGrid w:val="0"/>
        <w:spacing w:line="360" w:lineRule="auto"/>
        <w:ind w:firstLine="562" w:firstLineChars="200"/>
        <w:jc w:val="center"/>
        <w:outlineLvl w:val="0"/>
        <w:rPr>
          <w:rFonts w:hAnsi="宋体" w:cs="宋体"/>
          <w:b/>
          <w:color w:val="FF0000"/>
          <w:sz w:val="28"/>
          <w:szCs w:val="28"/>
        </w:rPr>
      </w:pPr>
    </w:p>
    <w:p>
      <w:pPr>
        <w:pStyle w:val="11"/>
        <w:numPr>
          <w:ilvl w:val="0"/>
          <w:numId w:val="1"/>
        </w:numPr>
        <w:adjustRightInd w:val="0"/>
        <w:snapToGrid w:val="0"/>
        <w:spacing w:line="360" w:lineRule="auto"/>
        <w:ind w:firstLine="482" w:firstLineChars="200"/>
        <w:outlineLvl w:val="0"/>
        <w:rPr>
          <w:rFonts w:asciiTheme="minorEastAsia" w:hAnsiTheme="minorEastAsia" w:cstheme="minorEastAsia"/>
          <w:b/>
          <w:bCs/>
          <w:sz w:val="24"/>
          <w:szCs w:val="24"/>
        </w:rPr>
      </w:pPr>
      <w:r>
        <w:rPr>
          <w:rFonts w:hint="eastAsia" w:hAnsi="宋体" w:eastAsia="宋体" w:cs="宋体"/>
          <w:b/>
          <w:sz w:val="24"/>
          <w:szCs w:val="24"/>
        </w:rPr>
        <w:t>建设规模</w:t>
      </w:r>
    </w:p>
    <w:p>
      <w:pPr>
        <w:pStyle w:val="11"/>
        <w:spacing w:line="360" w:lineRule="auto"/>
        <w:ind w:firstLine="482" w:firstLineChars="200"/>
        <w:rPr>
          <w:rFonts w:asciiTheme="minorEastAsia" w:hAnsiTheme="minorEastAsia" w:cstheme="minorEastAsia"/>
          <w:b/>
          <w:bCs/>
          <w:sz w:val="24"/>
          <w:szCs w:val="24"/>
        </w:rPr>
      </w:pPr>
      <w:r>
        <w:rPr>
          <w:rFonts w:hint="eastAsia" w:asciiTheme="minorEastAsia" w:hAnsiTheme="minorEastAsia" w:cstheme="minorEastAsia"/>
          <w:b/>
          <w:bCs/>
          <w:sz w:val="24"/>
          <w:szCs w:val="24"/>
        </w:rPr>
        <w:t>1. 500kV长新变电站新建工程</w:t>
      </w:r>
      <w:r>
        <w:rPr>
          <w:rFonts w:asciiTheme="minorEastAsia" w:hAnsiTheme="minorEastAsia" w:cstheme="minorEastAsia"/>
          <w:b/>
          <w:bCs/>
          <w:sz w:val="24"/>
          <w:szCs w:val="24"/>
        </w:rPr>
        <w:t xml:space="preserve"> </w:t>
      </w:r>
    </w:p>
    <w:p>
      <w:pPr>
        <w:spacing w:line="360" w:lineRule="auto"/>
        <w:ind w:left="420" w:firstLine="420" w:firstLineChars="200"/>
        <w:rPr>
          <w:rFonts w:ascii="宋体" w:hAnsi="宋体" w:eastAsia="宋体" w:cs="宋体"/>
          <w:kern w:val="0"/>
          <w:szCs w:val="21"/>
        </w:rPr>
      </w:pPr>
      <w:r>
        <w:rPr>
          <w:rFonts w:hint="eastAsia" w:ascii="宋体" w:hAnsi="宋体" w:eastAsia="宋体" w:cs="宋体"/>
          <w:kern w:val="0"/>
          <w:szCs w:val="21"/>
        </w:rPr>
        <w:t>（1）主变压器：远期规模 4×1000MVA，本期规模 2×1000MVA。</w:t>
      </w:r>
    </w:p>
    <w:p>
      <w:pPr>
        <w:spacing w:line="360" w:lineRule="auto"/>
        <w:ind w:left="420" w:firstLine="420" w:firstLineChars="200"/>
        <w:rPr>
          <w:rFonts w:ascii="宋体" w:hAnsi="宋体" w:eastAsia="宋体" w:cs="宋体"/>
          <w:kern w:val="0"/>
          <w:szCs w:val="21"/>
        </w:rPr>
      </w:pPr>
      <w:r>
        <w:rPr>
          <w:rFonts w:hint="eastAsia" w:ascii="宋体" w:hAnsi="宋体" w:eastAsia="宋体" w:cs="宋体"/>
          <w:kern w:val="0"/>
          <w:szCs w:val="21"/>
        </w:rPr>
        <w:t>（2）500kV出线：远期8回，分别至黄坪</w:t>
      </w:r>
      <w:r>
        <w:rPr>
          <w:rFonts w:ascii="宋体" w:hAnsi="宋体" w:eastAsia="宋体" w:cs="宋体"/>
          <w:kern w:val="0"/>
          <w:szCs w:val="21"/>
        </w:rPr>
        <w:t>1</w:t>
      </w:r>
      <w:r>
        <w:rPr>
          <w:rFonts w:hint="eastAsia" w:ascii="宋体" w:hAnsi="宋体" w:eastAsia="宋体" w:cs="宋体"/>
          <w:kern w:val="0"/>
          <w:szCs w:val="21"/>
        </w:rPr>
        <w:t>回、至苗尾1回，至新松换流站1回、向黄坪方向备用1回、向怒江干流方向备用2回，向大理变方向备用2回；本期出线</w:t>
      </w:r>
      <w:r>
        <w:rPr>
          <w:rFonts w:ascii="宋体" w:hAnsi="宋体" w:eastAsia="宋体" w:cs="宋体"/>
          <w:kern w:val="0"/>
          <w:szCs w:val="21"/>
        </w:rPr>
        <w:t>3</w:t>
      </w:r>
      <w:r>
        <w:rPr>
          <w:rFonts w:hint="eastAsia" w:ascii="宋体" w:hAnsi="宋体" w:eastAsia="宋体" w:cs="宋体"/>
          <w:kern w:val="0"/>
          <w:szCs w:val="21"/>
        </w:rPr>
        <w:t>回，分别至黄坪</w:t>
      </w:r>
      <w:r>
        <w:rPr>
          <w:rFonts w:ascii="宋体" w:hAnsi="宋体" w:eastAsia="宋体" w:cs="宋体"/>
          <w:kern w:val="0"/>
          <w:szCs w:val="21"/>
        </w:rPr>
        <w:t>1</w:t>
      </w:r>
      <w:r>
        <w:rPr>
          <w:rFonts w:hint="eastAsia" w:ascii="宋体" w:hAnsi="宋体" w:eastAsia="宋体" w:cs="宋体"/>
          <w:kern w:val="0"/>
          <w:szCs w:val="21"/>
        </w:rPr>
        <w:t>回、至苗尾1回，至新松换流站1回。</w:t>
      </w:r>
    </w:p>
    <w:p>
      <w:pPr>
        <w:spacing w:line="360" w:lineRule="auto"/>
        <w:ind w:left="420" w:firstLine="420" w:firstLineChars="200"/>
        <w:rPr>
          <w:rFonts w:ascii="宋体" w:hAnsi="宋体" w:eastAsia="宋体" w:cs="宋体"/>
          <w:kern w:val="0"/>
          <w:szCs w:val="21"/>
        </w:rPr>
      </w:pPr>
      <w:r>
        <w:rPr>
          <w:rFonts w:hint="eastAsia" w:ascii="宋体" w:hAnsi="宋体" w:eastAsia="宋体" w:cs="宋体"/>
          <w:kern w:val="0"/>
          <w:szCs w:val="21"/>
        </w:rPr>
        <w:t>（3）220kV出线：远期16回；本期</w:t>
      </w:r>
      <w:r>
        <w:rPr>
          <w:rFonts w:ascii="宋体" w:hAnsi="宋体" w:cs="宋体"/>
          <w:kern w:val="0"/>
          <w:szCs w:val="21"/>
        </w:rPr>
        <w:t>4</w:t>
      </w:r>
      <w:r>
        <w:rPr>
          <w:rFonts w:hint="eastAsia" w:ascii="宋体" w:hAnsi="宋体" w:eastAsia="宋体" w:cs="宋体"/>
          <w:kern w:val="0"/>
          <w:szCs w:val="21"/>
        </w:rPr>
        <w:t>回。</w:t>
      </w:r>
    </w:p>
    <w:p>
      <w:pPr>
        <w:spacing w:line="360" w:lineRule="auto"/>
        <w:ind w:left="420" w:firstLine="420" w:firstLineChars="200"/>
        <w:rPr>
          <w:rFonts w:ascii="宋体" w:hAnsi="宋体" w:eastAsia="宋体" w:cs="宋体"/>
          <w:kern w:val="0"/>
          <w:szCs w:val="21"/>
        </w:rPr>
      </w:pPr>
      <w:r>
        <w:rPr>
          <w:rFonts w:hint="eastAsia" w:ascii="宋体" w:hAnsi="宋体" w:eastAsia="宋体" w:cs="宋体"/>
          <w:kern w:val="0"/>
          <w:szCs w:val="21"/>
        </w:rPr>
        <w:t>（4）高压无功补偿：远期至大理变方向备用2回500kV出线均预留高压并联电抗器及中性点小电抗位置。</w:t>
      </w:r>
    </w:p>
    <w:p>
      <w:pPr>
        <w:spacing w:line="360" w:lineRule="auto"/>
        <w:ind w:left="420" w:firstLine="420" w:firstLineChars="200"/>
        <w:rPr>
          <w:rFonts w:ascii="宋体" w:hAnsi="宋体" w:eastAsia="宋体" w:cs="宋体"/>
          <w:kern w:val="0"/>
          <w:szCs w:val="21"/>
        </w:rPr>
      </w:pPr>
      <w:r>
        <w:rPr>
          <w:rFonts w:hint="eastAsia" w:ascii="宋体" w:hAnsi="宋体" w:eastAsia="宋体" w:cs="宋体"/>
          <w:kern w:val="0"/>
          <w:szCs w:val="21"/>
        </w:rPr>
        <w:t>（5）无功补偿装置：</w:t>
      </w:r>
      <w:r>
        <w:rPr>
          <w:rFonts w:ascii="宋体" w:hAnsi="宋体" w:eastAsia="宋体" w:cs="宋体"/>
          <w:kern w:val="0"/>
          <w:szCs w:val="21"/>
        </w:rPr>
        <w:t xml:space="preserve"> </w:t>
      </w:r>
      <w:r>
        <w:rPr>
          <w:rFonts w:hint="eastAsia" w:ascii="宋体" w:hAnsi="宋体" w:eastAsia="宋体" w:cs="宋体"/>
          <w:kern w:val="0"/>
          <w:szCs w:val="21"/>
        </w:rPr>
        <w:t>本期#</w:t>
      </w:r>
      <w:r>
        <w:rPr>
          <w:rFonts w:ascii="宋体" w:hAnsi="宋体" w:eastAsia="宋体" w:cs="宋体"/>
          <w:kern w:val="0"/>
          <w:szCs w:val="21"/>
        </w:rPr>
        <w:t>2</w:t>
      </w:r>
      <w:r>
        <w:rPr>
          <w:rFonts w:hint="eastAsia" w:ascii="宋体" w:hAnsi="宋体" w:eastAsia="宋体" w:cs="宋体"/>
          <w:kern w:val="0"/>
          <w:szCs w:val="21"/>
        </w:rPr>
        <w:t>、#</w:t>
      </w:r>
      <w:r>
        <w:rPr>
          <w:rFonts w:ascii="宋体" w:hAnsi="宋体" w:eastAsia="宋体" w:cs="宋体"/>
          <w:kern w:val="0"/>
          <w:szCs w:val="21"/>
        </w:rPr>
        <w:t>4</w:t>
      </w:r>
      <w:r>
        <w:rPr>
          <w:rFonts w:hint="eastAsia" w:ascii="宋体" w:hAnsi="宋体" w:eastAsia="宋体" w:cs="宋体"/>
          <w:kern w:val="0"/>
          <w:szCs w:val="21"/>
        </w:rPr>
        <w:t>主变低压侧配置电容器组</w:t>
      </w:r>
      <w:r>
        <w:rPr>
          <w:rFonts w:ascii="宋体" w:hAnsi="宋体" w:eastAsia="宋体" w:cs="宋体"/>
          <w:kern w:val="0"/>
          <w:szCs w:val="21"/>
        </w:rPr>
        <w:t>2</w:t>
      </w:r>
      <w:r>
        <w:rPr>
          <w:rFonts w:hint="eastAsia" w:ascii="宋体" w:hAnsi="宋体" w:eastAsia="宋体" w:cs="宋体"/>
          <w:kern w:val="0"/>
          <w:szCs w:val="21"/>
        </w:rPr>
        <w:t>×60Mvar，电抗器1×60Mvar；远期#1、#3主变低压侧配置电容器组3×60Mvar，电抗器2×60Mvar，#2、#4主变低压侧配置电容器组2×60Mvar，电抗器2×60Mvar，SVG补偿装置1×±60Mvar。</w:t>
      </w:r>
    </w:p>
    <w:p>
      <w:pPr>
        <w:pStyle w:val="11"/>
        <w:spacing w:line="360" w:lineRule="auto"/>
        <w:ind w:firstLine="482" w:firstLineChars="200"/>
        <w:rPr>
          <w:rFonts w:asciiTheme="minorEastAsia" w:hAnsiTheme="minorEastAsia" w:cstheme="minorEastAsia"/>
          <w:b/>
          <w:bCs/>
          <w:sz w:val="24"/>
          <w:szCs w:val="24"/>
        </w:rPr>
      </w:pPr>
      <w:r>
        <w:rPr>
          <w:rFonts w:hint="eastAsia" w:asciiTheme="minorEastAsia" w:hAnsiTheme="minorEastAsia" w:cstheme="minorEastAsia"/>
          <w:b/>
          <w:bCs/>
          <w:sz w:val="24"/>
          <w:szCs w:val="24"/>
        </w:rPr>
        <w:t>2.500kV黄坪站扩建长新间隔工程</w:t>
      </w:r>
    </w:p>
    <w:p>
      <w:pPr>
        <w:pStyle w:val="11"/>
        <w:spacing w:line="360" w:lineRule="auto"/>
        <w:ind w:firstLine="420" w:firstLineChars="200"/>
        <w:rPr>
          <w:rFonts w:hAnsi="宋体" w:eastAsia="宋体" w:cs="宋体"/>
          <w:sz w:val="21"/>
          <w:szCs w:val="21"/>
        </w:rPr>
      </w:pPr>
      <w:r>
        <w:rPr>
          <w:rFonts w:hint="eastAsia" w:hAnsi="宋体" w:eastAsia="宋体" w:cs="宋体"/>
          <w:sz w:val="21"/>
          <w:szCs w:val="21"/>
        </w:rPr>
        <w:t>本期500kV黄坪变扩建1回500kV出线至长新变。本期扩建黄坪变500kV配电装置场地第五串南侧出线间隔，将第五串扩建为不完整串，安装</w:t>
      </w:r>
      <w:r>
        <w:rPr>
          <w:rFonts w:hAnsi="宋体" w:eastAsia="宋体" w:cs="宋体"/>
          <w:sz w:val="21"/>
          <w:szCs w:val="21"/>
        </w:rPr>
        <w:t>1</w:t>
      </w:r>
      <w:r>
        <w:rPr>
          <w:rFonts w:hint="eastAsia" w:hAnsi="宋体" w:eastAsia="宋体" w:cs="宋体"/>
          <w:sz w:val="21"/>
          <w:szCs w:val="21"/>
        </w:rPr>
        <w:t>组断路器。</w:t>
      </w:r>
    </w:p>
    <w:p>
      <w:pPr>
        <w:pStyle w:val="11"/>
        <w:spacing w:line="360" w:lineRule="auto"/>
        <w:ind w:firstLine="420" w:firstLineChars="200"/>
        <w:rPr>
          <w:rFonts w:hAnsi="宋体" w:eastAsia="宋体" w:cs="宋体"/>
          <w:sz w:val="21"/>
          <w:szCs w:val="21"/>
          <w:shd w:val="clear" w:color="auto" w:fill="FFFFFF"/>
        </w:rPr>
      </w:pPr>
    </w:p>
    <w:p>
      <w:pPr>
        <w:pStyle w:val="11"/>
        <w:numPr>
          <w:ilvl w:val="0"/>
          <w:numId w:val="1"/>
        </w:numPr>
        <w:adjustRightInd w:val="0"/>
        <w:snapToGrid w:val="0"/>
        <w:spacing w:line="360" w:lineRule="auto"/>
        <w:ind w:firstLine="0"/>
        <w:outlineLvl w:val="0"/>
        <w:rPr>
          <w:rFonts w:hAnsi="宋体" w:eastAsia="宋体" w:cs="宋体"/>
          <w:b/>
          <w:sz w:val="24"/>
          <w:szCs w:val="24"/>
        </w:rPr>
      </w:pPr>
      <w:r>
        <w:rPr>
          <w:rFonts w:hint="eastAsia" w:hAnsi="宋体" w:eastAsia="宋体" w:cs="宋体"/>
          <w:b/>
          <w:sz w:val="24"/>
          <w:szCs w:val="24"/>
        </w:rPr>
        <w:t>采购范围</w:t>
      </w:r>
      <w:bookmarkStart w:id="0" w:name="施工招标范围综合"/>
      <w:r>
        <w:rPr>
          <w:rFonts w:hint="eastAsia" w:hAnsi="宋体" w:eastAsia="宋体" w:cs="宋体"/>
          <w:b/>
          <w:sz w:val="24"/>
          <w:szCs w:val="24"/>
        </w:rPr>
        <w:t xml:space="preserve"> </w:t>
      </w:r>
    </w:p>
    <w:bookmarkEnd w:id="0"/>
    <w:p>
      <w:pPr>
        <w:spacing w:line="360" w:lineRule="auto"/>
        <w:rPr>
          <w:rFonts w:ascii="宋体" w:hAnsi="宋体" w:eastAsia="宋体" w:cs="宋体"/>
          <w:b/>
          <w:sz w:val="24"/>
        </w:rPr>
      </w:pPr>
      <w:r>
        <w:rPr>
          <w:rFonts w:hint="eastAsia"/>
        </w:rPr>
        <w:t xml:space="preserve">    </w:t>
      </w:r>
      <w:r>
        <w:rPr>
          <w:rFonts w:hint="eastAsia" w:ascii="宋体" w:hAnsi="宋体" w:eastAsia="宋体" w:cs="宋体"/>
          <w:kern w:val="0"/>
          <w:szCs w:val="21"/>
        </w:rPr>
        <w:t>施工图纸范围内的施工准备（含三通一平），施工（含通信），竣工结算，缺陷责任期，电子化移交的全过程监理。</w:t>
      </w:r>
    </w:p>
    <w:p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sz w:val="28"/>
          <w:szCs w:val="28"/>
          <w:highlight w:val="yellow"/>
          <w:lang w:val="en-US" w:eastAsia="zh-CN"/>
        </w:rPr>
      </w:pPr>
    </w:p>
    <w:p>
      <w:pPr>
        <w:pStyle w:val="11"/>
        <w:adjustRightInd w:val="0"/>
        <w:snapToGrid w:val="0"/>
        <w:spacing w:line="360" w:lineRule="auto"/>
        <w:jc w:val="center"/>
        <w:rPr>
          <w:rFonts w:hAnsi="宋体" w:cs="宋体"/>
          <w:snapToGrid w:val="0"/>
          <w:sz w:val="28"/>
          <w:szCs w:val="28"/>
        </w:rPr>
      </w:pPr>
      <w:r>
        <w:rPr>
          <w:rFonts w:hint="eastAsia" w:hAnsi="宋体" w:cs="宋体"/>
          <w:b/>
          <w:bCs/>
          <w:snapToGrid w:val="0"/>
          <w:sz w:val="28"/>
          <w:szCs w:val="28"/>
        </w:rPr>
        <w:t>项目名称：贵州500千伏仁义～独山第二回500千伏线路工程（超高压公司部分）</w:t>
      </w:r>
      <w:r>
        <w:rPr>
          <w:rFonts w:hint="eastAsia" w:hAnsi="宋体" w:cs="宋体"/>
          <w:b/>
          <w:sz w:val="28"/>
          <w:szCs w:val="28"/>
        </w:rPr>
        <w:t>监理</w:t>
      </w:r>
    </w:p>
    <w:tbl>
      <w:tblPr>
        <w:tblStyle w:val="15"/>
        <w:tblW w:w="736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78"/>
        <w:gridCol w:w="2911"/>
        <w:gridCol w:w="347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11"/>
              <w:snapToGrid w:val="0"/>
              <w:jc w:val="center"/>
              <w:rPr>
                <w:rFonts w:hAnsi="宋体" w:cs="宋体"/>
                <w:b/>
                <w:bCs/>
                <w:snapToGrid w:val="0"/>
                <w:sz w:val="24"/>
                <w:szCs w:val="24"/>
              </w:rPr>
            </w:pPr>
            <w:r>
              <w:rPr>
                <w:rFonts w:hint="eastAsia" w:hAnsi="宋体" w:cs="宋体"/>
                <w:b/>
                <w:bCs/>
                <w:snapToGrid w:val="0"/>
                <w:sz w:val="24"/>
                <w:szCs w:val="24"/>
              </w:rPr>
              <w:t>序号</w:t>
            </w:r>
          </w:p>
        </w:tc>
        <w:tc>
          <w:tcPr>
            <w:tcW w:w="2911" w:type="dxa"/>
            <w:vAlign w:val="center"/>
          </w:tcPr>
          <w:p>
            <w:pPr>
              <w:pStyle w:val="11"/>
              <w:snapToGrid w:val="0"/>
              <w:jc w:val="center"/>
              <w:rPr>
                <w:rFonts w:hAnsi="宋体" w:cs="宋体"/>
                <w:b/>
                <w:bCs/>
                <w:snapToGrid w:val="0"/>
                <w:sz w:val="24"/>
                <w:szCs w:val="24"/>
              </w:rPr>
            </w:pPr>
            <w:r>
              <w:rPr>
                <w:rFonts w:hint="eastAsia" w:hAnsi="宋体" w:cs="宋体"/>
                <w:b/>
                <w:bCs/>
                <w:snapToGrid w:val="0"/>
                <w:sz w:val="24"/>
                <w:szCs w:val="24"/>
              </w:rPr>
              <w:t>文件名称</w:t>
            </w:r>
          </w:p>
        </w:tc>
        <w:tc>
          <w:tcPr>
            <w:tcW w:w="3476" w:type="dxa"/>
            <w:vAlign w:val="center"/>
          </w:tcPr>
          <w:p>
            <w:pPr>
              <w:pStyle w:val="11"/>
              <w:snapToGrid w:val="0"/>
              <w:jc w:val="center"/>
              <w:rPr>
                <w:rFonts w:hAnsi="宋体" w:cs="宋体"/>
                <w:b/>
                <w:bCs/>
                <w:snapToGrid w:val="0"/>
                <w:sz w:val="24"/>
                <w:szCs w:val="24"/>
              </w:rPr>
            </w:pPr>
            <w:r>
              <w:rPr>
                <w:rFonts w:hint="eastAsia" w:hAnsi="宋体" w:cs="宋体"/>
                <w:b/>
                <w:bCs/>
                <w:snapToGrid w:val="0"/>
                <w:sz w:val="24"/>
                <w:szCs w:val="24"/>
              </w:rPr>
              <w:t>文件文号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11"/>
              <w:snapToGrid w:val="0"/>
              <w:jc w:val="center"/>
              <w:rPr>
                <w:rFonts w:hAnsi="宋体" w:cs="宋体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eastAsia" w:hAnsi="宋体" w:cs="宋体"/>
                <w:b/>
                <w:bCs/>
                <w:snapToGrid w:val="0"/>
                <w:sz w:val="21"/>
                <w:szCs w:val="21"/>
              </w:rPr>
              <w:t>1</w:t>
            </w:r>
          </w:p>
        </w:tc>
        <w:tc>
          <w:tcPr>
            <w:tcW w:w="2911" w:type="dxa"/>
            <w:vAlign w:val="center"/>
          </w:tcPr>
          <w:p>
            <w:pPr>
              <w:pStyle w:val="11"/>
              <w:snapToGrid w:val="0"/>
              <w:jc w:val="center"/>
              <w:rPr>
                <w:rFonts w:hAnsi="宋体" w:cs="宋体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eastAsia" w:hAnsi="宋体" w:cs="宋体"/>
                <w:b/>
                <w:bCs/>
                <w:snapToGrid w:val="0"/>
                <w:sz w:val="21"/>
                <w:szCs w:val="21"/>
              </w:rPr>
              <w:t>可研批复文号</w:t>
            </w:r>
          </w:p>
        </w:tc>
        <w:tc>
          <w:tcPr>
            <w:tcW w:w="3476" w:type="dxa"/>
            <w:vAlign w:val="center"/>
          </w:tcPr>
          <w:p>
            <w:pPr>
              <w:pStyle w:val="11"/>
              <w:snapToGrid w:val="0"/>
              <w:jc w:val="center"/>
              <w:rPr>
                <w:rFonts w:hAnsi="宋体" w:cs="宋体"/>
                <w:snapToGrid w:val="0"/>
                <w:sz w:val="21"/>
                <w:szCs w:val="21"/>
              </w:rPr>
            </w:pPr>
            <w:r>
              <w:rPr>
                <w:rFonts w:hint="eastAsia" w:hAnsi="宋体" w:cs="宋体"/>
                <w:sz w:val="21"/>
                <w:szCs w:val="21"/>
              </w:rPr>
              <w:t>南方电网规划〔2023〕106号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11"/>
              <w:snapToGrid w:val="0"/>
              <w:jc w:val="center"/>
              <w:rPr>
                <w:rFonts w:hAnsi="宋体" w:cs="宋体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eastAsia" w:hAnsi="宋体" w:cs="宋体"/>
                <w:b/>
                <w:bCs/>
                <w:snapToGrid w:val="0"/>
                <w:sz w:val="21"/>
                <w:szCs w:val="21"/>
              </w:rPr>
              <w:t>2</w:t>
            </w:r>
          </w:p>
        </w:tc>
        <w:tc>
          <w:tcPr>
            <w:tcW w:w="2911" w:type="dxa"/>
            <w:vAlign w:val="center"/>
          </w:tcPr>
          <w:p>
            <w:pPr>
              <w:pStyle w:val="11"/>
              <w:snapToGrid w:val="0"/>
              <w:jc w:val="center"/>
              <w:rPr>
                <w:rFonts w:hAnsi="宋体" w:cs="宋体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eastAsia" w:hAnsi="宋体" w:cs="宋体"/>
                <w:b/>
                <w:bCs/>
                <w:snapToGrid w:val="0"/>
                <w:sz w:val="21"/>
                <w:szCs w:val="21"/>
              </w:rPr>
              <w:t>项目备案文号</w:t>
            </w:r>
          </w:p>
        </w:tc>
        <w:tc>
          <w:tcPr>
            <w:tcW w:w="3476" w:type="dxa"/>
            <w:vAlign w:val="center"/>
          </w:tcPr>
          <w:p>
            <w:pPr>
              <w:pStyle w:val="11"/>
              <w:snapToGrid w:val="0"/>
              <w:jc w:val="center"/>
              <w:rPr>
                <w:rFonts w:hAnsi="宋体" w:cs="宋体"/>
                <w:snapToGrid w:val="0"/>
                <w:sz w:val="21"/>
                <w:szCs w:val="21"/>
              </w:rPr>
            </w:pPr>
            <w:r>
              <w:rPr>
                <w:rFonts w:hint="eastAsia" w:hAnsi="宋体" w:cs="宋体"/>
                <w:sz w:val="21"/>
                <w:szCs w:val="21"/>
              </w:rPr>
              <w:t>黔能源审〔2025〕5号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11"/>
              <w:snapToGrid w:val="0"/>
              <w:jc w:val="center"/>
              <w:rPr>
                <w:rFonts w:hAnsi="宋体" w:cs="宋体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eastAsia" w:hAnsi="宋体" w:cs="宋体"/>
                <w:b/>
                <w:bCs/>
                <w:snapToGrid w:val="0"/>
                <w:sz w:val="21"/>
                <w:szCs w:val="21"/>
              </w:rPr>
              <w:t>3</w:t>
            </w:r>
          </w:p>
        </w:tc>
        <w:tc>
          <w:tcPr>
            <w:tcW w:w="2911" w:type="dxa"/>
            <w:vAlign w:val="center"/>
          </w:tcPr>
          <w:p>
            <w:pPr>
              <w:pStyle w:val="11"/>
              <w:snapToGrid w:val="0"/>
              <w:jc w:val="center"/>
              <w:rPr>
                <w:rFonts w:hAnsi="宋体" w:cs="宋体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eastAsia" w:hAnsi="宋体" w:cs="宋体"/>
                <w:b/>
                <w:bCs/>
                <w:snapToGrid w:val="0"/>
                <w:sz w:val="21"/>
                <w:szCs w:val="21"/>
              </w:rPr>
              <w:t>初设批复文号</w:t>
            </w:r>
          </w:p>
        </w:tc>
        <w:tc>
          <w:tcPr>
            <w:tcW w:w="3476" w:type="dxa"/>
            <w:vAlign w:val="center"/>
          </w:tcPr>
          <w:p>
            <w:pPr>
              <w:widowControl/>
              <w:snapToGrid w:val="0"/>
              <w:jc w:val="center"/>
              <w:rPr>
                <w:rFonts w:ascii="宋体" w:hAnsi="宋体" w:cs="宋体"/>
                <w:snapToGrid w:val="0"/>
                <w:kern w:val="0"/>
                <w:szCs w:val="21"/>
              </w:rPr>
            </w:pPr>
            <w:r>
              <w:rPr>
                <w:rFonts w:hint="eastAsia" w:hAnsi="宋体" w:cs="宋体"/>
                <w:snapToGrid w:val="0"/>
                <w:szCs w:val="21"/>
              </w:rPr>
              <w:t>南方电网输配电〔2025〕52 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11"/>
              <w:snapToGrid w:val="0"/>
              <w:jc w:val="center"/>
              <w:rPr>
                <w:rFonts w:hAnsi="宋体" w:cs="宋体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eastAsia" w:hAnsi="宋体" w:cs="宋体"/>
                <w:b/>
                <w:bCs/>
                <w:snapToGrid w:val="0"/>
                <w:sz w:val="21"/>
                <w:szCs w:val="21"/>
              </w:rPr>
              <w:t>4</w:t>
            </w:r>
          </w:p>
        </w:tc>
        <w:tc>
          <w:tcPr>
            <w:tcW w:w="2911" w:type="dxa"/>
            <w:vAlign w:val="center"/>
          </w:tcPr>
          <w:p>
            <w:pPr>
              <w:pStyle w:val="11"/>
              <w:snapToGrid w:val="0"/>
              <w:jc w:val="center"/>
              <w:rPr>
                <w:rFonts w:hAnsi="宋体" w:cs="宋体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eastAsia" w:hAnsi="宋体" w:cs="宋体"/>
                <w:b/>
                <w:bCs/>
                <w:snapToGrid w:val="0"/>
                <w:sz w:val="21"/>
                <w:szCs w:val="21"/>
              </w:rPr>
              <w:t>资金落实情况</w:t>
            </w:r>
          </w:p>
        </w:tc>
        <w:tc>
          <w:tcPr>
            <w:tcW w:w="3476" w:type="dxa"/>
            <w:vAlign w:val="center"/>
          </w:tcPr>
          <w:p>
            <w:pPr>
              <w:pStyle w:val="11"/>
              <w:snapToGrid w:val="0"/>
              <w:jc w:val="center"/>
              <w:rPr>
                <w:rFonts w:hAnsi="宋体" w:cs="宋体"/>
                <w:snapToGrid w:val="0"/>
                <w:sz w:val="21"/>
                <w:szCs w:val="21"/>
              </w:rPr>
            </w:pPr>
            <w:r>
              <w:rPr>
                <w:rFonts w:hint="eastAsia" w:hAnsi="宋体" w:cs="宋体"/>
                <w:sz w:val="21"/>
                <w:szCs w:val="21"/>
                <w:highlight w:val="none"/>
              </w:rPr>
              <w:t>超高压计划〔2025〕24 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11"/>
              <w:snapToGrid w:val="0"/>
              <w:jc w:val="center"/>
              <w:rPr>
                <w:rFonts w:hAnsi="宋体" w:cs="宋体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eastAsia" w:hAnsi="宋体" w:cs="宋体"/>
                <w:b/>
                <w:bCs/>
                <w:snapToGrid w:val="0"/>
                <w:sz w:val="21"/>
                <w:szCs w:val="21"/>
              </w:rPr>
              <w:t>5</w:t>
            </w:r>
          </w:p>
        </w:tc>
        <w:tc>
          <w:tcPr>
            <w:tcW w:w="2911" w:type="dxa"/>
            <w:vAlign w:val="center"/>
          </w:tcPr>
          <w:p>
            <w:pPr>
              <w:pStyle w:val="11"/>
              <w:snapToGrid w:val="0"/>
              <w:jc w:val="center"/>
              <w:rPr>
                <w:rFonts w:hAnsi="宋体" w:cs="宋体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eastAsia" w:hAnsi="宋体" w:cs="宋体"/>
                <w:b/>
                <w:bCs/>
                <w:snapToGrid w:val="0"/>
                <w:sz w:val="21"/>
                <w:szCs w:val="21"/>
              </w:rPr>
              <w:t>施工图预算批复文号</w:t>
            </w:r>
          </w:p>
        </w:tc>
        <w:tc>
          <w:tcPr>
            <w:tcW w:w="3476" w:type="dxa"/>
            <w:vAlign w:val="center"/>
          </w:tcPr>
          <w:p>
            <w:pPr>
              <w:pStyle w:val="11"/>
              <w:snapToGrid w:val="0"/>
              <w:jc w:val="center"/>
              <w:rPr>
                <w:rFonts w:hAnsi="宋体" w:cs="宋体"/>
                <w:snapToGrid w:val="0"/>
                <w:sz w:val="21"/>
                <w:szCs w:val="21"/>
              </w:rPr>
            </w:pPr>
            <w:r>
              <w:rPr>
                <w:rFonts w:hint="eastAsia" w:hAnsi="宋体" w:cs="宋体"/>
                <w:snapToGrid w:val="0"/>
                <w:sz w:val="21"/>
                <w:szCs w:val="21"/>
              </w:rPr>
              <w:t>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11"/>
              <w:snapToGrid w:val="0"/>
              <w:jc w:val="center"/>
              <w:rPr>
                <w:rFonts w:hAnsi="宋体" w:cs="宋体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eastAsia" w:hAnsi="宋体" w:cs="宋体"/>
                <w:b/>
                <w:bCs/>
                <w:snapToGrid w:val="0"/>
                <w:sz w:val="21"/>
                <w:szCs w:val="21"/>
              </w:rPr>
              <w:t>6</w:t>
            </w:r>
          </w:p>
        </w:tc>
        <w:tc>
          <w:tcPr>
            <w:tcW w:w="2911" w:type="dxa"/>
            <w:vAlign w:val="center"/>
          </w:tcPr>
          <w:p>
            <w:pPr>
              <w:pStyle w:val="11"/>
              <w:snapToGrid w:val="0"/>
              <w:jc w:val="center"/>
              <w:rPr>
                <w:rFonts w:hAnsi="宋体" w:cs="宋体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eastAsia" w:hAnsi="宋体" w:cs="宋体"/>
                <w:b/>
                <w:bCs/>
                <w:snapToGrid w:val="0"/>
                <w:sz w:val="21"/>
                <w:szCs w:val="21"/>
              </w:rPr>
              <w:t>项目建设单位</w:t>
            </w:r>
          </w:p>
        </w:tc>
        <w:tc>
          <w:tcPr>
            <w:tcW w:w="3476" w:type="dxa"/>
            <w:vAlign w:val="center"/>
          </w:tcPr>
          <w:p>
            <w:pPr>
              <w:pStyle w:val="11"/>
              <w:snapToGrid w:val="0"/>
              <w:jc w:val="center"/>
              <w:rPr>
                <w:rFonts w:hAnsi="宋体" w:cs="宋体"/>
                <w:snapToGrid w:val="0"/>
                <w:sz w:val="21"/>
                <w:szCs w:val="21"/>
              </w:rPr>
            </w:pPr>
            <w:r>
              <w:rPr>
                <w:rFonts w:hint="eastAsia" w:hAnsi="宋体" w:cs="宋体"/>
                <w:snapToGrid w:val="0"/>
                <w:sz w:val="21"/>
                <w:szCs w:val="21"/>
              </w:rPr>
              <w:t>南网超高压公司贵阳局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11"/>
              <w:snapToGrid w:val="0"/>
              <w:jc w:val="center"/>
              <w:rPr>
                <w:rFonts w:hAnsi="宋体" w:cs="宋体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eastAsia" w:hAnsi="宋体" w:cs="宋体"/>
                <w:b/>
                <w:bCs/>
                <w:snapToGrid w:val="0"/>
                <w:sz w:val="21"/>
                <w:szCs w:val="21"/>
              </w:rPr>
              <w:t>7</w:t>
            </w:r>
          </w:p>
        </w:tc>
        <w:tc>
          <w:tcPr>
            <w:tcW w:w="2911" w:type="dxa"/>
            <w:vAlign w:val="center"/>
          </w:tcPr>
          <w:p>
            <w:pPr>
              <w:pStyle w:val="11"/>
              <w:snapToGrid w:val="0"/>
              <w:jc w:val="center"/>
              <w:rPr>
                <w:rFonts w:hAnsi="宋体" w:cs="宋体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eastAsia" w:hAnsi="宋体" w:cs="宋体"/>
                <w:b/>
                <w:bCs/>
                <w:snapToGrid w:val="0"/>
                <w:sz w:val="21"/>
                <w:szCs w:val="21"/>
              </w:rPr>
              <w:t>项目建设地点</w:t>
            </w:r>
          </w:p>
        </w:tc>
        <w:tc>
          <w:tcPr>
            <w:tcW w:w="3476" w:type="dxa"/>
            <w:vAlign w:val="center"/>
          </w:tcPr>
          <w:p>
            <w:pPr>
              <w:pStyle w:val="11"/>
              <w:snapToGrid w:val="0"/>
              <w:jc w:val="center"/>
              <w:rPr>
                <w:rFonts w:hAnsi="宋体" w:cs="宋体"/>
                <w:snapToGrid w:val="0"/>
                <w:sz w:val="21"/>
                <w:szCs w:val="21"/>
              </w:rPr>
            </w:pPr>
            <w:r>
              <w:rPr>
                <w:rFonts w:hint="eastAsia" w:hAnsi="宋体" w:cs="宋体"/>
                <w:snapToGrid w:val="0"/>
                <w:sz w:val="21"/>
                <w:szCs w:val="21"/>
              </w:rPr>
              <w:t>贵州省黔南州独山县百泉镇尧梭村</w:t>
            </w:r>
          </w:p>
        </w:tc>
      </w:tr>
    </w:tbl>
    <w:p>
      <w:pPr>
        <w:pStyle w:val="11"/>
        <w:spacing w:line="360" w:lineRule="auto"/>
        <w:jc w:val="left"/>
        <w:outlineLvl w:val="0"/>
        <w:rPr>
          <w:rFonts w:hAnsi="宋体" w:cs="宋体"/>
          <w:b/>
          <w:bCs/>
          <w:snapToGrid w:val="0"/>
          <w:sz w:val="28"/>
          <w:szCs w:val="28"/>
        </w:rPr>
      </w:pPr>
    </w:p>
    <w:p>
      <w:pPr>
        <w:pStyle w:val="11"/>
        <w:adjustRightInd w:val="0"/>
        <w:snapToGrid w:val="0"/>
        <w:spacing w:line="360" w:lineRule="auto"/>
        <w:rPr>
          <w:rFonts w:hAnsi="宋体" w:cs="宋体"/>
          <w:b/>
          <w:sz w:val="24"/>
          <w:szCs w:val="24"/>
        </w:rPr>
      </w:pPr>
      <w:r>
        <w:rPr>
          <w:rFonts w:hint="eastAsia" w:hAnsi="宋体" w:cs="宋体"/>
          <w:b/>
          <w:sz w:val="24"/>
          <w:szCs w:val="24"/>
        </w:rPr>
        <w:t>一、项目概况</w:t>
      </w:r>
      <w:bookmarkStart w:id="1" w:name="_Toc13498"/>
      <w:bookmarkStart w:id="2" w:name="_Toc28718"/>
      <w:bookmarkStart w:id="3" w:name="_Toc4755"/>
    </w:p>
    <w:bookmarkEnd w:id="1"/>
    <w:bookmarkEnd w:id="2"/>
    <w:bookmarkEnd w:id="3"/>
    <w:p>
      <w:pPr>
        <w:pStyle w:val="11"/>
        <w:adjustRightInd w:val="0"/>
        <w:snapToGrid w:val="0"/>
        <w:spacing w:line="360" w:lineRule="auto"/>
        <w:ind w:firstLine="422" w:firstLineChars="200"/>
        <w:rPr>
          <w:rFonts w:hAnsi="宋体" w:cs="宋体"/>
          <w:b/>
          <w:sz w:val="21"/>
          <w:szCs w:val="21"/>
        </w:rPr>
      </w:pPr>
      <w:r>
        <w:rPr>
          <w:rFonts w:hint="eastAsia" w:hAnsi="宋体" w:cs="宋体"/>
          <w:b/>
          <w:sz w:val="21"/>
          <w:szCs w:val="21"/>
        </w:rPr>
        <w:t>（一）贵州500千伏仁义～独山第二回500千伏线路工程（超高压公司部分）监理</w:t>
      </w:r>
    </w:p>
    <w:p>
      <w:pPr>
        <w:pStyle w:val="11"/>
        <w:adjustRightInd w:val="0"/>
        <w:snapToGrid w:val="0"/>
        <w:spacing w:line="360" w:lineRule="auto"/>
        <w:ind w:firstLine="422" w:firstLineChars="200"/>
        <w:jc w:val="left"/>
        <w:rPr>
          <w:rFonts w:hAnsi="宋体" w:cs="宋体"/>
          <w:b/>
          <w:sz w:val="21"/>
          <w:szCs w:val="21"/>
        </w:rPr>
      </w:pPr>
      <w:r>
        <w:rPr>
          <w:rFonts w:hint="eastAsia" w:hAnsi="宋体" w:cs="宋体"/>
          <w:b/>
          <w:sz w:val="21"/>
          <w:szCs w:val="21"/>
        </w:rPr>
        <w:t>※变电部分:</w:t>
      </w:r>
    </w:p>
    <w:p>
      <w:pPr>
        <w:autoSpaceDE w:val="0"/>
        <w:autoSpaceDN w:val="0"/>
        <w:adjustRightInd w:val="0"/>
        <w:snapToGrid w:val="0"/>
        <w:spacing w:line="360" w:lineRule="auto"/>
        <w:ind w:firstLine="422" w:firstLineChars="200"/>
        <w:jc w:val="left"/>
        <w:rPr>
          <w:rFonts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szCs w:val="21"/>
        </w:rPr>
        <w:t>变电</w:t>
      </w:r>
      <w:r>
        <w:rPr>
          <w:rFonts w:hint="eastAsia" w:ascii="宋体" w:hAnsi="宋体" w:cs="宋体"/>
          <w:b/>
          <w:bCs/>
          <w:szCs w:val="21"/>
        </w:rPr>
        <w:t>建筑工程：</w:t>
      </w:r>
    </w:p>
    <w:p>
      <w:pPr>
        <w:tabs>
          <w:tab w:val="left" w:pos="1146"/>
        </w:tabs>
        <w:snapToGrid w:val="0"/>
        <w:spacing w:line="360" w:lineRule="auto"/>
        <w:ind w:firstLine="420" w:firstLineChars="200"/>
        <w:jc w:val="left"/>
        <w:rPr>
          <w:rFonts w:ascii="宋体" w:hAnsi="宋体" w:cs="宋体"/>
          <w:bCs/>
          <w:szCs w:val="21"/>
        </w:rPr>
      </w:pPr>
      <w:r>
        <w:rPr>
          <w:rFonts w:hint="eastAsia" w:ascii="宋体" w:hAnsi="宋体" w:cs="宋体"/>
          <w:bCs/>
          <w:szCs w:val="21"/>
        </w:rPr>
        <w:t>1）500kV部分：扩建500kV进线间隔共2组的设备支架及基础。</w:t>
      </w:r>
    </w:p>
    <w:p>
      <w:pPr>
        <w:tabs>
          <w:tab w:val="left" w:pos="1146"/>
        </w:tabs>
        <w:snapToGrid w:val="0"/>
        <w:spacing w:line="360" w:lineRule="auto"/>
        <w:ind w:firstLine="420" w:firstLineChars="200"/>
        <w:jc w:val="left"/>
        <w:rPr>
          <w:rFonts w:ascii="宋体" w:hAnsi="宋体" w:cs="宋体"/>
          <w:bCs/>
          <w:szCs w:val="21"/>
        </w:rPr>
      </w:pPr>
      <w:r>
        <w:rPr>
          <w:rFonts w:hint="eastAsia" w:ascii="宋体" w:hAnsi="宋体" w:cs="宋体"/>
          <w:bCs/>
          <w:szCs w:val="21"/>
        </w:rPr>
        <w:t>2）500kV高压电抗器部分：扩建500kV高压电抗器间隔共1组的设备支架及基础。</w:t>
      </w:r>
    </w:p>
    <w:p>
      <w:pPr>
        <w:pStyle w:val="11"/>
        <w:ind w:firstLine="400" w:firstLineChars="200"/>
      </w:pPr>
      <w:r>
        <w:rPr>
          <w:rFonts w:hint="eastAsia" w:hAnsi="宋体" w:cs="宋体"/>
          <w:bCs/>
          <w:szCs w:val="21"/>
        </w:rPr>
        <w:t>3）</w:t>
      </w:r>
      <w:r>
        <w:rPr>
          <w:rFonts w:hint="eastAsia" w:ascii="宋体" w:hAnsi="宋体" w:eastAsia="宋体" w:cs="宋体"/>
          <w:bCs/>
          <w:kern w:val="2"/>
          <w:sz w:val="21"/>
          <w:szCs w:val="21"/>
          <w:lang w:val="en-US" w:eastAsia="zh-CN" w:bidi="ar-SA"/>
        </w:rPr>
        <w:t>其他部分：新建与本次扩建相关的操作小道。</w:t>
      </w:r>
    </w:p>
    <w:p>
      <w:pPr>
        <w:autoSpaceDE w:val="0"/>
        <w:autoSpaceDN w:val="0"/>
        <w:adjustRightInd w:val="0"/>
        <w:snapToGrid w:val="0"/>
        <w:spacing w:line="360" w:lineRule="auto"/>
        <w:ind w:firstLine="422" w:firstLineChars="200"/>
        <w:jc w:val="left"/>
        <w:rPr>
          <w:rFonts w:ascii="宋体" w:hAnsi="宋体" w:cs="宋体"/>
          <w:bCs/>
          <w:szCs w:val="21"/>
        </w:rPr>
      </w:pPr>
      <w:r>
        <w:rPr>
          <w:rFonts w:hint="eastAsia" w:ascii="宋体" w:hAnsi="宋体" w:cs="宋体"/>
          <w:b/>
          <w:szCs w:val="21"/>
        </w:rPr>
        <w:t>变电</w:t>
      </w:r>
      <w:r>
        <w:rPr>
          <w:rFonts w:hint="eastAsia" w:ascii="宋体" w:hAnsi="宋体" w:cs="宋体"/>
          <w:b/>
          <w:bCs/>
          <w:szCs w:val="21"/>
        </w:rPr>
        <w:t>安装工程：</w:t>
      </w:r>
    </w:p>
    <w:p>
      <w:pPr>
        <w:pStyle w:val="11"/>
        <w:adjustRightInd w:val="0"/>
        <w:snapToGrid w:val="0"/>
        <w:spacing w:line="360" w:lineRule="auto"/>
        <w:ind w:firstLine="420" w:firstLineChars="200"/>
        <w:jc w:val="left"/>
        <w:rPr>
          <w:rFonts w:hAnsi="宋体" w:cs="宋体"/>
          <w:bCs/>
          <w:sz w:val="21"/>
          <w:szCs w:val="21"/>
        </w:rPr>
      </w:pPr>
      <w:r>
        <w:rPr>
          <w:rFonts w:hint="eastAsia" w:hAnsi="宋体" w:cs="宋体"/>
          <w:bCs/>
          <w:sz w:val="21"/>
          <w:szCs w:val="21"/>
        </w:rPr>
        <w:t>1）本期在在原第三串位置扩建一回500kV“望谟”出线，形成一个不完整串，并新建一组120Mvar 高压并联电抗器。</w:t>
      </w:r>
    </w:p>
    <w:p>
      <w:pPr>
        <w:pStyle w:val="11"/>
        <w:adjustRightInd w:val="0"/>
        <w:snapToGrid w:val="0"/>
        <w:spacing w:line="360" w:lineRule="auto"/>
        <w:ind w:firstLine="420" w:firstLineChars="200"/>
        <w:jc w:val="left"/>
        <w:rPr>
          <w:rFonts w:hAnsi="宋体" w:cs="宋体"/>
          <w:bCs/>
          <w:sz w:val="21"/>
          <w:szCs w:val="21"/>
        </w:rPr>
      </w:pPr>
      <w:r>
        <w:rPr>
          <w:rFonts w:hint="eastAsia" w:hAnsi="宋体" w:cs="宋体"/>
          <w:bCs/>
          <w:sz w:val="21"/>
          <w:szCs w:val="21"/>
        </w:rPr>
        <w:t>2）本期新上二次设备含保护装置、测控装置，以及场地新增端子箱、视频及环境监控系统和智能巡视系统的摄像机等设备的安装及调试，完善相应二次线。</w:t>
      </w:r>
    </w:p>
    <w:p>
      <w:pPr>
        <w:pStyle w:val="11"/>
        <w:adjustRightInd w:val="0"/>
        <w:snapToGrid w:val="0"/>
        <w:spacing w:line="360" w:lineRule="auto"/>
        <w:ind w:firstLine="422" w:firstLineChars="200"/>
        <w:jc w:val="left"/>
        <w:rPr>
          <w:rFonts w:hAnsi="宋体" w:cs="宋体"/>
          <w:b/>
          <w:sz w:val="21"/>
          <w:szCs w:val="21"/>
        </w:rPr>
      </w:pPr>
      <w:r>
        <w:rPr>
          <w:rFonts w:hint="eastAsia" w:hAnsi="宋体" w:cs="宋体"/>
          <w:b/>
          <w:sz w:val="21"/>
          <w:szCs w:val="21"/>
        </w:rPr>
        <w:t>※架空线路部分:</w:t>
      </w:r>
    </w:p>
    <w:p>
      <w:pPr>
        <w:tabs>
          <w:tab w:val="left" w:pos="1146"/>
        </w:tabs>
        <w:snapToGrid w:val="0"/>
        <w:spacing w:line="360" w:lineRule="auto"/>
        <w:ind w:firstLine="420" w:firstLineChars="200"/>
        <w:jc w:val="left"/>
        <w:rPr>
          <w:rFonts w:ascii="宋体" w:hAnsi="宋体" w:cs="宋体"/>
          <w:bCs/>
          <w:szCs w:val="21"/>
        </w:rPr>
      </w:pPr>
      <w:r>
        <w:rPr>
          <w:rFonts w:hint="eastAsia" w:ascii="宋体" w:hAnsi="宋体" w:cs="宋体"/>
          <w:bCs/>
          <w:szCs w:val="21"/>
        </w:rPr>
        <w:t>本项目不涉及。</w:t>
      </w:r>
    </w:p>
    <w:p>
      <w:pPr>
        <w:pStyle w:val="11"/>
        <w:snapToGrid w:val="0"/>
        <w:spacing w:line="360" w:lineRule="auto"/>
        <w:ind w:firstLine="422" w:firstLineChars="200"/>
        <w:jc w:val="left"/>
        <w:rPr>
          <w:rFonts w:hAnsi="宋体" w:cs="宋体"/>
          <w:bCs/>
          <w:sz w:val="21"/>
          <w:szCs w:val="21"/>
        </w:rPr>
      </w:pPr>
      <w:r>
        <w:rPr>
          <w:rFonts w:hint="eastAsia" w:hAnsi="宋体" w:cs="宋体"/>
          <w:b/>
          <w:sz w:val="21"/>
          <w:szCs w:val="21"/>
        </w:rPr>
        <w:t>※通信部分：</w:t>
      </w:r>
    </w:p>
    <w:p>
      <w:pPr>
        <w:tabs>
          <w:tab w:val="left" w:pos="1146"/>
        </w:tabs>
        <w:snapToGrid w:val="0"/>
        <w:spacing w:line="360" w:lineRule="auto"/>
        <w:ind w:firstLine="420" w:firstLineChars="200"/>
        <w:jc w:val="left"/>
        <w:rPr>
          <w:rFonts w:ascii="宋体" w:hAnsi="宋体" w:cs="宋体"/>
          <w:bCs/>
          <w:szCs w:val="21"/>
        </w:rPr>
      </w:pPr>
      <w:r>
        <w:rPr>
          <w:rFonts w:hint="eastAsia" w:ascii="宋体" w:hAnsi="宋体" w:cs="宋体"/>
          <w:bCs/>
          <w:szCs w:val="21"/>
        </w:rPr>
        <w:t>1、在</w:t>
      </w:r>
      <w:r>
        <w:rPr>
          <w:rFonts w:ascii="宋体" w:hAnsi="宋体" w:cs="宋体"/>
          <w:bCs/>
          <w:szCs w:val="21"/>
        </w:rPr>
        <w:t>500kV</w:t>
      </w:r>
      <w:r>
        <w:rPr>
          <w:rFonts w:hint="eastAsia" w:ascii="宋体" w:hAnsi="宋体" w:cs="宋体"/>
          <w:bCs/>
          <w:szCs w:val="21"/>
        </w:rPr>
        <w:t>独山变内，从出线构架起至通信机房止，沿电缆沟敷设</w:t>
      </w:r>
      <w:r>
        <w:rPr>
          <w:rFonts w:ascii="宋体" w:hAnsi="宋体" w:cs="宋体"/>
          <w:bCs/>
          <w:szCs w:val="21"/>
        </w:rPr>
        <w:t>1</w:t>
      </w:r>
      <w:r>
        <w:rPr>
          <w:rFonts w:hint="eastAsia" w:ascii="宋体" w:hAnsi="宋体" w:cs="宋体"/>
          <w:bCs/>
          <w:szCs w:val="21"/>
        </w:rPr>
        <w:t>根</w:t>
      </w:r>
      <w:r>
        <w:rPr>
          <w:rFonts w:ascii="宋体" w:hAnsi="宋体" w:cs="宋体"/>
          <w:bCs/>
          <w:szCs w:val="21"/>
        </w:rPr>
        <w:t>48</w:t>
      </w:r>
      <w:r>
        <w:rPr>
          <w:rFonts w:hint="eastAsia" w:ascii="宋体" w:hAnsi="宋体" w:cs="宋体"/>
          <w:bCs/>
          <w:szCs w:val="21"/>
        </w:rPr>
        <w:t>芯非金属管道光缆，长度约</w:t>
      </w:r>
      <w:r>
        <w:rPr>
          <w:rFonts w:ascii="宋体" w:hAnsi="宋体" w:cs="宋体"/>
          <w:bCs/>
          <w:szCs w:val="21"/>
        </w:rPr>
        <w:t>0.5</w:t>
      </w:r>
      <w:r>
        <w:rPr>
          <w:rFonts w:hint="eastAsia" w:ascii="宋体" w:hAnsi="宋体" w:cs="宋体"/>
          <w:bCs/>
          <w:szCs w:val="21"/>
        </w:rPr>
        <w:t>千米。</w:t>
      </w:r>
    </w:p>
    <w:p>
      <w:pPr>
        <w:tabs>
          <w:tab w:val="left" w:pos="1146"/>
        </w:tabs>
        <w:snapToGrid w:val="0"/>
        <w:spacing w:line="360" w:lineRule="auto"/>
        <w:ind w:firstLine="420" w:firstLineChars="200"/>
        <w:jc w:val="left"/>
        <w:rPr>
          <w:rFonts w:ascii="宋体" w:hAnsi="宋体" w:cs="宋体"/>
          <w:bCs/>
          <w:szCs w:val="21"/>
        </w:rPr>
      </w:pPr>
      <w:r>
        <w:rPr>
          <w:rFonts w:hint="eastAsia" w:ascii="宋体" w:hAnsi="宋体" w:cs="宋体"/>
          <w:bCs/>
          <w:szCs w:val="21"/>
        </w:rPr>
        <w:t>2、在独山变原南网主干ASON网设备配置1块STM-64光接口板和1块2Mb/s光接口板，并配置1套外置光路子系统，新建望谟变～独山变10G</w:t>
      </w:r>
      <w:r>
        <w:rPr>
          <w:rFonts w:ascii="宋体" w:hAnsi="宋体" w:cs="宋体"/>
          <w:bCs/>
          <w:szCs w:val="21"/>
        </w:rPr>
        <w:t>b/s南网主干ASON网</w:t>
      </w:r>
      <w:r>
        <w:rPr>
          <w:rFonts w:hint="eastAsia" w:ascii="宋体" w:hAnsi="宋体" w:cs="宋体"/>
          <w:bCs/>
          <w:szCs w:val="21"/>
        </w:rPr>
        <w:t>光路。</w:t>
      </w:r>
    </w:p>
    <w:p>
      <w:pPr>
        <w:tabs>
          <w:tab w:val="left" w:pos="1146"/>
        </w:tabs>
        <w:snapToGrid w:val="0"/>
        <w:spacing w:line="360" w:lineRule="auto"/>
        <w:ind w:firstLine="420" w:firstLineChars="200"/>
        <w:jc w:val="left"/>
        <w:rPr>
          <w:rFonts w:ascii="宋体" w:hAnsi="宋体" w:cs="宋体"/>
          <w:bCs/>
          <w:szCs w:val="21"/>
        </w:rPr>
      </w:pPr>
      <w:r>
        <w:rPr>
          <w:rFonts w:hint="eastAsia" w:ascii="宋体" w:hAnsi="宋体" w:cs="宋体"/>
          <w:bCs/>
          <w:szCs w:val="21"/>
        </w:rPr>
        <w:t>3、在独山变原贵州省传输新A网设备配置1块STM-16光接口板，并配置1套外置光路子系统，新建望谟变～独山变2.5G</w:t>
      </w:r>
      <w:r>
        <w:rPr>
          <w:rFonts w:ascii="宋体" w:hAnsi="宋体" w:cs="宋体"/>
          <w:bCs/>
          <w:szCs w:val="21"/>
        </w:rPr>
        <w:t>b/s</w:t>
      </w:r>
      <w:r>
        <w:rPr>
          <w:rFonts w:hint="eastAsia" w:ascii="宋体" w:hAnsi="宋体" w:cs="宋体"/>
          <w:bCs/>
          <w:szCs w:val="21"/>
        </w:rPr>
        <w:t>贵州省传输新A网光路。</w:t>
      </w:r>
    </w:p>
    <w:p>
      <w:pPr>
        <w:tabs>
          <w:tab w:val="left" w:pos="1146"/>
        </w:tabs>
        <w:snapToGrid w:val="0"/>
        <w:spacing w:line="360" w:lineRule="auto"/>
        <w:ind w:firstLine="420" w:firstLineChars="200"/>
        <w:jc w:val="left"/>
        <w:rPr>
          <w:rFonts w:ascii="宋体" w:hAnsi="宋体" w:cs="宋体"/>
          <w:bCs/>
          <w:szCs w:val="21"/>
        </w:rPr>
      </w:pPr>
      <w:r>
        <w:rPr>
          <w:rFonts w:hint="eastAsia" w:ascii="宋体" w:hAnsi="宋体" w:cs="宋体"/>
          <w:bCs/>
          <w:szCs w:val="21"/>
        </w:rPr>
        <w:t>4、在独山变原保底通信网骨干域设备配置1块10G线路板，并配置1套外置光路子系统，新建望谟变～独山变10G</w:t>
      </w:r>
      <w:r>
        <w:rPr>
          <w:rFonts w:ascii="宋体" w:hAnsi="宋体" w:cs="宋体"/>
          <w:bCs/>
          <w:szCs w:val="21"/>
        </w:rPr>
        <w:t>b/s</w:t>
      </w:r>
      <w:r>
        <w:rPr>
          <w:rFonts w:hint="eastAsia" w:ascii="宋体" w:hAnsi="宋体" w:cs="宋体"/>
          <w:bCs/>
          <w:szCs w:val="21"/>
        </w:rPr>
        <w:t>保底通信网骨干域光路。</w:t>
      </w:r>
    </w:p>
    <w:p>
      <w:pPr>
        <w:tabs>
          <w:tab w:val="left" w:pos="1146"/>
        </w:tabs>
        <w:snapToGrid w:val="0"/>
        <w:spacing w:line="360" w:lineRule="auto"/>
        <w:ind w:firstLine="420" w:firstLineChars="200"/>
        <w:jc w:val="left"/>
        <w:rPr>
          <w:rFonts w:ascii="宋体" w:hAnsi="宋体" w:cs="宋体"/>
          <w:bCs/>
          <w:szCs w:val="21"/>
        </w:rPr>
      </w:pPr>
      <w:r>
        <w:rPr>
          <w:rFonts w:hint="eastAsia" w:ascii="宋体" w:hAnsi="宋体" w:cs="宋体"/>
          <w:bCs/>
          <w:szCs w:val="21"/>
        </w:rPr>
        <w:t>5、在独山变原保底通信网贵州省域设备配置1块10G线路板，并配置1套外置光路子系统，新建望谟变～独山变10Gb/s保底通信网贵州省域光路。</w:t>
      </w:r>
    </w:p>
    <w:p>
      <w:pPr>
        <w:tabs>
          <w:tab w:val="left" w:pos="1146"/>
        </w:tabs>
        <w:snapToGrid w:val="0"/>
        <w:spacing w:line="360" w:lineRule="auto"/>
        <w:ind w:firstLine="420" w:firstLineChars="200"/>
        <w:jc w:val="left"/>
      </w:pPr>
      <w:r>
        <w:rPr>
          <w:rFonts w:hint="eastAsia" w:ascii="宋体" w:hAnsi="宋体" w:cs="宋体"/>
          <w:bCs/>
          <w:szCs w:val="21"/>
        </w:rPr>
        <w:t>6、根据项目需求对通信通道进行调试。</w:t>
      </w:r>
    </w:p>
    <w:p>
      <w:pPr>
        <w:pStyle w:val="11"/>
        <w:adjustRightInd w:val="0"/>
        <w:snapToGrid w:val="0"/>
        <w:spacing w:line="360" w:lineRule="auto"/>
        <w:ind w:firstLine="420" w:firstLineChars="200"/>
        <w:rPr>
          <w:rFonts w:hAnsi="宋体" w:cs="宋体"/>
          <w:b w:val="0"/>
          <w:bCs/>
          <w:sz w:val="21"/>
          <w:szCs w:val="21"/>
        </w:rPr>
      </w:pPr>
      <w:bookmarkStart w:id="5" w:name="_GoBack"/>
      <w:r>
        <w:rPr>
          <w:rFonts w:hint="eastAsia" w:hAnsi="宋体" w:cs="宋体"/>
          <w:b w:val="0"/>
          <w:bCs/>
          <w:sz w:val="21"/>
          <w:szCs w:val="21"/>
          <w:u w:val="single"/>
        </w:rPr>
        <w:t>具体建设规模以施工图纸为准。</w:t>
      </w:r>
    </w:p>
    <w:p>
      <w:pPr>
        <w:pStyle w:val="11"/>
        <w:snapToGrid w:val="0"/>
        <w:spacing w:line="360" w:lineRule="auto"/>
        <w:jc w:val="left"/>
        <w:outlineLvl w:val="0"/>
        <w:rPr>
          <w:rFonts w:hAnsi="宋体" w:cs="宋体"/>
          <w:b w:val="0"/>
          <w:bCs/>
          <w:snapToGrid w:val="0"/>
          <w:sz w:val="24"/>
          <w:szCs w:val="24"/>
        </w:rPr>
      </w:pPr>
      <w:r>
        <w:rPr>
          <w:rFonts w:hint="eastAsia" w:hAnsi="宋体" w:cs="宋体"/>
          <w:b w:val="0"/>
          <w:bCs/>
          <w:snapToGrid w:val="0"/>
          <w:sz w:val="24"/>
          <w:szCs w:val="24"/>
        </w:rPr>
        <w:t>二、采购范围</w:t>
      </w:r>
    </w:p>
    <w:p>
      <w:pPr>
        <w:autoSpaceDE w:val="0"/>
        <w:autoSpaceDN w:val="0"/>
        <w:adjustRightInd w:val="0"/>
        <w:snapToGrid w:val="0"/>
        <w:spacing w:line="360" w:lineRule="auto"/>
        <w:ind w:firstLine="420" w:firstLineChars="200"/>
        <w:jc w:val="left"/>
        <w:rPr>
          <w:rFonts w:hint="eastAsia" w:hAnsi="宋体" w:cs="宋体"/>
          <w:b w:val="0"/>
          <w:bCs/>
          <w:snapToGrid w:val="0"/>
          <w:sz w:val="21"/>
          <w:szCs w:val="21"/>
        </w:rPr>
      </w:pPr>
      <w:r>
        <w:rPr>
          <w:rFonts w:hint="eastAsia" w:hAnsi="宋体" w:cs="宋体"/>
          <w:b w:val="0"/>
          <w:bCs/>
          <w:snapToGrid w:val="0"/>
          <w:sz w:val="21"/>
          <w:szCs w:val="21"/>
        </w:rPr>
        <w:t>包括施工准备、施工（含通信）、竣工结算、缺陷责任期、电子化移交的全过程监理。按照建设单位要求使用工程信息管理系统</w:t>
      </w:r>
    </w:p>
    <w:bookmarkEnd w:id="5"/>
    <w:p>
      <w:pPr>
        <w:pStyle w:val="2"/>
        <w:rPr>
          <w:rFonts w:hint="eastAsia" w:hAnsi="宋体" w:cs="宋体"/>
          <w:b/>
          <w:bCs/>
          <w:snapToGrid w:val="0"/>
          <w:sz w:val="21"/>
          <w:szCs w:val="21"/>
        </w:rPr>
      </w:pPr>
    </w:p>
    <w:p>
      <w:pPr>
        <w:rPr>
          <w:rFonts w:hint="eastAsia" w:hAnsi="宋体" w:cs="宋体"/>
          <w:b/>
          <w:bCs/>
          <w:snapToGrid w:val="0"/>
          <w:sz w:val="21"/>
          <w:szCs w:val="21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11"/>
        <w:adjustRightInd w:val="0"/>
        <w:snapToGrid w:val="0"/>
        <w:spacing w:line="360" w:lineRule="auto"/>
        <w:ind w:firstLine="562" w:firstLineChars="200"/>
        <w:jc w:val="center"/>
        <w:outlineLvl w:val="0"/>
        <w:rPr>
          <w:rFonts w:hAnsi="宋体" w:cs="宋体"/>
          <w:b/>
          <w:sz w:val="28"/>
          <w:szCs w:val="28"/>
        </w:rPr>
      </w:pPr>
      <w:r>
        <w:rPr>
          <w:rFonts w:hint="eastAsia" w:hAnsi="宋体" w:cs="宋体"/>
          <w:b/>
          <w:bCs/>
          <w:snapToGrid w:val="0"/>
          <w:sz w:val="28"/>
          <w:szCs w:val="28"/>
        </w:rPr>
        <w:t>项目</w:t>
      </w:r>
      <w:r>
        <w:rPr>
          <w:rFonts w:hint="eastAsia" w:hAnsi="宋体" w:eastAsia="宋体" w:cs="宋体"/>
          <w:b/>
          <w:bCs/>
          <w:snapToGrid w:val="0"/>
          <w:sz w:val="28"/>
          <w:szCs w:val="28"/>
        </w:rPr>
        <w:t>名称：500千伏长新输变电工程监理（标段二）</w:t>
      </w:r>
    </w:p>
    <w:tbl>
      <w:tblPr>
        <w:tblStyle w:val="15"/>
        <w:tblW w:w="736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78"/>
        <w:gridCol w:w="2911"/>
        <w:gridCol w:w="347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11"/>
              <w:spacing w:line="400" w:lineRule="exact"/>
              <w:jc w:val="center"/>
              <w:rPr>
                <w:rFonts w:hAnsi="宋体" w:eastAsia="宋体" w:cs="宋体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eastAsia" w:hAnsi="宋体" w:eastAsia="宋体" w:cs="宋体"/>
                <w:b/>
                <w:bCs/>
                <w:snapToGrid w:val="0"/>
                <w:sz w:val="21"/>
                <w:szCs w:val="21"/>
              </w:rPr>
              <w:t>序号</w:t>
            </w:r>
          </w:p>
        </w:tc>
        <w:tc>
          <w:tcPr>
            <w:tcW w:w="2911" w:type="dxa"/>
            <w:vAlign w:val="center"/>
          </w:tcPr>
          <w:p>
            <w:pPr>
              <w:pStyle w:val="11"/>
              <w:spacing w:line="400" w:lineRule="exact"/>
              <w:jc w:val="center"/>
              <w:rPr>
                <w:rFonts w:hAnsi="宋体" w:eastAsia="宋体" w:cs="宋体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eastAsia" w:hAnsi="宋体" w:eastAsia="宋体" w:cs="宋体"/>
                <w:b/>
                <w:bCs/>
                <w:snapToGrid w:val="0"/>
                <w:sz w:val="21"/>
                <w:szCs w:val="21"/>
              </w:rPr>
              <w:t>项目</w:t>
            </w:r>
          </w:p>
        </w:tc>
        <w:tc>
          <w:tcPr>
            <w:tcW w:w="3476" w:type="dxa"/>
            <w:vAlign w:val="center"/>
          </w:tcPr>
          <w:p>
            <w:pPr>
              <w:pStyle w:val="11"/>
              <w:spacing w:line="400" w:lineRule="exact"/>
              <w:jc w:val="center"/>
              <w:rPr>
                <w:rFonts w:hAnsi="宋体" w:eastAsia="宋体" w:cs="宋体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eastAsia" w:hAnsi="宋体" w:eastAsia="宋体" w:cs="宋体"/>
                <w:b/>
                <w:bCs/>
                <w:snapToGrid w:val="0"/>
                <w:sz w:val="21"/>
                <w:szCs w:val="21"/>
              </w:rPr>
              <w:t>内容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11"/>
              <w:spacing w:line="400" w:lineRule="exact"/>
              <w:jc w:val="center"/>
              <w:rPr>
                <w:rFonts w:hAnsi="宋体" w:eastAsia="宋体" w:cs="宋体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eastAsia" w:hAnsi="宋体" w:eastAsia="宋体" w:cs="宋体"/>
                <w:b/>
                <w:bCs/>
                <w:snapToGrid w:val="0"/>
                <w:sz w:val="21"/>
                <w:szCs w:val="21"/>
              </w:rPr>
              <w:t>1</w:t>
            </w:r>
          </w:p>
        </w:tc>
        <w:tc>
          <w:tcPr>
            <w:tcW w:w="2911" w:type="dxa"/>
            <w:vAlign w:val="center"/>
          </w:tcPr>
          <w:p>
            <w:pPr>
              <w:pStyle w:val="11"/>
              <w:spacing w:line="400" w:lineRule="exact"/>
              <w:jc w:val="center"/>
              <w:rPr>
                <w:rFonts w:hAnsi="宋体" w:eastAsia="宋体" w:cs="宋体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eastAsia" w:hAnsi="宋体" w:eastAsia="宋体" w:cs="宋体"/>
                <w:b/>
                <w:bCs/>
                <w:snapToGrid w:val="0"/>
                <w:sz w:val="21"/>
                <w:szCs w:val="21"/>
              </w:rPr>
              <w:t>项目建设单位</w:t>
            </w:r>
          </w:p>
        </w:tc>
        <w:tc>
          <w:tcPr>
            <w:tcW w:w="3476" w:type="dxa"/>
            <w:vAlign w:val="center"/>
          </w:tcPr>
          <w:p>
            <w:pPr>
              <w:pStyle w:val="11"/>
              <w:spacing w:line="400" w:lineRule="exact"/>
              <w:jc w:val="center"/>
              <w:rPr>
                <w:rFonts w:hAnsi="宋体" w:eastAsia="宋体" w:cs="宋体"/>
                <w:snapToGrid w:val="0"/>
                <w:sz w:val="21"/>
                <w:szCs w:val="21"/>
              </w:rPr>
            </w:pPr>
            <w:r>
              <w:rPr>
                <w:rFonts w:hint="eastAsia" w:hAnsi="宋体" w:eastAsia="宋体" w:cs="宋体"/>
                <w:sz w:val="21"/>
                <w:szCs w:val="21"/>
              </w:rPr>
              <w:t>云南电网有限责任公司</w:t>
            </w:r>
            <w:r>
              <w:rPr>
                <w:rFonts w:hint="eastAsia" w:hAnsi="宋体" w:cs="宋体"/>
                <w:sz w:val="21"/>
                <w:szCs w:val="21"/>
              </w:rPr>
              <w:t>建设分公司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11"/>
              <w:spacing w:line="400" w:lineRule="exact"/>
              <w:jc w:val="center"/>
              <w:rPr>
                <w:rFonts w:hAnsi="宋体" w:eastAsia="宋体" w:cs="宋体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eastAsia" w:hAnsi="宋体" w:eastAsia="宋体" w:cs="宋体"/>
                <w:b/>
                <w:bCs/>
                <w:snapToGrid w:val="0"/>
                <w:sz w:val="21"/>
                <w:szCs w:val="21"/>
              </w:rPr>
              <w:t>2</w:t>
            </w:r>
          </w:p>
        </w:tc>
        <w:tc>
          <w:tcPr>
            <w:tcW w:w="2911" w:type="dxa"/>
            <w:vAlign w:val="center"/>
          </w:tcPr>
          <w:p>
            <w:pPr>
              <w:pStyle w:val="11"/>
              <w:spacing w:line="400" w:lineRule="exact"/>
              <w:jc w:val="center"/>
              <w:rPr>
                <w:rFonts w:hAnsi="宋体" w:eastAsia="宋体" w:cs="宋体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eastAsia" w:hAnsi="宋体" w:eastAsia="宋体" w:cs="宋体"/>
                <w:b/>
                <w:bCs/>
                <w:snapToGrid w:val="0"/>
                <w:sz w:val="21"/>
                <w:szCs w:val="21"/>
              </w:rPr>
              <w:t>项目建设地点</w:t>
            </w:r>
          </w:p>
        </w:tc>
        <w:tc>
          <w:tcPr>
            <w:tcW w:w="3476" w:type="dxa"/>
            <w:shd w:val="clear" w:color="auto" w:fill="auto"/>
            <w:vAlign w:val="center"/>
          </w:tcPr>
          <w:p>
            <w:pPr>
              <w:pStyle w:val="11"/>
              <w:spacing w:line="400" w:lineRule="exact"/>
              <w:jc w:val="center"/>
              <w:rPr>
                <w:rFonts w:hAnsi="宋体" w:eastAsia="宋体" w:cs="宋体"/>
                <w:snapToGrid w:val="0"/>
                <w:sz w:val="21"/>
                <w:szCs w:val="21"/>
              </w:rPr>
            </w:pPr>
            <w:r>
              <w:rPr>
                <w:rFonts w:hint="eastAsia" w:hAnsi="宋体" w:eastAsia="宋体" w:cs="宋体"/>
                <w:sz w:val="21"/>
                <w:szCs w:val="21"/>
              </w:rPr>
              <w:t>云南省大理市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11"/>
              <w:spacing w:line="400" w:lineRule="exact"/>
              <w:jc w:val="center"/>
              <w:rPr>
                <w:rFonts w:hAnsi="宋体" w:eastAsia="宋体" w:cs="宋体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eastAsia" w:hAnsi="宋体" w:eastAsia="宋体" w:cs="宋体"/>
                <w:b/>
                <w:bCs/>
                <w:snapToGrid w:val="0"/>
                <w:sz w:val="21"/>
                <w:szCs w:val="21"/>
              </w:rPr>
              <w:t>3</w:t>
            </w:r>
          </w:p>
        </w:tc>
        <w:tc>
          <w:tcPr>
            <w:tcW w:w="2911" w:type="dxa"/>
            <w:vAlign w:val="center"/>
          </w:tcPr>
          <w:p>
            <w:pPr>
              <w:pStyle w:val="11"/>
              <w:spacing w:line="400" w:lineRule="exact"/>
              <w:jc w:val="center"/>
              <w:rPr>
                <w:rFonts w:hAnsi="宋体" w:eastAsia="宋体" w:cs="宋体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eastAsia" w:hAnsi="宋体" w:eastAsia="宋体" w:cs="宋体"/>
                <w:b/>
                <w:bCs/>
                <w:snapToGrid w:val="0"/>
                <w:sz w:val="21"/>
                <w:szCs w:val="21"/>
              </w:rPr>
              <w:t>可研批复文号</w:t>
            </w:r>
          </w:p>
        </w:tc>
        <w:tc>
          <w:tcPr>
            <w:tcW w:w="3476" w:type="dxa"/>
            <w:shd w:val="clear" w:color="auto" w:fill="auto"/>
            <w:vAlign w:val="center"/>
          </w:tcPr>
          <w:p>
            <w:pPr>
              <w:pStyle w:val="11"/>
              <w:spacing w:line="400" w:lineRule="exact"/>
              <w:jc w:val="center"/>
              <w:rPr>
                <w:rFonts w:hAnsi="宋体" w:eastAsia="宋体" w:cs="宋体"/>
                <w:snapToGrid w:val="0"/>
                <w:sz w:val="21"/>
                <w:szCs w:val="21"/>
              </w:rPr>
            </w:pPr>
            <w:r>
              <w:rPr>
                <w:rFonts w:hint="eastAsia" w:hAnsi="宋体" w:eastAsia="宋体" w:cs="宋体"/>
                <w:sz w:val="21"/>
                <w:szCs w:val="21"/>
              </w:rPr>
              <w:t>南方电网规划〔2025〕34号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11"/>
              <w:spacing w:line="400" w:lineRule="exact"/>
              <w:jc w:val="center"/>
              <w:rPr>
                <w:rFonts w:hAnsi="宋体" w:eastAsia="宋体" w:cs="宋体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eastAsia" w:hAnsi="宋体" w:eastAsia="宋体" w:cs="宋体"/>
                <w:b/>
                <w:bCs/>
                <w:snapToGrid w:val="0"/>
                <w:sz w:val="21"/>
                <w:szCs w:val="21"/>
              </w:rPr>
              <w:t>4</w:t>
            </w:r>
          </w:p>
        </w:tc>
        <w:tc>
          <w:tcPr>
            <w:tcW w:w="2911" w:type="dxa"/>
            <w:vAlign w:val="center"/>
          </w:tcPr>
          <w:p>
            <w:pPr>
              <w:pStyle w:val="11"/>
              <w:spacing w:line="400" w:lineRule="exact"/>
              <w:jc w:val="center"/>
              <w:rPr>
                <w:rFonts w:hAnsi="宋体" w:eastAsia="宋体" w:cs="宋体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eastAsia" w:hAnsi="宋体" w:eastAsia="宋体" w:cs="宋体"/>
                <w:b/>
                <w:bCs/>
                <w:snapToGrid w:val="0"/>
                <w:sz w:val="21"/>
                <w:szCs w:val="21"/>
              </w:rPr>
              <w:t>项目核准、备案文号</w:t>
            </w:r>
          </w:p>
        </w:tc>
        <w:tc>
          <w:tcPr>
            <w:tcW w:w="3476" w:type="dxa"/>
            <w:vAlign w:val="center"/>
          </w:tcPr>
          <w:p>
            <w:pPr>
              <w:pStyle w:val="11"/>
              <w:spacing w:line="400" w:lineRule="exact"/>
              <w:jc w:val="center"/>
              <w:rPr>
                <w:rFonts w:hAnsi="宋体" w:eastAsia="宋体" w:cs="宋体"/>
                <w:snapToGrid w:val="0"/>
                <w:sz w:val="21"/>
                <w:szCs w:val="21"/>
                <w:highlight w:val="cyan"/>
              </w:rPr>
            </w:pPr>
            <w:r>
              <w:rPr>
                <w:rFonts w:hint="eastAsia" w:hAnsi="宋体" w:eastAsia="宋体" w:cs="宋体"/>
                <w:sz w:val="21"/>
                <w:szCs w:val="21"/>
              </w:rPr>
              <w:t>云发改能源〔2025〕948 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11"/>
              <w:spacing w:line="400" w:lineRule="exact"/>
              <w:jc w:val="center"/>
              <w:rPr>
                <w:rFonts w:hAnsi="宋体" w:eastAsia="宋体" w:cs="宋体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eastAsia" w:hAnsi="宋体" w:eastAsia="宋体" w:cs="宋体"/>
                <w:b/>
                <w:bCs/>
                <w:snapToGrid w:val="0"/>
                <w:sz w:val="21"/>
                <w:szCs w:val="21"/>
              </w:rPr>
              <w:t>5</w:t>
            </w:r>
          </w:p>
        </w:tc>
        <w:tc>
          <w:tcPr>
            <w:tcW w:w="2911" w:type="dxa"/>
            <w:vAlign w:val="center"/>
          </w:tcPr>
          <w:p>
            <w:pPr>
              <w:pStyle w:val="11"/>
              <w:spacing w:line="400" w:lineRule="exact"/>
              <w:jc w:val="center"/>
              <w:rPr>
                <w:rFonts w:hAnsi="宋体" w:eastAsia="宋体" w:cs="宋体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eastAsia" w:hAnsi="宋体" w:eastAsia="宋体" w:cs="宋体"/>
                <w:b/>
                <w:bCs/>
                <w:snapToGrid w:val="0"/>
                <w:sz w:val="21"/>
                <w:szCs w:val="21"/>
              </w:rPr>
              <w:t>资金落实情况</w:t>
            </w:r>
          </w:p>
        </w:tc>
        <w:tc>
          <w:tcPr>
            <w:tcW w:w="3476" w:type="dxa"/>
            <w:vAlign w:val="center"/>
          </w:tcPr>
          <w:p>
            <w:pPr>
              <w:pStyle w:val="11"/>
              <w:spacing w:line="400" w:lineRule="exact"/>
              <w:jc w:val="center"/>
              <w:rPr>
                <w:rFonts w:hAnsi="宋体" w:eastAsia="宋体" w:cs="宋体"/>
                <w:snapToGrid w:val="0"/>
                <w:sz w:val="21"/>
                <w:szCs w:val="21"/>
                <w:highlight w:val="cyan"/>
              </w:rPr>
            </w:pPr>
            <w:r>
              <w:rPr>
                <w:rFonts w:hint="eastAsia" w:hAnsi="宋体" w:eastAsia="宋体" w:cs="宋体"/>
                <w:sz w:val="21"/>
                <w:szCs w:val="21"/>
              </w:rPr>
              <w:t>云电规划[2025]1号</w:t>
            </w:r>
          </w:p>
        </w:tc>
      </w:tr>
    </w:tbl>
    <w:p>
      <w:pPr>
        <w:pStyle w:val="11"/>
        <w:adjustRightInd w:val="0"/>
        <w:snapToGrid w:val="0"/>
        <w:spacing w:line="360" w:lineRule="auto"/>
        <w:ind w:firstLine="562" w:firstLineChars="200"/>
        <w:jc w:val="center"/>
        <w:outlineLvl w:val="0"/>
        <w:rPr>
          <w:rFonts w:hAnsi="宋体" w:cs="宋体"/>
          <w:b/>
          <w:sz w:val="28"/>
          <w:szCs w:val="28"/>
        </w:rPr>
      </w:pPr>
    </w:p>
    <w:p>
      <w:pPr>
        <w:pStyle w:val="11"/>
        <w:numPr>
          <w:ilvl w:val="0"/>
          <w:numId w:val="0"/>
        </w:numPr>
        <w:adjustRightInd w:val="0"/>
        <w:snapToGrid w:val="0"/>
        <w:spacing w:line="360" w:lineRule="auto"/>
        <w:ind w:leftChars="0"/>
        <w:outlineLvl w:val="0"/>
        <w:rPr>
          <w:rFonts w:hAnsi="宋体" w:eastAsia="宋体" w:cs="宋体"/>
          <w:b/>
          <w:sz w:val="24"/>
          <w:szCs w:val="24"/>
        </w:rPr>
      </w:pPr>
      <w:r>
        <w:rPr>
          <w:rFonts w:hint="eastAsia" w:hAnsi="宋体" w:eastAsia="宋体" w:cs="宋体"/>
          <w:b/>
          <w:sz w:val="24"/>
          <w:szCs w:val="24"/>
          <w:lang w:val="en-US" w:eastAsia="zh-CN"/>
        </w:rPr>
        <w:t>一、</w:t>
      </w:r>
      <w:r>
        <w:rPr>
          <w:rFonts w:hint="eastAsia" w:hAnsi="宋体" w:eastAsia="宋体" w:cs="宋体"/>
          <w:b/>
          <w:sz w:val="24"/>
          <w:szCs w:val="24"/>
        </w:rPr>
        <w:t>建设规模</w:t>
      </w:r>
    </w:p>
    <w:p>
      <w:pPr>
        <w:pStyle w:val="11"/>
        <w:spacing w:line="360" w:lineRule="auto"/>
        <w:ind w:firstLine="482" w:firstLineChars="200"/>
        <w:rPr>
          <w:rFonts w:asciiTheme="minorEastAsia" w:hAnsiTheme="minorEastAsia" w:cstheme="minorEastAsia"/>
          <w:b/>
          <w:bCs/>
          <w:sz w:val="24"/>
          <w:szCs w:val="24"/>
        </w:rPr>
      </w:pPr>
      <w:r>
        <w:rPr>
          <w:rFonts w:hint="eastAsia" w:asciiTheme="minorEastAsia" w:hAnsiTheme="minorEastAsia" w:cstheme="minorEastAsia"/>
          <w:b/>
          <w:bCs/>
          <w:sz w:val="24"/>
          <w:szCs w:val="24"/>
        </w:rPr>
        <w:t>1.</w:t>
      </w:r>
      <w:bookmarkStart w:id="4" w:name="_Hlk183611400"/>
      <w:r>
        <w:rPr>
          <w:rFonts w:hint="eastAsia" w:asciiTheme="minorEastAsia" w:hAnsiTheme="minorEastAsia" w:cstheme="minorEastAsia"/>
          <w:b/>
          <w:bCs/>
          <w:sz w:val="24"/>
          <w:szCs w:val="24"/>
        </w:rPr>
        <w:t>500千伏长新～黄坪线路工程</w:t>
      </w:r>
      <w:bookmarkEnd w:id="4"/>
    </w:p>
    <w:p>
      <w:pPr>
        <w:spacing w:line="560" w:lineRule="exact"/>
        <w:ind w:firstLine="420" w:firstLineChars="200"/>
        <w:rPr>
          <w:rFonts w:ascii="宋体" w:hAnsi="宋体" w:eastAsia="宋体" w:cs="宋体"/>
          <w:kern w:val="0"/>
          <w:szCs w:val="21"/>
        </w:rPr>
      </w:pPr>
      <w:r>
        <w:rPr>
          <w:rFonts w:hint="eastAsia" w:asciiTheme="minorEastAsia" w:hAnsiTheme="minorEastAsia" w:cstheme="minorEastAsia"/>
        </w:rPr>
        <w:t>新建线路全长约1×8</w:t>
      </w:r>
      <w:r>
        <w:rPr>
          <w:rFonts w:asciiTheme="minorEastAsia" w:hAnsiTheme="minorEastAsia" w:cstheme="minorEastAsia"/>
        </w:rPr>
        <w:t>9.2</w:t>
      </w:r>
      <w:r>
        <w:rPr>
          <w:rFonts w:hint="eastAsia" w:asciiTheme="minorEastAsia" w:hAnsiTheme="minorEastAsia" w:cstheme="minorEastAsia"/>
        </w:rPr>
        <w:t>km，曲折系数1.1</w:t>
      </w:r>
      <w:r>
        <w:rPr>
          <w:rFonts w:asciiTheme="minorEastAsia" w:hAnsiTheme="minorEastAsia" w:cstheme="minorEastAsia"/>
        </w:rPr>
        <w:t>6</w:t>
      </w:r>
      <w:r>
        <w:rPr>
          <w:rFonts w:hint="eastAsia" w:asciiTheme="minorEastAsia" w:hAnsiTheme="minorEastAsia" w:cstheme="minorEastAsia"/>
        </w:rPr>
        <w:t>，其中，黄坪站侧进站段0.</w:t>
      </w:r>
      <w:r>
        <w:rPr>
          <w:rFonts w:asciiTheme="minorEastAsia" w:hAnsiTheme="minorEastAsia" w:cstheme="minorEastAsia"/>
        </w:rPr>
        <w:t>1</w:t>
      </w:r>
      <w:r>
        <w:rPr>
          <w:rFonts w:hint="eastAsia" w:asciiTheme="minorEastAsia" w:hAnsiTheme="minorEastAsia" w:cstheme="minorEastAsia"/>
        </w:rPr>
        <w:t>km，</w:t>
      </w:r>
      <w:r>
        <w:rPr>
          <w:rFonts w:asciiTheme="minorEastAsia" w:hAnsiTheme="minorEastAsia" w:cstheme="minorEastAsia"/>
        </w:rPr>
        <w:t>1</w:t>
      </w:r>
      <w:r>
        <w:rPr>
          <w:rFonts w:hint="eastAsia" w:asciiTheme="minorEastAsia" w:hAnsiTheme="minorEastAsia" w:cstheme="minorEastAsia"/>
        </w:rPr>
        <w:t>基塔按照双回路挂单回导线设计（另1回为同期建设的500千伏禾甸~黄坪线路。此</w:t>
      </w:r>
      <w:r>
        <w:rPr>
          <w:rFonts w:asciiTheme="minorEastAsia" w:hAnsiTheme="minorEastAsia" w:cstheme="minorEastAsia"/>
        </w:rPr>
        <w:t>1</w:t>
      </w:r>
      <w:r>
        <w:rPr>
          <w:rFonts w:hint="eastAsia" w:asciiTheme="minorEastAsia" w:hAnsiTheme="minorEastAsia" w:cstheme="minorEastAsia"/>
        </w:rPr>
        <w:t>基铁塔、基础、接地非本工程开列，本工程只开列导线、1根光缆和1回路金具串）；长新站侧进站段0.</w:t>
      </w:r>
      <w:r>
        <w:rPr>
          <w:rFonts w:asciiTheme="minorEastAsia" w:hAnsiTheme="minorEastAsia" w:cstheme="minorEastAsia"/>
        </w:rPr>
        <w:t>1</w:t>
      </w:r>
      <w:r>
        <w:rPr>
          <w:rFonts w:hint="eastAsia" w:asciiTheme="minorEastAsia" w:hAnsiTheme="minorEastAsia" w:cstheme="minorEastAsia"/>
        </w:rPr>
        <w:t>km，</w:t>
      </w:r>
      <w:r>
        <w:rPr>
          <w:rFonts w:asciiTheme="minorEastAsia" w:hAnsiTheme="minorEastAsia" w:cstheme="minorEastAsia"/>
        </w:rPr>
        <w:t>1</w:t>
      </w:r>
      <w:r>
        <w:rPr>
          <w:rFonts w:hint="eastAsia" w:asciiTheme="minorEastAsia" w:hAnsiTheme="minorEastAsia" w:cstheme="minorEastAsia"/>
        </w:rPr>
        <w:t>基塔按照双回路挂单回导线设计（另1回为同期建设的500千伏长新~新松解口线路。此</w:t>
      </w:r>
      <w:r>
        <w:rPr>
          <w:rFonts w:asciiTheme="minorEastAsia" w:hAnsiTheme="minorEastAsia" w:cstheme="minorEastAsia"/>
        </w:rPr>
        <w:t>1</w:t>
      </w:r>
      <w:r>
        <w:rPr>
          <w:rFonts w:hint="eastAsia" w:asciiTheme="minorEastAsia" w:hAnsiTheme="minorEastAsia" w:cstheme="minorEastAsia"/>
        </w:rPr>
        <w:t>基铁塔、基础、接地非本工程开列，本工程只开列导线、1根光缆和1回路金具串）。其余8</w:t>
      </w:r>
      <w:r>
        <w:rPr>
          <w:rFonts w:asciiTheme="minorEastAsia" w:hAnsiTheme="minorEastAsia" w:cstheme="minorEastAsia"/>
        </w:rPr>
        <w:t>9.0km</w:t>
      </w:r>
      <w:r>
        <w:rPr>
          <w:rFonts w:hint="eastAsia" w:asciiTheme="minorEastAsia" w:hAnsiTheme="minorEastAsia" w:cstheme="minorEastAsia"/>
        </w:rPr>
        <w:t>均按单回路设计</w:t>
      </w:r>
      <w:r>
        <w:rPr>
          <w:rFonts w:hint="eastAsia" w:ascii="宋体" w:hAnsi="宋体" w:eastAsia="宋体" w:cs="宋体"/>
          <w:kern w:val="0"/>
          <w:szCs w:val="21"/>
        </w:rPr>
        <w:t>。</w:t>
      </w:r>
    </w:p>
    <w:p>
      <w:pPr>
        <w:spacing w:line="560" w:lineRule="exact"/>
        <w:ind w:firstLine="420" w:firstLineChars="200"/>
        <w:rPr>
          <w:rFonts w:ascii="宋体" w:hAnsi="宋体" w:eastAsia="宋体" w:cs="宋体"/>
          <w:kern w:val="0"/>
          <w:szCs w:val="21"/>
        </w:rPr>
      </w:pPr>
      <w:r>
        <w:rPr>
          <w:rFonts w:hint="eastAsia" w:ascii="宋体" w:hAnsi="宋体" w:eastAsia="宋体" w:cs="宋体"/>
          <w:kern w:val="0"/>
          <w:szCs w:val="21"/>
        </w:rPr>
        <w:t>设计基本风速为27m/s、3</w:t>
      </w:r>
      <w:r>
        <w:rPr>
          <w:rFonts w:ascii="宋体" w:hAnsi="宋体" w:eastAsia="宋体" w:cs="宋体"/>
          <w:kern w:val="0"/>
          <w:szCs w:val="21"/>
        </w:rPr>
        <w:t>3</w:t>
      </w:r>
      <w:r>
        <w:rPr>
          <w:rFonts w:hint="eastAsia" w:ascii="宋体" w:hAnsi="宋体" w:eastAsia="宋体" w:cs="宋体"/>
          <w:kern w:val="0"/>
          <w:szCs w:val="21"/>
        </w:rPr>
        <w:t>m</w:t>
      </w:r>
      <w:r>
        <w:rPr>
          <w:rFonts w:ascii="宋体" w:hAnsi="宋体" w:eastAsia="宋体" w:cs="宋体"/>
          <w:kern w:val="0"/>
          <w:szCs w:val="21"/>
        </w:rPr>
        <w:t>/s</w:t>
      </w:r>
      <w:r>
        <w:rPr>
          <w:rFonts w:hint="eastAsia" w:ascii="宋体" w:hAnsi="宋体" w:eastAsia="宋体" w:cs="宋体"/>
          <w:kern w:val="0"/>
          <w:szCs w:val="21"/>
        </w:rPr>
        <w:t>，设计覆冰为10mm、1</w:t>
      </w:r>
      <w:r>
        <w:rPr>
          <w:rFonts w:ascii="宋体" w:hAnsi="宋体" w:eastAsia="宋体" w:cs="宋体"/>
          <w:kern w:val="0"/>
          <w:szCs w:val="21"/>
        </w:rPr>
        <w:t>5</w:t>
      </w:r>
      <w:r>
        <w:rPr>
          <w:rFonts w:hint="eastAsia" w:ascii="宋体" w:hAnsi="宋体" w:eastAsia="宋体" w:cs="宋体"/>
          <w:kern w:val="0"/>
          <w:szCs w:val="21"/>
        </w:rPr>
        <w:t>mm和2</w:t>
      </w:r>
      <w:r>
        <w:rPr>
          <w:rFonts w:ascii="宋体" w:hAnsi="宋体" w:eastAsia="宋体" w:cs="宋体"/>
          <w:kern w:val="0"/>
          <w:szCs w:val="21"/>
        </w:rPr>
        <w:t>0</w:t>
      </w:r>
      <w:r>
        <w:rPr>
          <w:rFonts w:hint="eastAsia" w:ascii="宋体" w:hAnsi="宋体" w:eastAsia="宋体" w:cs="宋体"/>
          <w:kern w:val="0"/>
          <w:szCs w:val="21"/>
        </w:rPr>
        <w:t>mm。</w:t>
      </w:r>
    </w:p>
    <w:p>
      <w:pPr>
        <w:spacing w:line="560" w:lineRule="exact"/>
        <w:ind w:firstLine="420" w:firstLineChars="200"/>
        <w:rPr>
          <w:rFonts w:ascii="宋体" w:hAnsi="宋体" w:eastAsia="宋体" w:cs="宋体"/>
          <w:kern w:val="0"/>
          <w:szCs w:val="21"/>
        </w:rPr>
      </w:pPr>
      <w:r>
        <w:rPr>
          <w:rFonts w:hint="eastAsia" w:ascii="宋体" w:hAnsi="宋体" w:eastAsia="宋体" w:cs="宋体"/>
          <w:kern w:val="0"/>
          <w:szCs w:val="21"/>
        </w:rPr>
        <w:t>导线采用4分裂JL/LB20A-500/45铝包钢芯铝绞线；新建线路全线架设2根48芯OPGW-150光缆。</w:t>
      </w:r>
    </w:p>
    <w:p>
      <w:pPr>
        <w:spacing w:line="560" w:lineRule="exact"/>
        <w:ind w:firstLine="420" w:firstLineChars="200"/>
        <w:rPr>
          <w:rFonts w:ascii="宋体" w:hAnsi="宋体" w:eastAsia="宋体" w:cs="宋体"/>
          <w:kern w:val="0"/>
          <w:szCs w:val="21"/>
        </w:rPr>
      </w:pPr>
      <w:r>
        <w:rPr>
          <w:rFonts w:hint="eastAsia" w:ascii="宋体" w:hAnsi="宋体" w:eastAsia="宋体" w:cs="宋体"/>
          <w:kern w:val="0"/>
          <w:szCs w:val="21"/>
        </w:rPr>
        <w:t>全线采用自立式角钢塔。单回路直线塔采用导线水平排列的酒杯型塔，单回路耐张塔采用导线三角排列的干字型塔。</w:t>
      </w:r>
    </w:p>
    <w:p>
      <w:pPr>
        <w:spacing w:line="560" w:lineRule="exact"/>
        <w:ind w:firstLine="420" w:firstLineChars="200"/>
        <w:rPr>
          <w:rFonts w:ascii="宋体" w:hAnsi="宋体" w:eastAsia="宋体" w:cs="宋体"/>
          <w:kern w:val="0"/>
          <w:szCs w:val="21"/>
        </w:rPr>
      </w:pPr>
      <w:r>
        <w:rPr>
          <w:rFonts w:hint="eastAsia" w:ascii="宋体" w:hAnsi="宋体" w:eastAsia="宋体" w:cs="宋体"/>
          <w:kern w:val="0"/>
          <w:szCs w:val="21"/>
        </w:rPr>
        <w:t xml:space="preserve">杆塔基础采用机械挖孔桩基础、人工挖孔桩基础、灌注桩基础、板式基础、岩石锚杆基础等型式。 </w:t>
      </w:r>
    </w:p>
    <w:p>
      <w:pPr>
        <w:pStyle w:val="11"/>
        <w:spacing w:line="360" w:lineRule="auto"/>
        <w:ind w:firstLine="482" w:firstLineChars="200"/>
        <w:rPr>
          <w:rFonts w:asciiTheme="minorEastAsia" w:hAnsiTheme="minorEastAsia" w:cstheme="minorEastAsia"/>
          <w:b/>
          <w:bCs/>
          <w:sz w:val="24"/>
          <w:szCs w:val="24"/>
        </w:rPr>
      </w:pPr>
      <w:r>
        <w:rPr>
          <w:rFonts w:hint="eastAsia" w:asciiTheme="minorEastAsia" w:hAnsiTheme="minorEastAsia" w:cstheme="minorEastAsia"/>
          <w:b/>
          <w:bCs/>
          <w:sz w:val="24"/>
          <w:szCs w:val="24"/>
        </w:rPr>
        <w:t>2.500千伏苗尾～新松甲线开断接入长新站线路工程</w:t>
      </w:r>
    </w:p>
    <w:p>
      <w:pPr>
        <w:spacing w:line="560" w:lineRule="exact"/>
        <w:ind w:firstLine="420" w:firstLineChars="200"/>
        <w:rPr>
          <w:rFonts w:ascii="宋体" w:hAnsi="宋体" w:eastAsia="宋体" w:cs="宋体"/>
          <w:kern w:val="0"/>
          <w:szCs w:val="21"/>
        </w:rPr>
      </w:pPr>
      <w:r>
        <w:rPr>
          <w:rFonts w:hint="eastAsia" w:ascii="宋体" w:hAnsi="宋体" w:eastAsia="宋体" w:cs="宋体"/>
          <w:kern w:val="0"/>
          <w:szCs w:val="21"/>
        </w:rPr>
        <w:t>新建线路长度约13.5km，新建新松换流站侧解口线路7公里，新建苗尾电站侧解口线路6.5公里，除长新站侧终端塔采用同塔双回设计、进线档约0.1公里双回路挂线外，其余均按单回路设计， 单回路架设。</w:t>
      </w:r>
    </w:p>
    <w:p>
      <w:pPr>
        <w:spacing w:line="560" w:lineRule="exact"/>
        <w:ind w:firstLine="420" w:firstLineChars="200"/>
        <w:rPr>
          <w:rFonts w:ascii="宋体" w:hAnsi="宋体" w:eastAsia="宋体" w:cs="宋体"/>
          <w:kern w:val="0"/>
          <w:szCs w:val="21"/>
        </w:rPr>
      </w:pPr>
      <w:r>
        <w:rPr>
          <w:rFonts w:hint="eastAsia" w:ascii="宋体" w:hAnsi="宋体" w:eastAsia="宋体" w:cs="宋体"/>
          <w:kern w:val="0"/>
          <w:szCs w:val="21"/>
        </w:rPr>
        <w:t>设计基本风速为27m/s，设计覆冰为10mm、15mm。</w:t>
      </w:r>
    </w:p>
    <w:p>
      <w:pPr>
        <w:spacing w:line="560" w:lineRule="exact"/>
        <w:ind w:firstLine="420" w:firstLineChars="200"/>
        <w:rPr>
          <w:rFonts w:ascii="宋体" w:hAnsi="宋体" w:eastAsia="宋体" w:cs="宋体"/>
          <w:kern w:val="0"/>
          <w:szCs w:val="21"/>
        </w:rPr>
      </w:pPr>
      <w:r>
        <w:rPr>
          <w:rFonts w:hint="eastAsia" w:ascii="宋体" w:hAnsi="宋体" w:eastAsia="宋体" w:cs="宋体"/>
          <w:kern w:val="0"/>
          <w:szCs w:val="21"/>
        </w:rPr>
        <w:t>导线采用4分裂JL/LB20A-400/50铝包钢芯铝绞线；新建线路全线架设1根24芯OPGW-150光缆和1根JLB27-150普通地线。</w:t>
      </w:r>
    </w:p>
    <w:p>
      <w:pPr>
        <w:spacing w:line="560" w:lineRule="exact"/>
        <w:ind w:firstLine="420" w:firstLineChars="200"/>
        <w:rPr>
          <w:rFonts w:ascii="宋体" w:hAnsi="宋体" w:eastAsia="宋体" w:cs="宋体"/>
          <w:kern w:val="0"/>
          <w:szCs w:val="21"/>
        </w:rPr>
      </w:pPr>
      <w:r>
        <w:rPr>
          <w:rFonts w:hint="eastAsia" w:ascii="宋体" w:hAnsi="宋体" w:eastAsia="宋体" w:cs="宋体"/>
          <w:kern w:val="0"/>
          <w:szCs w:val="21"/>
        </w:rPr>
        <w:t>全线采用自立式角钢塔。单回路直线塔采用导线水平排列的酒杯型塔，单回路耐张塔采用导线三角排列的干字型塔；双回路耐张塔均采用导线垂直排列的鼓型塔。</w:t>
      </w:r>
    </w:p>
    <w:p>
      <w:pPr>
        <w:spacing w:line="560" w:lineRule="exact"/>
        <w:ind w:firstLine="420" w:firstLineChars="200"/>
        <w:rPr>
          <w:rFonts w:hint="eastAsia" w:ascii="宋体" w:hAnsi="宋体" w:eastAsia="宋体" w:cs="宋体"/>
          <w:kern w:val="0"/>
          <w:szCs w:val="21"/>
        </w:rPr>
      </w:pPr>
      <w:r>
        <w:rPr>
          <w:rFonts w:hint="eastAsia" w:ascii="宋体" w:hAnsi="宋体" w:eastAsia="宋体" w:cs="宋体"/>
          <w:kern w:val="0"/>
          <w:szCs w:val="21"/>
        </w:rPr>
        <w:t>杆塔基础采用机械挖孔桩基础、人工挖孔桩基础、灌注桩基础等型式。</w:t>
      </w:r>
    </w:p>
    <w:p>
      <w:pPr>
        <w:pStyle w:val="2"/>
      </w:pPr>
    </w:p>
    <w:p>
      <w:pPr>
        <w:pStyle w:val="11"/>
        <w:numPr>
          <w:ilvl w:val="0"/>
          <w:numId w:val="0"/>
        </w:numPr>
        <w:adjustRightInd w:val="0"/>
        <w:snapToGrid w:val="0"/>
        <w:spacing w:line="360" w:lineRule="auto"/>
        <w:ind w:leftChars="0"/>
        <w:outlineLvl w:val="0"/>
        <w:rPr>
          <w:rFonts w:hAnsi="宋体" w:eastAsia="宋体" w:cs="宋体"/>
          <w:b/>
          <w:sz w:val="24"/>
          <w:szCs w:val="24"/>
        </w:rPr>
      </w:pPr>
      <w:r>
        <w:rPr>
          <w:rFonts w:hint="eastAsia" w:hAnsi="宋体" w:eastAsia="宋体" w:cs="宋体"/>
          <w:b/>
          <w:sz w:val="24"/>
          <w:szCs w:val="24"/>
          <w:lang w:val="en-US" w:eastAsia="zh-CN"/>
        </w:rPr>
        <w:t>二、</w:t>
      </w:r>
      <w:r>
        <w:rPr>
          <w:rFonts w:hint="eastAsia" w:hAnsi="宋体" w:eastAsia="宋体" w:cs="宋体"/>
          <w:b/>
          <w:sz w:val="24"/>
          <w:szCs w:val="24"/>
        </w:rPr>
        <w:t xml:space="preserve">采购范围 </w:t>
      </w:r>
    </w:p>
    <w:p>
      <w:pPr>
        <w:spacing w:line="360" w:lineRule="auto"/>
        <w:rPr>
          <w:rFonts w:ascii="宋体" w:hAnsi="宋体" w:eastAsia="宋体" w:cs="宋体"/>
          <w:b/>
          <w:sz w:val="24"/>
        </w:rPr>
      </w:pPr>
      <w:r>
        <w:rPr>
          <w:rFonts w:hint="eastAsia"/>
        </w:rPr>
        <w:t xml:space="preserve">    </w:t>
      </w:r>
      <w:r>
        <w:rPr>
          <w:rFonts w:hint="eastAsia" w:ascii="宋体" w:hAnsi="宋体" w:eastAsia="宋体" w:cs="宋体"/>
          <w:kern w:val="0"/>
          <w:szCs w:val="21"/>
        </w:rPr>
        <w:t>施工图纸范围内的施工准备，施工（含通信），竣工结算，缺陷责任期，电子化移交的全过程监理。</w:t>
      </w:r>
    </w:p>
    <w:p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sz w:val="28"/>
          <w:szCs w:val="28"/>
          <w:highlight w:val="yellow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73F47E8"/>
    <w:multiLevelType w:val="singleLevel"/>
    <w:tmpl w:val="273F47E8"/>
    <w:lvl w:ilvl="0" w:tentative="0">
      <w:start w:val="1"/>
      <w:numFmt w:val="chineseCounting"/>
      <w:suff w:val="nothing"/>
      <w:lvlText w:val="%1、"/>
      <w:lvlJc w:val="left"/>
      <w:pPr>
        <w:ind w:left="0" w:firstLine="42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JmOGUyZmFiZDQ3NmE5NzU1OWEyZWQxZGI0NDIzNTMifQ=="/>
  </w:docVars>
  <w:rsids>
    <w:rsidRoot w:val="24F737D8"/>
    <w:rsid w:val="00503881"/>
    <w:rsid w:val="00675492"/>
    <w:rsid w:val="00C073B0"/>
    <w:rsid w:val="01000F1F"/>
    <w:rsid w:val="014D50AE"/>
    <w:rsid w:val="0270337E"/>
    <w:rsid w:val="028666F4"/>
    <w:rsid w:val="0465127D"/>
    <w:rsid w:val="04D31677"/>
    <w:rsid w:val="050E07AE"/>
    <w:rsid w:val="05B87515"/>
    <w:rsid w:val="06342E0F"/>
    <w:rsid w:val="068D71D9"/>
    <w:rsid w:val="07751D79"/>
    <w:rsid w:val="09F62510"/>
    <w:rsid w:val="0BC07002"/>
    <w:rsid w:val="0C6B30AA"/>
    <w:rsid w:val="0D0758F3"/>
    <w:rsid w:val="0D882D55"/>
    <w:rsid w:val="0D9432B7"/>
    <w:rsid w:val="0E7F20D3"/>
    <w:rsid w:val="10A919C2"/>
    <w:rsid w:val="11444D6C"/>
    <w:rsid w:val="116419AD"/>
    <w:rsid w:val="11DF6CFE"/>
    <w:rsid w:val="11FC1228"/>
    <w:rsid w:val="1221206F"/>
    <w:rsid w:val="12617BA5"/>
    <w:rsid w:val="13C71878"/>
    <w:rsid w:val="142C4DA5"/>
    <w:rsid w:val="14440D4B"/>
    <w:rsid w:val="15056A61"/>
    <w:rsid w:val="15F1120D"/>
    <w:rsid w:val="16BE50DE"/>
    <w:rsid w:val="17241016"/>
    <w:rsid w:val="17311749"/>
    <w:rsid w:val="18B14F30"/>
    <w:rsid w:val="18E57496"/>
    <w:rsid w:val="190C67D7"/>
    <w:rsid w:val="193066EB"/>
    <w:rsid w:val="196B23E3"/>
    <w:rsid w:val="1A2F2F81"/>
    <w:rsid w:val="1B1435D1"/>
    <w:rsid w:val="1B663F82"/>
    <w:rsid w:val="1BA9108A"/>
    <w:rsid w:val="1C660CB1"/>
    <w:rsid w:val="1D592E11"/>
    <w:rsid w:val="1EA379B5"/>
    <w:rsid w:val="1F960E22"/>
    <w:rsid w:val="20E776A4"/>
    <w:rsid w:val="216F4D5B"/>
    <w:rsid w:val="22755C37"/>
    <w:rsid w:val="22B30023"/>
    <w:rsid w:val="22BD2637"/>
    <w:rsid w:val="22D01CE9"/>
    <w:rsid w:val="23290A9A"/>
    <w:rsid w:val="24E46BF4"/>
    <w:rsid w:val="24F737D8"/>
    <w:rsid w:val="250E3A49"/>
    <w:rsid w:val="274170EE"/>
    <w:rsid w:val="2785030E"/>
    <w:rsid w:val="278F57AD"/>
    <w:rsid w:val="27E47C4B"/>
    <w:rsid w:val="281641CC"/>
    <w:rsid w:val="28F46A2A"/>
    <w:rsid w:val="296555D1"/>
    <w:rsid w:val="29A55C56"/>
    <w:rsid w:val="29FC239E"/>
    <w:rsid w:val="2BED7EC0"/>
    <w:rsid w:val="2BFF0E0F"/>
    <w:rsid w:val="2D8D50EF"/>
    <w:rsid w:val="2D8E3667"/>
    <w:rsid w:val="2E816236"/>
    <w:rsid w:val="2E9A5E18"/>
    <w:rsid w:val="2F362DFB"/>
    <w:rsid w:val="2F893A97"/>
    <w:rsid w:val="2FF65FF8"/>
    <w:rsid w:val="30035F08"/>
    <w:rsid w:val="300D195C"/>
    <w:rsid w:val="3044134F"/>
    <w:rsid w:val="30BF37B5"/>
    <w:rsid w:val="312C2AE5"/>
    <w:rsid w:val="3178798B"/>
    <w:rsid w:val="3220664F"/>
    <w:rsid w:val="3244265D"/>
    <w:rsid w:val="32F2736E"/>
    <w:rsid w:val="35B73053"/>
    <w:rsid w:val="361736AD"/>
    <w:rsid w:val="36676B65"/>
    <w:rsid w:val="36905D28"/>
    <w:rsid w:val="36A54835"/>
    <w:rsid w:val="36D200CF"/>
    <w:rsid w:val="38382DC3"/>
    <w:rsid w:val="38F32560"/>
    <w:rsid w:val="39446F46"/>
    <w:rsid w:val="3B2A0F67"/>
    <w:rsid w:val="3BB261E1"/>
    <w:rsid w:val="3BCA27B8"/>
    <w:rsid w:val="3C114F9E"/>
    <w:rsid w:val="3C1E17EA"/>
    <w:rsid w:val="3C4A35F1"/>
    <w:rsid w:val="3E5F7274"/>
    <w:rsid w:val="3E9D7E49"/>
    <w:rsid w:val="3F9B7EF1"/>
    <w:rsid w:val="415A7E63"/>
    <w:rsid w:val="42E701E3"/>
    <w:rsid w:val="43193F4E"/>
    <w:rsid w:val="44A8314C"/>
    <w:rsid w:val="44D414C9"/>
    <w:rsid w:val="45AE252B"/>
    <w:rsid w:val="45BA6458"/>
    <w:rsid w:val="45C37365"/>
    <w:rsid w:val="460D1423"/>
    <w:rsid w:val="46472D5E"/>
    <w:rsid w:val="468E0BD5"/>
    <w:rsid w:val="469B4709"/>
    <w:rsid w:val="46A85B41"/>
    <w:rsid w:val="47CB2C71"/>
    <w:rsid w:val="49332FB5"/>
    <w:rsid w:val="4B3A1BDA"/>
    <w:rsid w:val="4C1966EB"/>
    <w:rsid w:val="4D392B7F"/>
    <w:rsid w:val="4DC759F3"/>
    <w:rsid w:val="4DD3333C"/>
    <w:rsid w:val="4E040B17"/>
    <w:rsid w:val="4E571337"/>
    <w:rsid w:val="4EA560D6"/>
    <w:rsid w:val="4EAB70C1"/>
    <w:rsid w:val="525522E2"/>
    <w:rsid w:val="528404F0"/>
    <w:rsid w:val="52D338B6"/>
    <w:rsid w:val="53463775"/>
    <w:rsid w:val="53523D60"/>
    <w:rsid w:val="53AA5AAD"/>
    <w:rsid w:val="547776C9"/>
    <w:rsid w:val="54FA534C"/>
    <w:rsid w:val="55734D49"/>
    <w:rsid w:val="55C3156A"/>
    <w:rsid w:val="568B44FB"/>
    <w:rsid w:val="56AF0889"/>
    <w:rsid w:val="57593089"/>
    <w:rsid w:val="599017B7"/>
    <w:rsid w:val="5A492CEC"/>
    <w:rsid w:val="5DE84119"/>
    <w:rsid w:val="5EB72BF2"/>
    <w:rsid w:val="5F8E0C51"/>
    <w:rsid w:val="5FA845A7"/>
    <w:rsid w:val="5FE724D4"/>
    <w:rsid w:val="60240498"/>
    <w:rsid w:val="60395037"/>
    <w:rsid w:val="60546075"/>
    <w:rsid w:val="606769FA"/>
    <w:rsid w:val="608606DE"/>
    <w:rsid w:val="6124276B"/>
    <w:rsid w:val="6221150D"/>
    <w:rsid w:val="639D46DC"/>
    <w:rsid w:val="6424058D"/>
    <w:rsid w:val="660D707D"/>
    <w:rsid w:val="663511C3"/>
    <w:rsid w:val="663B2A3B"/>
    <w:rsid w:val="66836DEC"/>
    <w:rsid w:val="66C35559"/>
    <w:rsid w:val="66D91A76"/>
    <w:rsid w:val="67977F0F"/>
    <w:rsid w:val="68A96DAB"/>
    <w:rsid w:val="68B337CC"/>
    <w:rsid w:val="69311D38"/>
    <w:rsid w:val="6A287B5E"/>
    <w:rsid w:val="6A485E7E"/>
    <w:rsid w:val="6A6B37FA"/>
    <w:rsid w:val="6B303A1A"/>
    <w:rsid w:val="6BE967C2"/>
    <w:rsid w:val="6C141EE0"/>
    <w:rsid w:val="6D897695"/>
    <w:rsid w:val="6DAA2FDF"/>
    <w:rsid w:val="6E121228"/>
    <w:rsid w:val="70873960"/>
    <w:rsid w:val="70B81233"/>
    <w:rsid w:val="70D1495F"/>
    <w:rsid w:val="7129638F"/>
    <w:rsid w:val="73641402"/>
    <w:rsid w:val="740B2F29"/>
    <w:rsid w:val="74E73186"/>
    <w:rsid w:val="74F238E6"/>
    <w:rsid w:val="76015DEA"/>
    <w:rsid w:val="763B2CF0"/>
    <w:rsid w:val="764E470D"/>
    <w:rsid w:val="76850D49"/>
    <w:rsid w:val="76EB7161"/>
    <w:rsid w:val="77E67240"/>
    <w:rsid w:val="7842124A"/>
    <w:rsid w:val="79435213"/>
    <w:rsid w:val="79527737"/>
    <w:rsid w:val="79D51B6D"/>
    <w:rsid w:val="7AF61F1B"/>
    <w:rsid w:val="7B2B3FE2"/>
    <w:rsid w:val="7B3B73B5"/>
    <w:rsid w:val="7C233754"/>
    <w:rsid w:val="7C766170"/>
    <w:rsid w:val="7CC45B07"/>
    <w:rsid w:val="7CC84BE5"/>
    <w:rsid w:val="7D26550D"/>
    <w:rsid w:val="7D2D6A7C"/>
    <w:rsid w:val="7D3A3102"/>
    <w:rsid w:val="7E3420E0"/>
    <w:rsid w:val="7E405052"/>
    <w:rsid w:val="7F1A0C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iPriority="99" w:semiHidden="0" w:name="heading 1"/>
    <w:lsdException w:qFormat="1" w:uiPriority="99" w:semiHidden="0" w:name="heading 2"/>
    <w:lsdException w:qFormat="1" w:uiPriority="0" w:name="heading 3"/>
    <w:lsdException w:qFormat="1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3">
    <w:name w:val="heading 1"/>
    <w:basedOn w:val="1"/>
    <w:next w:val="1"/>
    <w:unhideWhenUsed/>
    <w:qFormat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 w:ascii="Arial" w:hAnsi="Arial" w:eastAsia="宋体" w:cs="Times New Roman"/>
      <w:b/>
      <w:color w:val="000000"/>
      <w:sz w:val="32"/>
    </w:rPr>
  </w:style>
  <w:style w:type="paragraph" w:styleId="4">
    <w:name w:val="heading 2"/>
    <w:basedOn w:val="1"/>
    <w:next w:val="1"/>
    <w:unhideWhenUsed/>
    <w:qFormat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 w:ascii="Arial" w:hAnsi="Arial" w:eastAsia="宋体" w:cs="Times New Roman"/>
      <w:b/>
      <w:i/>
      <w:color w:val="000000"/>
      <w:sz w:val="28"/>
    </w:rPr>
  </w:style>
  <w:style w:type="paragraph" w:styleId="5">
    <w:name w:val="heading 4"/>
    <w:basedOn w:val="1"/>
    <w:next w:val="1"/>
    <w:unhideWhenUsed/>
    <w:qFormat/>
    <w:uiPriority w:val="0"/>
    <w:pPr>
      <w:keepNext/>
      <w:keepLines/>
      <w:spacing w:before="280" w:beforeLines="0" w:beforeAutospacing="0" w:after="290" w:afterLines="0" w:afterAutospacing="0" w:line="372" w:lineRule="auto"/>
      <w:outlineLvl w:val="3"/>
    </w:pPr>
    <w:rPr>
      <w:rFonts w:ascii="Arial" w:hAnsi="Arial" w:eastAsia="黑体"/>
      <w:b/>
      <w:sz w:val="28"/>
    </w:rPr>
  </w:style>
  <w:style w:type="character" w:default="1" w:styleId="16">
    <w:name w:val="Default Paragraph Font"/>
    <w:semiHidden/>
    <w:qFormat/>
    <w:uiPriority w:val="0"/>
  </w:style>
  <w:style w:type="table" w:default="1" w:styleId="1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2"/>
    <w:basedOn w:val="1"/>
    <w:next w:val="1"/>
    <w:qFormat/>
    <w:uiPriority w:val="0"/>
    <w:pPr>
      <w:jc w:val="center"/>
    </w:pPr>
    <w:rPr>
      <w:rFonts w:ascii="仿宋_GB2312" w:hAnsi="宋体" w:eastAsia="仿宋_GB2312"/>
      <w:b/>
      <w:sz w:val="28"/>
      <w:szCs w:val="28"/>
    </w:rPr>
  </w:style>
  <w:style w:type="paragraph" w:styleId="6">
    <w:name w:val="Normal Indent"/>
    <w:basedOn w:val="1"/>
    <w:qFormat/>
    <w:uiPriority w:val="0"/>
    <w:pPr>
      <w:ind w:firstLine="420"/>
    </w:pPr>
    <w:rPr>
      <w:rFonts w:ascii="Times New Roman" w:hAnsi="Times New Roman" w:cs="Times New Roman"/>
      <w:kern w:val="0"/>
      <w:sz w:val="20"/>
      <w:szCs w:val="20"/>
    </w:rPr>
  </w:style>
  <w:style w:type="paragraph" w:styleId="7">
    <w:name w:val="annotation text"/>
    <w:basedOn w:val="1"/>
    <w:qFormat/>
    <w:uiPriority w:val="0"/>
    <w:pPr>
      <w:jc w:val="left"/>
    </w:pPr>
  </w:style>
  <w:style w:type="paragraph" w:styleId="8">
    <w:name w:val="Body Text"/>
    <w:basedOn w:val="9"/>
    <w:next w:val="9"/>
    <w:unhideWhenUsed/>
    <w:qFormat/>
    <w:uiPriority w:val="99"/>
    <w:pPr>
      <w:spacing w:after="120"/>
    </w:pPr>
  </w:style>
  <w:style w:type="paragraph" w:styleId="9">
    <w:name w:val="Title"/>
    <w:basedOn w:val="1"/>
    <w:next w:val="1"/>
    <w:qFormat/>
    <w:uiPriority w:val="0"/>
    <w:pPr>
      <w:widowControl/>
      <w:spacing w:before="240" w:after="60" w:line="560" w:lineRule="exact"/>
      <w:jc w:val="center"/>
      <w:outlineLvl w:val="0"/>
    </w:pPr>
    <w:rPr>
      <w:rFonts w:ascii="Arial" w:hAnsi="Arial" w:eastAsia="华文中宋" w:cs="Arial"/>
      <w:b/>
      <w:bCs/>
      <w:color w:val="FF0000"/>
      <w:kern w:val="0"/>
      <w:sz w:val="84"/>
      <w:szCs w:val="32"/>
    </w:rPr>
  </w:style>
  <w:style w:type="paragraph" w:styleId="10">
    <w:name w:val="Body Text Indent"/>
    <w:basedOn w:val="1"/>
    <w:qFormat/>
    <w:uiPriority w:val="0"/>
    <w:pPr>
      <w:spacing w:after="120"/>
      <w:ind w:left="420" w:leftChars="200"/>
    </w:pPr>
  </w:style>
  <w:style w:type="paragraph" w:styleId="11">
    <w:name w:val="Plain Text"/>
    <w:basedOn w:val="1"/>
    <w:qFormat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jc w:val="both"/>
    </w:pPr>
    <w:rPr>
      <w:rFonts w:ascii="宋体" w:hAnsi="Courier New"/>
      <w:kern w:val="0"/>
      <w:sz w:val="20"/>
      <w:szCs w:val="20"/>
      <w:lang w:val="en-US" w:eastAsia="zh-CN"/>
    </w:rPr>
  </w:style>
  <w:style w:type="paragraph" w:styleId="1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13">
    <w:name w:val="Body Text First Indent"/>
    <w:basedOn w:val="8"/>
    <w:next w:val="1"/>
    <w:unhideWhenUsed/>
    <w:qFormat/>
    <w:uiPriority w:val="99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spacing w:line="360" w:lineRule="auto"/>
      <w:ind w:firstLine="200" w:firstLineChars="200"/>
      <w:jc w:val="both"/>
    </w:pPr>
    <w:rPr>
      <w:kern w:val="0"/>
      <w:sz w:val="24"/>
      <w:lang w:val="en-US" w:eastAsia="zh-CN"/>
    </w:rPr>
  </w:style>
  <w:style w:type="table" w:styleId="15">
    <w:name w:val="Table Grid"/>
    <w:basedOn w:val="1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7">
    <w:name w:val="目录 21"/>
    <w:basedOn w:val="1"/>
    <w:next w:val="1"/>
    <w:qFormat/>
    <w:uiPriority w:val="0"/>
    <w:pPr>
      <w:spacing w:before="100" w:beforeAutospacing="1" w:after="100" w:afterAutospacing="1"/>
      <w:ind w:left="420" w:leftChars="200"/>
    </w:pPr>
  </w:style>
  <w:style w:type="paragraph" w:customStyle="1" w:styleId="18">
    <w:name w:val="_Style 5"/>
    <w:basedOn w:val="1"/>
    <w:qFormat/>
    <w:uiPriority w:val="0"/>
    <w:pPr>
      <w:adjustRightInd/>
      <w:spacing w:line="240" w:lineRule="auto"/>
      <w:ind w:firstLine="420" w:firstLineChars="200"/>
      <w:textAlignment w:val="auto"/>
    </w:pPr>
    <w:rPr>
      <w:rFonts w:ascii="Calibri" w:hAnsi="Calibri" w:eastAsia="宋体" w:cs="Times New Roman"/>
      <w:kern w:val="2"/>
      <w:sz w:val="21"/>
      <w:szCs w:val="22"/>
    </w:rPr>
  </w:style>
  <w:style w:type="paragraph" w:customStyle="1" w:styleId="19">
    <w:name w:val="报告正文"/>
    <w:basedOn w:val="1"/>
    <w:qFormat/>
    <w:uiPriority w:val="0"/>
    <w:pPr>
      <w:ind w:firstLine="200" w:firstLineChars="200"/>
      <w:textAlignment w:val="baseline"/>
    </w:pPr>
    <w:rPr>
      <w:color w:val="FF0000"/>
      <w:kern w:val="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7111</Words>
  <Characters>7982</Characters>
  <Lines>0</Lines>
  <Paragraphs>0</Paragraphs>
  <TotalTime>0</TotalTime>
  <ScaleCrop>false</ScaleCrop>
  <LinksUpToDate>false</LinksUpToDate>
  <CharactersWithSpaces>8069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2021-02-24T07:45:00Z</dcterms:created>
  <dc:creator>maja</dc:creator>
  <cp:lastModifiedBy>韦将俊</cp:lastModifiedBy>
  <cp:lastPrinted>2022-02-11T02:00:00Z</cp:lastPrinted>
  <dcterms:modified xsi:type="dcterms:W3CDTF">2026-01-29T06:08:28Z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BB0C4F27AF5C473C8EBB8D8348A84610</vt:lpwstr>
  </property>
</Properties>
</file>