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86F98C">
      <w:pPr>
        <w:pStyle w:val="9"/>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bookmarkStart w:id="0" w:name="_Toc8445"/>
      <w:r>
        <w:rPr>
          <w:rFonts w:hint="eastAsia" w:asciiTheme="minorEastAsia" w:hAnsiTheme="minorEastAsia" w:eastAsiaTheme="minorEastAsia" w:cstheme="minorEastAsia"/>
          <w:b/>
          <w:bCs/>
          <w:snapToGrid w:val="0"/>
          <w:color w:val="auto"/>
          <w:kern w:val="0"/>
          <w:sz w:val="32"/>
          <w:szCs w:val="32"/>
          <w:highlight w:val="none"/>
          <w:u w:val="none"/>
          <w:lang w:val="en-US" w:eastAsia="zh-CN"/>
        </w:rPr>
        <w:t>附件A.项目信息清单</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r>
        <w:rPr>
          <w:rFonts w:hint="eastAsia" w:asciiTheme="minorEastAsia" w:hAnsiTheme="minorEastAsia" w:eastAsiaTheme="minorEastAsia" w:cstheme="minorEastAsia"/>
          <w:b/>
          <w:bCs/>
          <w:snapToGrid w:val="0"/>
          <w:color w:val="auto"/>
          <w:kern w:val="0"/>
          <w:sz w:val="32"/>
          <w:szCs w:val="32"/>
          <w:highlight w:val="none"/>
          <w:u w:val="none"/>
          <w:lang w:val="en-US" w:eastAsia="zh-CN"/>
        </w:rPr>
        <w:t xml:space="preserve"> 220千伏梨园变电站扩建第三台主变工程监理</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p>
    <w:p w14:paraId="374682A1">
      <w:pPr>
        <w:pStyle w:val="9"/>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p>
    <w:bookmarkEnd w:id="0"/>
    <w:p w14:paraId="54427205">
      <w:pPr>
        <w:pStyle w:val="9"/>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项目信息</w:t>
      </w:r>
    </w:p>
    <w:p w14:paraId="2EC3936C">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hAnsi="宋体" w:cs="宋体"/>
          <w:b/>
          <w:bCs/>
          <w:snapToGrid w:val="0"/>
          <w:color w:val="auto"/>
          <w:kern w:val="0"/>
          <w:sz w:val="24"/>
          <w:szCs w:val="24"/>
          <w:highlight w:val="none"/>
          <w:u w:val="none"/>
          <w:lang w:val="en-US" w:eastAsia="zh-CN"/>
        </w:rPr>
        <w:t>招标前期资料</w:t>
      </w:r>
    </w:p>
    <w:tbl>
      <w:tblPr>
        <w:tblStyle w:val="12"/>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783"/>
        <w:gridCol w:w="5250"/>
      </w:tblGrid>
      <w:tr w14:paraId="2294D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776" w:type="dxa"/>
            <w:noWrap w:val="0"/>
            <w:vAlign w:val="center"/>
          </w:tcPr>
          <w:p w14:paraId="69CB2FA4">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序号</w:t>
            </w:r>
          </w:p>
        </w:tc>
        <w:tc>
          <w:tcPr>
            <w:tcW w:w="3783" w:type="dxa"/>
            <w:noWrap w:val="0"/>
            <w:vAlign w:val="center"/>
          </w:tcPr>
          <w:p w14:paraId="1F550D5F">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文件名称</w:t>
            </w:r>
          </w:p>
        </w:tc>
        <w:tc>
          <w:tcPr>
            <w:tcW w:w="5250" w:type="dxa"/>
            <w:noWrap w:val="0"/>
            <w:vAlign w:val="center"/>
          </w:tcPr>
          <w:p w14:paraId="13C85E4B">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文件文号</w:t>
            </w:r>
          </w:p>
        </w:tc>
      </w:tr>
      <w:tr w14:paraId="016EA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41519315">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w:t>
            </w:r>
          </w:p>
        </w:tc>
        <w:tc>
          <w:tcPr>
            <w:tcW w:w="3783" w:type="dxa"/>
            <w:noWrap w:val="0"/>
            <w:vAlign w:val="center"/>
          </w:tcPr>
          <w:p w14:paraId="322B727B">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可研批复文号</w:t>
            </w:r>
          </w:p>
        </w:tc>
        <w:tc>
          <w:tcPr>
            <w:tcW w:w="5250" w:type="dxa"/>
            <w:noWrap w:val="0"/>
            <w:vAlign w:val="center"/>
          </w:tcPr>
          <w:p w14:paraId="3ACA4AC8">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广供电基〔2025〕145号</w:t>
            </w:r>
          </w:p>
        </w:tc>
      </w:tr>
      <w:tr w14:paraId="78D0B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18004099">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2</w:t>
            </w:r>
          </w:p>
        </w:tc>
        <w:tc>
          <w:tcPr>
            <w:tcW w:w="3783" w:type="dxa"/>
            <w:noWrap w:val="0"/>
            <w:vAlign w:val="center"/>
          </w:tcPr>
          <w:p w14:paraId="24F5EB17">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项目核准/备案文号</w:t>
            </w:r>
          </w:p>
        </w:tc>
        <w:tc>
          <w:tcPr>
            <w:tcW w:w="5250" w:type="dxa"/>
            <w:noWrap w:val="0"/>
            <w:vAlign w:val="center"/>
          </w:tcPr>
          <w:p w14:paraId="439A5068">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穗发改核准〔2025〕25号</w:t>
            </w:r>
          </w:p>
        </w:tc>
      </w:tr>
      <w:tr w14:paraId="6D6E0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1127F22C">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3</w:t>
            </w:r>
          </w:p>
        </w:tc>
        <w:tc>
          <w:tcPr>
            <w:tcW w:w="3783" w:type="dxa"/>
            <w:noWrap w:val="0"/>
            <w:vAlign w:val="center"/>
          </w:tcPr>
          <w:p w14:paraId="7C1168C3">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资金落实情况</w:t>
            </w:r>
          </w:p>
        </w:tc>
        <w:tc>
          <w:tcPr>
            <w:tcW w:w="5250" w:type="dxa"/>
            <w:noWrap w:val="0"/>
            <w:vAlign w:val="center"/>
          </w:tcPr>
          <w:p w14:paraId="0F8E3546">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广供电资〔2025〕49号</w:t>
            </w:r>
          </w:p>
        </w:tc>
      </w:tr>
      <w:tr w14:paraId="1E322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191D2FB7">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4</w:t>
            </w:r>
          </w:p>
        </w:tc>
        <w:tc>
          <w:tcPr>
            <w:tcW w:w="3783" w:type="dxa"/>
            <w:noWrap w:val="0"/>
            <w:vAlign w:val="center"/>
          </w:tcPr>
          <w:p w14:paraId="58351505">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项目建设单位</w:t>
            </w:r>
          </w:p>
        </w:tc>
        <w:tc>
          <w:tcPr>
            <w:tcW w:w="5250" w:type="dxa"/>
            <w:noWrap w:val="0"/>
            <w:vAlign w:val="center"/>
          </w:tcPr>
          <w:p w14:paraId="4DC73BD8">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广东电网有限责任公司广州供电局</w:t>
            </w:r>
          </w:p>
        </w:tc>
      </w:tr>
      <w:tr w14:paraId="19F14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1D16A24D">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5</w:t>
            </w:r>
          </w:p>
        </w:tc>
        <w:tc>
          <w:tcPr>
            <w:tcW w:w="3783" w:type="dxa"/>
            <w:noWrap w:val="0"/>
            <w:vAlign w:val="center"/>
          </w:tcPr>
          <w:p w14:paraId="5C722281">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项目建设地点</w:t>
            </w:r>
          </w:p>
        </w:tc>
        <w:tc>
          <w:tcPr>
            <w:tcW w:w="5250" w:type="dxa"/>
            <w:noWrap w:val="0"/>
            <w:vAlign w:val="center"/>
          </w:tcPr>
          <w:p w14:paraId="04D40A15">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广州市 白云区</w:t>
            </w:r>
          </w:p>
        </w:tc>
      </w:tr>
      <w:tr w14:paraId="3D30E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776" w:type="dxa"/>
            <w:noWrap w:val="0"/>
            <w:vAlign w:val="center"/>
          </w:tcPr>
          <w:p w14:paraId="5CE88D6E">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6</w:t>
            </w:r>
          </w:p>
        </w:tc>
        <w:tc>
          <w:tcPr>
            <w:tcW w:w="3783" w:type="dxa"/>
            <w:noWrap w:val="0"/>
            <w:vAlign w:val="center"/>
          </w:tcPr>
          <w:p w14:paraId="3F01CCA9">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前期的设计或咨询服务单位名称</w:t>
            </w:r>
          </w:p>
        </w:tc>
        <w:tc>
          <w:tcPr>
            <w:tcW w:w="5250" w:type="dxa"/>
            <w:noWrap w:val="0"/>
            <w:vAlign w:val="center"/>
          </w:tcPr>
          <w:p w14:paraId="5F5D0C8C">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广州市电力工程设计院有限公司</w:t>
            </w:r>
          </w:p>
        </w:tc>
      </w:tr>
      <w:tr w14:paraId="05277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exact"/>
          <w:jc w:val="center"/>
        </w:trPr>
        <w:tc>
          <w:tcPr>
            <w:tcW w:w="776" w:type="dxa"/>
            <w:noWrap w:val="0"/>
            <w:vAlign w:val="center"/>
          </w:tcPr>
          <w:p w14:paraId="2C14BBED">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7</w:t>
            </w:r>
          </w:p>
        </w:tc>
        <w:tc>
          <w:tcPr>
            <w:tcW w:w="3783" w:type="dxa"/>
            <w:noWrap w:val="0"/>
            <w:vAlign w:val="center"/>
          </w:tcPr>
          <w:p w14:paraId="0D6F057E">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工期/服务期</w:t>
            </w:r>
          </w:p>
        </w:tc>
        <w:tc>
          <w:tcPr>
            <w:tcW w:w="5250" w:type="dxa"/>
            <w:noWrap w:val="0"/>
            <w:vAlign w:val="center"/>
          </w:tcPr>
          <w:p w14:paraId="37A714B4">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合同签订之日起112日历天，实际工期以开工报告、竣工报告为准。）</w:t>
            </w:r>
          </w:p>
        </w:tc>
      </w:tr>
    </w:tbl>
    <w:p w14:paraId="4C4071A4">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4"/>
          <w:szCs w:val="24"/>
          <w:highlight w:val="none"/>
          <w:u w:val="none"/>
          <w:lang w:val="en-US" w:eastAsia="zh-CN"/>
        </w:rPr>
      </w:pPr>
    </w:p>
    <w:p w14:paraId="7D2C4E3E">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4"/>
          <w:szCs w:val="24"/>
          <w:highlight w:val="none"/>
          <w:u w:val="none"/>
          <w:lang w:val="en-US" w:eastAsia="zh-CN"/>
        </w:rPr>
      </w:pPr>
    </w:p>
    <w:p w14:paraId="052E33CC">
      <w:pPr>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一、项目概况</w:t>
      </w:r>
    </w:p>
    <w:p w14:paraId="5A78D78A">
      <w:pPr>
        <w:pStyle w:val="9"/>
        <w:keepNext w:val="0"/>
        <w:keepLines w:val="0"/>
        <w:pageBreakBefore w:val="0"/>
        <w:widowControl w:val="0"/>
        <w:kinsoku/>
        <w:wordWrap/>
        <w:overflowPunct/>
        <w:topLinePunct w:val="0"/>
        <w:autoSpaceDE/>
        <w:autoSpaceDN/>
        <w:bidi w:val="0"/>
        <w:adjustRightInd w:val="0"/>
        <w:snapToGrid w:val="0"/>
        <w:spacing w:line="480" w:lineRule="exact"/>
        <w:ind w:firstLine="482" w:firstLineChars="200"/>
        <w:textAlignment w:val="auto"/>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※变电部分</w:t>
      </w:r>
    </w:p>
    <w:p w14:paraId="73EDE5EB">
      <w:pPr>
        <w:pStyle w:val="9"/>
        <w:keepNext w:val="0"/>
        <w:keepLines w:val="0"/>
        <w:pageBreakBefore w:val="0"/>
        <w:widowControl w:val="0"/>
        <w:kinsoku/>
        <w:wordWrap/>
        <w:overflowPunct/>
        <w:topLinePunct w:val="0"/>
        <w:autoSpaceDE/>
        <w:autoSpaceDN/>
        <w:bidi w:val="0"/>
        <w:adjustRightInd w:val="0"/>
        <w:snapToGrid w:val="0"/>
        <w:spacing w:line="480" w:lineRule="exact"/>
        <w:ind w:firstLine="420" w:firstLineChars="20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220千伏梨园变电站扩建第三台主变工程：本期扩建主变压器1×240MVA，10kV出现10回，电抗器：1×1×8Mvar。</w:t>
      </w:r>
    </w:p>
    <w:p w14:paraId="202C01C7">
      <w:pPr>
        <w:pStyle w:val="9"/>
        <w:keepNext w:val="0"/>
        <w:keepLines w:val="0"/>
        <w:pageBreakBefore w:val="0"/>
        <w:kinsoku/>
        <w:wordWrap/>
        <w:overflowPunct/>
        <w:topLinePunct w:val="0"/>
        <w:bidi w:val="0"/>
        <w:adjustRightInd w:val="0"/>
        <w:snapToGrid w:val="0"/>
        <w:spacing w:line="240" w:lineRule="auto"/>
        <w:ind w:firstLine="420" w:firstLineChars="200"/>
        <w:textAlignment w:val="auto"/>
        <w:outlineLvl w:val="9"/>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具体建设规模以施工图纸为准。</w:t>
      </w:r>
    </w:p>
    <w:p w14:paraId="7E4D8B5A">
      <w:pPr>
        <w:keepNext w:val="0"/>
        <w:keepLines w:val="0"/>
        <w:pageBreakBefore w:val="0"/>
        <w:kinsoku/>
        <w:wordWrap/>
        <w:overflowPunct/>
        <w:topLinePunct w:val="0"/>
        <w:autoSpaceDE/>
        <w:autoSpaceDN/>
        <w:bidi w:val="0"/>
        <w:adjustRightInd/>
        <w:snapToGrid/>
        <w:spacing w:before="157" w:beforeLines="50" w:after="157" w:afterLines="50"/>
        <w:textAlignment w:val="auto"/>
        <w:rPr>
          <w:rFonts w:hint="eastAsia"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二、招标采购范围</w:t>
      </w:r>
    </w:p>
    <w:p w14:paraId="04289D51">
      <w:pPr>
        <w:keepNext w:val="0"/>
        <w:keepLines w:val="0"/>
        <w:pageBreakBefore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Theme="minorEastAsia" w:hAnsiTheme="minorEastAsia" w:eastAsiaTheme="minorEastAsia" w:cstheme="minorEastAsia"/>
          <w:b w:val="0"/>
          <w:bCs w:val="0"/>
          <w:i w:val="0"/>
          <w:iCs/>
          <w:color w:val="auto"/>
          <w:kern w:val="2"/>
          <w:sz w:val="24"/>
          <w:szCs w:val="24"/>
          <w:highlight w:val="none"/>
          <w:u w:val="single"/>
          <w:lang w:val="en-US" w:eastAsia="zh-CN" w:bidi="ar-SA"/>
        </w:rPr>
      </w:pPr>
      <w:r>
        <w:rPr>
          <w:rFonts w:hint="eastAsia" w:hAnsi="宋体"/>
          <w:color w:val="auto"/>
          <w:sz w:val="24"/>
          <w:szCs w:val="24"/>
          <w:highlight w:val="none"/>
          <w:u w:val="single"/>
        </w:rPr>
        <w:t>勘察设计、施工准备（含三通一平）、施工（含通信）、竣工结算、缺陷责任期、电子化移交的全过程监理</w:t>
      </w:r>
      <w:r>
        <w:rPr>
          <w:rFonts w:hint="eastAsia" w:hAnsi="宋体"/>
          <w:color w:val="auto"/>
          <w:sz w:val="24"/>
          <w:szCs w:val="24"/>
          <w:highlight w:val="none"/>
          <w:u w:val="single"/>
          <w:lang w:eastAsia="zh-CN"/>
        </w:rPr>
        <w:t>，以及初步设计概算（或施工图预算）中监理计费范围以外但与工程相关的监理工作。</w:t>
      </w:r>
      <w:r>
        <w:rPr>
          <w:rFonts w:hint="eastAsia" w:hAnsi="宋体"/>
          <w:color w:val="auto"/>
          <w:sz w:val="24"/>
          <w:szCs w:val="24"/>
          <w:highlight w:val="none"/>
          <w:u w:val="single"/>
        </w:rPr>
        <w:t>按照建设单位要求使用工程信息管理系统</w:t>
      </w:r>
      <w:r>
        <w:rPr>
          <w:rFonts w:hint="eastAsia" w:hAnsi="宋体"/>
          <w:color w:val="auto"/>
          <w:sz w:val="24"/>
          <w:szCs w:val="24"/>
          <w:highlight w:val="none"/>
        </w:rPr>
        <w:t>。</w:t>
      </w:r>
    </w:p>
    <w:p w14:paraId="6170AA77">
      <w:pPr>
        <w:rPr>
          <w:rFonts w:hint="eastAsia"/>
          <w:color w:val="auto"/>
          <w:highlight w:val="none"/>
          <w:lang w:val="en-US" w:eastAsia="zh-CN"/>
        </w:rPr>
      </w:pPr>
    </w:p>
    <w:p w14:paraId="14B922EF">
      <w:pPr>
        <w:pStyle w:val="9"/>
        <w:rPr>
          <w:rFonts w:hint="eastAsia"/>
          <w:color w:val="auto"/>
          <w:highlight w:val="none"/>
          <w:lang w:val="en-US" w:eastAsia="zh-CN"/>
        </w:rPr>
      </w:pPr>
    </w:p>
    <w:p w14:paraId="2B69C1E0">
      <w:pPr>
        <w:pStyle w:val="9"/>
        <w:rPr>
          <w:rFonts w:hint="eastAsia"/>
          <w:color w:val="auto"/>
          <w:highlight w:val="none"/>
          <w:lang w:val="en-US" w:eastAsia="zh-CN"/>
        </w:rPr>
      </w:pPr>
    </w:p>
    <w:p w14:paraId="0BEB8DB6">
      <w:pPr>
        <w:pStyle w:val="9"/>
        <w:rPr>
          <w:rFonts w:hint="eastAsia"/>
          <w:color w:val="auto"/>
          <w:highlight w:val="none"/>
          <w:lang w:val="en-US" w:eastAsia="zh-CN"/>
        </w:rPr>
      </w:pPr>
    </w:p>
    <w:p w14:paraId="6F7A842C">
      <w:pPr>
        <w:pStyle w:val="5"/>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三、报价表</w:t>
      </w:r>
    </w:p>
    <w:tbl>
      <w:tblPr>
        <w:tblStyle w:val="11"/>
        <w:tblpPr w:leftFromText="180" w:rightFromText="180" w:vertAnchor="text" w:horzAnchor="page" w:tblpX="1605" w:tblpY="14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2242"/>
        <w:gridCol w:w="1519"/>
        <w:gridCol w:w="1033"/>
        <w:gridCol w:w="1559"/>
        <w:gridCol w:w="1134"/>
      </w:tblGrid>
      <w:tr w14:paraId="1458C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bottom w:val="single" w:color="auto" w:sz="4" w:space="0"/>
            </w:tcBorders>
            <w:noWrap w:val="0"/>
            <w:vAlign w:val="center"/>
          </w:tcPr>
          <w:p w14:paraId="609369CB">
            <w:pPr>
              <w:tabs>
                <w:tab w:val="left" w:pos="900"/>
              </w:tabs>
              <w:snapToGrid w:val="0"/>
              <w:ind w:right="-24"/>
              <w:jc w:val="center"/>
              <w:rPr>
                <w:rFonts w:ascii="宋体" w:hAnsi="宋体"/>
                <w:color w:val="auto"/>
                <w:highlight w:val="none"/>
              </w:rPr>
            </w:pPr>
            <w:r>
              <w:rPr>
                <w:rFonts w:hint="eastAsia" w:ascii="宋体" w:hAnsi="宋体"/>
                <w:color w:val="auto"/>
                <w:highlight w:val="none"/>
              </w:rPr>
              <w:t>序号</w:t>
            </w:r>
          </w:p>
        </w:tc>
        <w:tc>
          <w:tcPr>
            <w:tcW w:w="2242" w:type="dxa"/>
            <w:tcBorders>
              <w:bottom w:val="single" w:color="auto" w:sz="4" w:space="0"/>
            </w:tcBorders>
            <w:noWrap w:val="0"/>
            <w:vAlign w:val="center"/>
          </w:tcPr>
          <w:p w14:paraId="755C0952">
            <w:pPr>
              <w:tabs>
                <w:tab w:val="left" w:pos="900"/>
              </w:tabs>
              <w:snapToGrid w:val="0"/>
              <w:ind w:left="282" w:right="-24"/>
              <w:jc w:val="center"/>
              <w:rPr>
                <w:rFonts w:ascii="宋体" w:hAnsi="宋体"/>
                <w:color w:val="auto"/>
                <w:highlight w:val="none"/>
              </w:rPr>
            </w:pPr>
            <w:r>
              <w:rPr>
                <w:rFonts w:hint="eastAsia" w:ascii="宋体" w:hAnsi="宋体"/>
                <w:color w:val="auto"/>
                <w:highlight w:val="none"/>
              </w:rPr>
              <w:t>费用名称</w:t>
            </w:r>
          </w:p>
        </w:tc>
        <w:tc>
          <w:tcPr>
            <w:tcW w:w="1519" w:type="dxa"/>
            <w:noWrap w:val="0"/>
            <w:vAlign w:val="top"/>
          </w:tcPr>
          <w:p w14:paraId="78A14781">
            <w:pPr>
              <w:tabs>
                <w:tab w:val="left" w:pos="900"/>
              </w:tabs>
              <w:snapToGrid w:val="0"/>
              <w:spacing w:before="120" w:after="120"/>
              <w:ind w:right="-24"/>
              <w:jc w:val="center"/>
              <w:rPr>
                <w:rFonts w:ascii="宋体" w:hAnsi="宋体"/>
                <w:color w:val="auto"/>
                <w:highlight w:val="none"/>
              </w:rPr>
            </w:pPr>
            <w:r>
              <w:rPr>
                <w:rFonts w:hint="eastAsia" w:ascii="宋体" w:hAnsi="宋体"/>
                <w:color w:val="auto"/>
                <w:highlight w:val="none"/>
              </w:rPr>
              <w:t>最高投标限价(元)</w:t>
            </w:r>
          </w:p>
        </w:tc>
        <w:tc>
          <w:tcPr>
            <w:tcW w:w="1033" w:type="dxa"/>
            <w:tcBorders>
              <w:bottom w:val="single" w:color="auto" w:sz="4" w:space="0"/>
            </w:tcBorders>
            <w:noWrap w:val="0"/>
            <w:vAlign w:val="center"/>
          </w:tcPr>
          <w:p w14:paraId="53330A36">
            <w:pPr>
              <w:tabs>
                <w:tab w:val="left" w:pos="900"/>
              </w:tabs>
              <w:snapToGrid w:val="0"/>
              <w:spacing w:before="120" w:after="120"/>
              <w:ind w:right="-24"/>
              <w:jc w:val="center"/>
              <w:rPr>
                <w:rFonts w:hint="eastAsia" w:ascii="宋体" w:hAnsi="宋体" w:eastAsia="宋体"/>
                <w:b/>
                <w:color w:val="auto"/>
                <w:highlight w:val="none"/>
                <w:lang w:eastAsia="zh-CN"/>
              </w:rPr>
            </w:pPr>
            <w:r>
              <w:rPr>
                <w:rFonts w:hint="eastAsia" w:ascii="宋体" w:hAnsi="宋体"/>
                <w:b w:val="0"/>
                <w:bCs/>
                <w:color w:val="auto"/>
                <w:highlight w:val="none"/>
              </w:rPr>
              <w:t>投标下浮率</w:t>
            </w:r>
          </w:p>
        </w:tc>
        <w:tc>
          <w:tcPr>
            <w:tcW w:w="1559" w:type="dxa"/>
            <w:tcBorders>
              <w:bottom w:val="single" w:color="auto" w:sz="4" w:space="0"/>
            </w:tcBorders>
            <w:noWrap w:val="0"/>
            <w:vAlign w:val="top"/>
          </w:tcPr>
          <w:p w14:paraId="7DD09787">
            <w:pPr>
              <w:tabs>
                <w:tab w:val="left" w:pos="900"/>
              </w:tabs>
              <w:snapToGrid w:val="0"/>
              <w:spacing w:before="120" w:after="120"/>
              <w:ind w:right="-24"/>
              <w:jc w:val="center"/>
              <w:rPr>
                <w:rFonts w:ascii="宋体" w:hAnsi="宋体"/>
                <w:color w:val="auto"/>
                <w:highlight w:val="none"/>
              </w:rPr>
            </w:pPr>
            <w:r>
              <w:rPr>
                <w:rFonts w:hint="eastAsia" w:ascii="宋体" w:hAnsi="宋体" w:cs="宋体"/>
                <w:color w:val="auto"/>
                <w:kern w:val="0"/>
                <w:szCs w:val="21"/>
                <w:highlight w:val="none"/>
                <w:lang w:bidi="ar"/>
              </w:rPr>
              <w:t>投标报价</w:t>
            </w:r>
            <w:r>
              <w:rPr>
                <w:rFonts w:hint="eastAsia" w:ascii="宋体" w:hAnsi="宋体"/>
                <w:color w:val="auto"/>
                <w:highlight w:val="none"/>
              </w:rPr>
              <w:t>(元)</w:t>
            </w:r>
          </w:p>
        </w:tc>
        <w:tc>
          <w:tcPr>
            <w:tcW w:w="1134" w:type="dxa"/>
            <w:tcBorders>
              <w:bottom w:val="single" w:color="auto" w:sz="4" w:space="0"/>
            </w:tcBorders>
            <w:noWrap w:val="0"/>
            <w:vAlign w:val="center"/>
          </w:tcPr>
          <w:p w14:paraId="2311463C">
            <w:pPr>
              <w:tabs>
                <w:tab w:val="left" w:pos="900"/>
              </w:tabs>
              <w:snapToGrid w:val="0"/>
              <w:spacing w:before="120" w:after="120"/>
              <w:ind w:right="-24"/>
              <w:jc w:val="center"/>
              <w:rPr>
                <w:rFonts w:ascii="宋体" w:hAnsi="宋体"/>
                <w:color w:val="auto"/>
                <w:highlight w:val="none"/>
              </w:rPr>
            </w:pPr>
            <w:r>
              <w:rPr>
                <w:rFonts w:hint="eastAsia" w:ascii="宋体" w:hAnsi="宋体"/>
                <w:color w:val="auto"/>
                <w:highlight w:val="none"/>
              </w:rPr>
              <w:t>备注</w:t>
            </w:r>
          </w:p>
        </w:tc>
      </w:tr>
      <w:tr w14:paraId="2503F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top w:val="single" w:color="auto" w:sz="4" w:space="0"/>
              <w:bottom w:val="single" w:color="auto" w:sz="4" w:space="0"/>
            </w:tcBorders>
            <w:noWrap w:val="0"/>
            <w:vAlign w:val="center"/>
          </w:tcPr>
          <w:p w14:paraId="11619F64">
            <w:pPr>
              <w:tabs>
                <w:tab w:val="left" w:pos="900"/>
              </w:tabs>
              <w:snapToGrid w:val="0"/>
              <w:spacing w:before="60" w:after="120"/>
              <w:ind w:right="-24"/>
              <w:jc w:val="center"/>
              <w:rPr>
                <w:rFonts w:ascii="宋体" w:hAnsi="宋体"/>
                <w:color w:val="auto"/>
                <w:highlight w:val="none"/>
              </w:rPr>
            </w:pPr>
            <w:r>
              <w:rPr>
                <w:rFonts w:hint="eastAsia" w:ascii="宋体" w:hAnsi="宋体"/>
                <w:color w:val="auto"/>
                <w:highlight w:val="none"/>
              </w:rPr>
              <w:t>1</w:t>
            </w:r>
          </w:p>
        </w:tc>
        <w:tc>
          <w:tcPr>
            <w:tcW w:w="2242" w:type="dxa"/>
            <w:tcBorders>
              <w:top w:val="single" w:color="auto" w:sz="4" w:space="0"/>
              <w:bottom w:val="single" w:color="auto" w:sz="4" w:space="0"/>
            </w:tcBorders>
            <w:noWrap w:val="0"/>
            <w:vAlign w:val="center"/>
          </w:tcPr>
          <w:p w14:paraId="1AFA69AA">
            <w:pPr>
              <w:tabs>
                <w:tab w:val="left" w:pos="900"/>
              </w:tabs>
              <w:snapToGrid w:val="0"/>
              <w:spacing w:before="60" w:after="120"/>
              <w:ind w:right="-24"/>
              <w:jc w:val="center"/>
              <w:rPr>
                <w:rFonts w:ascii="宋体" w:hAnsi="宋体"/>
                <w:color w:val="auto"/>
                <w:highlight w:val="none"/>
              </w:rPr>
            </w:pPr>
            <w:r>
              <w:rPr>
                <w:rFonts w:hint="eastAsia" w:hAnsi="宋体"/>
                <w:color w:val="auto"/>
                <w:highlight w:val="none"/>
                <w:u w:val="none"/>
              </w:rPr>
              <w:t>220千伏梨园变电站扩建第三台主变工程监理</w:t>
            </w:r>
          </w:p>
        </w:tc>
        <w:tc>
          <w:tcPr>
            <w:tcW w:w="1519" w:type="dxa"/>
            <w:noWrap w:val="0"/>
            <w:vAlign w:val="top"/>
          </w:tcPr>
          <w:p w14:paraId="7CCAB2E9">
            <w:pPr>
              <w:tabs>
                <w:tab w:val="left" w:pos="900"/>
              </w:tabs>
              <w:snapToGrid w:val="0"/>
              <w:spacing w:before="60" w:after="120"/>
              <w:ind w:right="-24"/>
              <w:jc w:val="center"/>
              <w:rPr>
                <w:rFonts w:hint="eastAsia" w:ascii="宋体" w:hAnsi="宋体" w:eastAsia="宋体" w:cs="宋体"/>
                <w:i w:val="0"/>
                <w:color w:val="auto"/>
                <w:kern w:val="0"/>
                <w:sz w:val="21"/>
                <w:szCs w:val="21"/>
                <w:u w:val="none"/>
                <w:lang w:val="en-US" w:eastAsia="zh-CN" w:bidi="ar"/>
              </w:rPr>
            </w:pPr>
          </w:p>
          <w:p w14:paraId="22BF3490">
            <w:pPr>
              <w:tabs>
                <w:tab w:val="left" w:pos="900"/>
              </w:tabs>
              <w:snapToGrid w:val="0"/>
              <w:spacing w:before="60" w:after="120"/>
              <w:ind w:right="-24"/>
              <w:jc w:val="center"/>
              <w:rPr>
                <w:rFonts w:ascii="宋体" w:hAnsi="宋体"/>
                <w:color w:val="auto"/>
                <w:highlight w:val="none"/>
              </w:rPr>
            </w:pPr>
            <w:r>
              <w:rPr>
                <w:rFonts w:hint="eastAsia" w:ascii="宋体" w:hAnsi="宋体" w:eastAsia="宋体" w:cs="宋体"/>
                <w:i w:val="0"/>
                <w:color w:val="auto"/>
                <w:kern w:val="0"/>
                <w:sz w:val="21"/>
                <w:szCs w:val="21"/>
                <w:u w:val="none"/>
                <w:lang w:val="en-US" w:eastAsia="zh-CN" w:bidi="ar"/>
              </w:rPr>
              <w:t>197141</w:t>
            </w:r>
            <w:r>
              <w:rPr>
                <w:rFonts w:hint="eastAsia" w:ascii="宋体" w:hAnsi="宋体" w:cs="宋体"/>
                <w:i w:val="0"/>
                <w:color w:val="auto"/>
                <w:kern w:val="0"/>
                <w:sz w:val="21"/>
                <w:szCs w:val="21"/>
                <w:u w:val="none"/>
                <w:lang w:val="en-US" w:eastAsia="zh-CN" w:bidi="ar"/>
              </w:rPr>
              <w:t>.</w:t>
            </w:r>
            <w:r>
              <w:rPr>
                <w:rFonts w:hint="eastAsia" w:ascii="宋体" w:hAnsi="宋体" w:eastAsia="宋体" w:cs="宋体"/>
                <w:i w:val="0"/>
                <w:color w:val="auto"/>
                <w:kern w:val="0"/>
                <w:sz w:val="21"/>
                <w:szCs w:val="21"/>
                <w:u w:val="none"/>
                <w:lang w:val="en-US" w:eastAsia="zh-CN" w:bidi="ar"/>
              </w:rPr>
              <w:t>64</w:t>
            </w:r>
          </w:p>
        </w:tc>
        <w:tc>
          <w:tcPr>
            <w:tcW w:w="1033" w:type="dxa"/>
            <w:vMerge w:val="restart"/>
            <w:tcBorders>
              <w:top w:val="single" w:color="auto" w:sz="4" w:space="0"/>
            </w:tcBorders>
            <w:noWrap w:val="0"/>
            <w:vAlign w:val="center"/>
          </w:tcPr>
          <w:p w14:paraId="58351262">
            <w:pPr>
              <w:tabs>
                <w:tab w:val="left" w:pos="900"/>
              </w:tabs>
              <w:snapToGrid w:val="0"/>
              <w:spacing w:before="60" w:after="120"/>
              <w:ind w:right="-24"/>
              <w:jc w:val="center"/>
              <w:rPr>
                <w:rFonts w:ascii="宋体" w:hAnsi="宋体"/>
                <w:color w:val="auto"/>
                <w:highlight w:val="none"/>
              </w:rPr>
            </w:pP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lang w:val="en-US" w:eastAsia="zh-CN"/>
              </w:rPr>
              <w:t>%</w:t>
            </w:r>
          </w:p>
        </w:tc>
        <w:tc>
          <w:tcPr>
            <w:tcW w:w="1559" w:type="dxa"/>
            <w:tcBorders>
              <w:top w:val="single" w:color="auto" w:sz="4" w:space="0"/>
            </w:tcBorders>
            <w:noWrap w:val="0"/>
            <w:vAlign w:val="top"/>
          </w:tcPr>
          <w:p w14:paraId="633AE1BC">
            <w:pPr>
              <w:tabs>
                <w:tab w:val="left" w:pos="900"/>
              </w:tabs>
              <w:snapToGrid w:val="0"/>
              <w:spacing w:before="60" w:after="120"/>
              <w:ind w:right="-24"/>
              <w:jc w:val="center"/>
              <w:rPr>
                <w:rFonts w:ascii="宋体" w:hAnsi="宋体"/>
                <w:color w:val="auto"/>
                <w:highlight w:val="none"/>
              </w:rPr>
            </w:pPr>
          </w:p>
        </w:tc>
        <w:tc>
          <w:tcPr>
            <w:tcW w:w="1134" w:type="dxa"/>
            <w:tcBorders>
              <w:top w:val="single" w:color="auto" w:sz="4" w:space="0"/>
              <w:bottom w:val="single" w:color="auto" w:sz="4" w:space="0"/>
            </w:tcBorders>
            <w:noWrap w:val="0"/>
            <w:vAlign w:val="center"/>
          </w:tcPr>
          <w:p w14:paraId="75F08811">
            <w:pPr>
              <w:tabs>
                <w:tab w:val="left" w:pos="900"/>
              </w:tabs>
              <w:snapToGrid w:val="0"/>
              <w:spacing w:before="60" w:after="120"/>
              <w:ind w:right="-24"/>
              <w:jc w:val="center"/>
              <w:rPr>
                <w:rFonts w:ascii="宋体" w:hAnsi="宋体"/>
                <w:color w:val="auto"/>
                <w:highlight w:val="none"/>
              </w:rPr>
            </w:pPr>
          </w:p>
        </w:tc>
      </w:tr>
      <w:tr w14:paraId="7B2B4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top w:val="single" w:color="auto" w:sz="4" w:space="0"/>
              <w:bottom w:val="single" w:color="auto" w:sz="4" w:space="0"/>
            </w:tcBorders>
            <w:noWrap w:val="0"/>
            <w:vAlign w:val="center"/>
          </w:tcPr>
          <w:p w14:paraId="2777716F">
            <w:pPr>
              <w:tabs>
                <w:tab w:val="left" w:pos="900"/>
              </w:tabs>
              <w:snapToGrid w:val="0"/>
              <w:spacing w:before="60" w:after="120"/>
              <w:ind w:right="-24"/>
              <w:jc w:val="center"/>
              <w:rPr>
                <w:rFonts w:hint="eastAsia" w:ascii="宋体" w:hAnsi="宋体"/>
                <w:color w:val="auto"/>
                <w:highlight w:val="none"/>
              </w:rPr>
            </w:pPr>
          </w:p>
        </w:tc>
        <w:tc>
          <w:tcPr>
            <w:tcW w:w="2242" w:type="dxa"/>
            <w:tcBorders>
              <w:top w:val="single" w:color="auto" w:sz="4" w:space="0"/>
              <w:bottom w:val="single" w:color="auto" w:sz="4" w:space="0"/>
            </w:tcBorders>
            <w:noWrap w:val="0"/>
            <w:vAlign w:val="center"/>
          </w:tcPr>
          <w:p w14:paraId="36224177">
            <w:pPr>
              <w:keepNext w:val="0"/>
              <w:keepLines w:val="0"/>
              <w:widowControl/>
              <w:suppressLineNumbers w:val="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cs="宋体"/>
                <w:color w:val="auto"/>
                <w:kern w:val="0"/>
                <w:szCs w:val="21"/>
                <w:highlight w:val="none"/>
                <w:u w:val="none"/>
                <w:lang w:bidi="ar"/>
              </w:rPr>
              <w:t>合计</w:t>
            </w:r>
          </w:p>
        </w:tc>
        <w:tc>
          <w:tcPr>
            <w:tcW w:w="1519" w:type="dxa"/>
            <w:noWrap w:val="0"/>
            <w:vAlign w:val="center"/>
          </w:tcPr>
          <w:p w14:paraId="144F6F3A">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197141</w:t>
            </w:r>
            <w:r>
              <w:rPr>
                <w:rFonts w:hint="eastAsia" w:ascii="宋体" w:hAnsi="宋体" w:cs="宋体"/>
                <w:i w:val="0"/>
                <w:color w:val="auto"/>
                <w:kern w:val="0"/>
                <w:sz w:val="21"/>
                <w:szCs w:val="21"/>
                <w:u w:val="none"/>
                <w:lang w:val="en-US" w:eastAsia="zh-CN" w:bidi="ar"/>
              </w:rPr>
              <w:t>.</w:t>
            </w:r>
            <w:r>
              <w:rPr>
                <w:rFonts w:hint="eastAsia" w:ascii="宋体" w:hAnsi="宋体" w:eastAsia="宋体" w:cs="宋体"/>
                <w:i w:val="0"/>
                <w:color w:val="auto"/>
                <w:kern w:val="0"/>
                <w:sz w:val="21"/>
                <w:szCs w:val="21"/>
                <w:u w:val="none"/>
                <w:lang w:val="en-US" w:eastAsia="zh-CN" w:bidi="ar"/>
              </w:rPr>
              <w:t>64</w:t>
            </w:r>
          </w:p>
        </w:tc>
        <w:tc>
          <w:tcPr>
            <w:tcW w:w="1033" w:type="dxa"/>
            <w:vMerge w:val="continue"/>
            <w:noWrap w:val="0"/>
            <w:vAlign w:val="center"/>
          </w:tcPr>
          <w:p w14:paraId="136BEA9D">
            <w:pPr>
              <w:tabs>
                <w:tab w:val="left" w:pos="900"/>
              </w:tabs>
              <w:snapToGrid w:val="0"/>
              <w:spacing w:before="60" w:after="120"/>
              <w:ind w:right="-24"/>
              <w:jc w:val="center"/>
              <w:rPr>
                <w:rFonts w:hint="eastAsia" w:ascii="宋体" w:hAnsi="宋体" w:cs="宋体"/>
                <w:color w:val="auto"/>
                <w:kern w:val="0"/>
                <w:szCs w:val="21"/>
                <w:highlight w:val="none"/>
                <w:u w:val="single"/>
                <w:lang w:val="en-US" w:eastAsia="zh-CN"/>
              </w:rPr>
            </w:pPr>
          </w:p>
        </w:tc>
        <w:tc>
          <w:tcPr>
            <w:tcW w:w="1559" w:type="dxa"/>
            <w:tcBorders>
              <w:top w:val="single" w:color="auto" w:sz="4" w:space="0"/>
            </w:tcBorders>
            <w:noWrap w:val="0"/>
            <w:vAlign w:val="top"/>
          </w:tcPr>
          <w:p w14:paraId="741D8E18">
            <w:pPr>
              <w:tabs>
                <w:tab w:val="left" w:pos="900"/>
              </w:tabs>
              <w:snapToGrid w:val="0"/>
              <w:spacing w:before="60" w:after="120"/>
              <w:ind w:right="-24"/>
              <w:jc w:val="center"/>
              <w:rPr>
                <w:rFonts w:ascii="宋体" w:hAnsi="宋体"/>
                <w:color w:val="auto"/>
                <w:highlight w:val="none"/>
              </w:rPr>
            </w:pPr>
          </w:p>
        </w:tc>
        <w:tc>
          <w:tcPr>
            <w:tcW w:w="1134" w:type="dxa"/>
            <w:tcBorders>
              <w:top w:val="single" w:color="auto" w:sz="4" w:space="0"/>
              <w:bottom w:val="single" w:color="auto" w:sz="4" w:space="0"/>
            </w:tcBorders>
            <w:noWrap w:val="0"/>
            <w:vAlign w:val="center"/>
          </w:tcPr>
          <w:p w14:paraId="22E5A740">
            <w:pPr>
              <w:tabs>
                <w:tab w:val="left" w:pos="900"/>
              </w:tabs>
              <w:snapToGrid w:val="0"/>
              <w:spacing w:before="60" w:after="120"/>
              <w:ind w:right="-24"/>
              <w:jc w:val="center"/>
              <w:rPr>
                <w:rFonts w:ascii="宋体" w:hAnsi="宋体"/>
                <w:color w:val="auto"/>
                <w:highlight w:val="none"/>
              </w:rPr>
            </w:pPr>
          </w:p>
        </w:tc>
      </w:tr>
    </w:tbl>
    <w:p w14:paraId="0218094C">
      <w:pPr>
        <w:rPr>
          <w:rFonts w:hint="eastAsia"/>
          <w:color w:val="auto"/>
          <w:highlight w:val="none"/>
          <w:lang w:val="en-US" w:eastAsia="zh-CN"/>
        </w:rPr>
      </w:pPr>
    </w:p>
    <w:p w14:paraId="447D7E7E">
      <w:pPr>
        <w:pStyle w:val="9"/>
        <w:rPr>
          <w:rFonts w:hint="eastAsia"/>
          <w:color w:val="auto"/>
          <w:highlight w:val="none"/>
          <w:lang w:val="en-US" w:eastAsia="zh-CN"/>
        </w:rPr>
      </w:pPr>
    </w:p>
    <w:p w14:paraId="05D6D479">
      <w:pPr>
        <w:pStyle w:val="9"/>
        <w:rPr>
          <w:rFonts w:hint="eastAsia"/>
          <w:color w:val="auto"/>
          <w:highlight w:val="none"/>
          <w:lang w:val="en-US" w:eastAsia="zh-CN"/>
        </w:rPr>
      </w:pPr>
    </w:p>
    <w:p w14:paraId="191D4284">
      <w:pPr>
        <w:pStyle w:val="9"/>
        <w:rPr>
          <w:rFonts w:hint="eastAsia"/>
          <w:color w:val="auto"/>
          <w:highlight w:val="none"/>
          <w:lang w:val="en-US" w:eastAsia="zh-CN"/>
        </w:rPr>
      </w:pPr>
    </w:p>
    <w:p w14:paraId="7D3D6B81">
      <w:pPr>
        <w:pStyle w:val="9"/>
        <w:rPr>
          <w:rFonts w:hint="eastAsia"/>
          <w:color w:val="auto"/>
          <w:highlight w:val="none"/>
          <w:lang w:val="en-US" w:eastAsia="zh-CN"/>
        </w:rPr>
      </w:pPr>
    </w:p>
    <w:p w14:paraId="64FE3BD6">
      <w:pPr>
        <w:pStyle w:val="9"/>
        <w:rPr>
          <w:rFonts w:hint="eastAsia"/>
          <w:color w:val="auto"/>
          <w:highlight w:val="none"/>
          <w:lang w:val="en-US" w:eastAsia="zh-CN"/>
        </w:rPr>
      </w:pPr>
    </w:p>
    <w:p w14:paraId="27E82E66">
      <w:pPr>
        <w:pStyle w:val="9"/>
        <w:rPr>
          <w:rFonts w:hint="eastAsia"/>
          <w:color w:val="auto"/>
          <w:highlight w:val="none"/>
          <w:lang w:val="en-US" w:eastAsia="zh-CN"/>
        </w:rPr>
      </w:pPr>
    </w:p>
    <w:p w14:paraId="7BDCFCF8">
      <w:pPr>
        <w:pStyle w:val="4"/>
        <w:rPr>
          <w:rFonts w:hint="eastAsia"/>
          <w:color w:val="auto"/>
          <w:highlight w:val="none"/>
          <w:lang w:val="en-US" w:eastAsia="zh-CN"/>
        </w:rPr>
      </w:pPr>
    </w:p>
    <w:p w14:paraId="6A47EB85">
      <w:pPr>
        <w:rPr>
          <w:rFonts w:hint="eastAsia"/>
          <w:color w:val="auto"/>
          <w:highlight w:val="none"/>
          <w:lang w:val="en-US" w:eastAsia="zh-CN"/>
        </w:rPr>
      </w:pPr>
    </w:p>
    <w:p w14:paraId="4608D3CC">
      <w:pPr>
        <w:pStyle w:val="3"/>
        <w:ind w:firstLine="240" w:firstLineChars="100"/>
        <w:rPr>
          <w:rFonts w:hint="eastAsia" w:ascii="宋体" w:hAnsi="宋体" w:eastAsia="宋体" w:cs="宋体"/>
          <w:color w:val="auto"/>
          <w:kern w:val="2"/>
          <w:sz w:val="24"/>
          <w:szCs w:val="24"/>
          <w:highlight w:val="none"/>
          <w:u w:val="none"/>
          <w:lang w:val="en-US" w:eastAsia="zh-CN" w:bidi="ar-SA"/>
        </w:rPr>
      </w:pPr>
      <w:bookmarkStart w:id="8" w:name="_GoBack"/>
      <w:r>
        <w:rPr>
          <w:rFonts w:hint="eastAsia" w:ascii="宋体" w:hAnsi="宋体" w:eastAsia="宋体" w:cs="宋体"/>
          <w:color w:val="auto"/>
          <w:kern w:val="2"/>
          <w:sz w:val="24"/>
          <w:szCs w:val="24"/>
          <w:highlight w:val="none"/>
          <w:u w:val="none"/>
          <w:lang w:val="en-US" w:eastAsia="zh-CN" w:bidi="ar-SA"/>
        </w:rPr>
        <w:t>报价要求：</w:t>
      </w:r>
    </w:p>
    <w:p w14:paraId="7EEA5D28">
      <w:pPr>
        <w:pStyle w:val="5"/>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Chars="0" w:firstLine="440" w:firstLineChars="200"/>
        <w:textAlignment w:val="auto"/>
        <w:outlineLvl w:val="1"/>
        <w:rPr>
          <w:rStyle w:val="16"/>
          <w:b w:val="0"/>
          <w:bCs/>
          <w:i w:val="0"/>
          <w:iCs/>
          <w:color w:val="auto"/>
          <w:u w:val="single"/>
          <w:lang w:val="en-US" w:eastAsia="zh-CN" w:bidi="ar"/>
        </w:rPr>
      </w:pPr>
      <w:r>
        <w:rPr>
          <w:rStyle w:val="16"/>
          <w:b w:val="0"/>
          <w:bCs/>
          <w:i w:val="0"/>
          <w:iCs/>
          <w:color w:val="auto"/>
          <w:u w:val="single"/>
          <w:lang w:val="en-US" w:eastAsia="zh-CN" w:bidi="ar"/>
        </w:rPr>
        <w:t>（1）按下浮率报价（保留两位小数，如8.88%），同时填报投标报价（投标报价=最高投标限价*（1-投标下浮率），四舍五入保留两位小数）。当投标报价与投标下浮率计算结果不一致时，以投标下浮率为准，按上述公式修订投标报价。</w:t>
      </w:r>
      <w:r>
        <w:rPr>
          <w:rStyle w:val="16"/>
          <w:b w:val="0"/>
          <w:bCs/>
          <w:i w:val="0"/>
          <w:iCs/>
          <w:color w:val="auto"/>
          <w:u w:val="single"/>
          <w:lang w:val="en-US" w:eastAsia="zh-CN" w:bidi="ar"/>
        </w:rPr>
        <w:br w:type="textWrapping"/>
      </w:r>
      <w:r>
        <w:rPr>
          <w:rStyle w:val="16"/>
          <w:b w:val="0"/>
          <w:bCs/>
          <w:i w:val="0"/>
          <w:iCs/>
          <w:color w:val="auto"/>
          <w:u w:val="none"/>
          <w:lang w:val="en-US" w:eastAsia="zh-CN" w:bidi="ar"/>
        </w:rPr>
        <w:t xml:space="preserve"> </w:t>
      </w:r>
      <w:r>
        <w:rPr>
          <w:rStyle w:val="16"/>
          <w:rFonts w:hint="eastAsia"/>
          <w:b w:val="0"/>
          <w:bCs/>
          <w:i w:val="0"/>
          <w:iCs/>
          <w:color w:val="auto"/>
          <w:u w:val="none"/>
          <w:lang w:val="en-US" w:eastAsia="zh-CN" w:bidi="ar"/>
        </w:rPr>
        <w:t xml:space="preserve">  </w:t>
      </w:r>
      <w:r>
        <w:rPr>
          <w:rStyle w:val="16"/>
          <w:b w:val="0"/>
          <w:bCs/>
          <w:i w:val="0"/>
          <w:iCs/>
          <w:color w:val="auto"/>
          <w:u w:val="none"/>
          <w:lang w:val="en-US" w:eastAsia="zh-CN" w:bidi="ar"/>
        </w:rPr>
        <w:t xml:space="preserve"> </w:t>
      </w:r>
      <w:r>
        <w:rPr>
          <w:rStyle w:val="16"/>
          <w:b w:val="0"/>
          <w:bCs/>
          <w:i w:val="0"/>
          <w:iCs/>
          <w:color w:val="auto"/>
          <w:u w:val="single"/>
          <w:lang w:val="en-US" w:eastAsia="zh-CN" w:bidi="ar"/>
        </w:rPr>
        <w:t xml:space="preserve">（2）投标下浮率不低于0%为有效报价；当投标下浮率＞10%时应附成本分析报告，充分说明单价和费用的组成、降低成本的合理措施及在其他工程中应用过的经验等，经评审通过后方可视为有效报价。 </w:t>
      </w:r>
    </w:p>
    <w:p w14:paraId="7AABC14F">
      <w:pPr>
        <w:pStyle w:val="5"/>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Chars="0" w:firstLine="440" w:firstLineChars="200"/>
        <w:textAlignment w:val="auto"/>
        <w:outlineLvl w:val="1"/>
        <w:rPr>
          <w:rStyle w:val="16"/>
          <w:color w:val="auto"/>
          <w:lang w:val="en-US" w:eastAsia="zh-CN" w:bidi="ar"/>
        </w:rPr>
      </w:pPr>
      <w:r>
        <w:rPr>
          <w:rStyle w:val="16"/>
          <w:rFonts w:hint="eastAsia" w:ascii="宋体" w:hAnsi="宋体" w:eastAsia="宋体" w:cs="宋体"/>
          <w:b w:val="0"/>
          <w:bCs/>
          <w:i w:val="0"/>
          <w:iCs/>
          <w:color w:val="auto"/>
          <w:u w:val="single"/>
          <w:lang w:val="en-US" w:eastAsia="zh-CN" w:bidi="ar"/>
        </w:rPr>
        <w:t>（3）价格分计算时，投标人评标价按（100-投标人填写的下浮数值）参与计算。如：下浮率为1.88％时，评标价按（100-1.88）参与计算。</w:t>
      </w:r>
      <w:bookmarkEnd w:id="8"/>
      <w:r>
        <w:rPr>
          <w:rStyle w:val="16"/>
          <w:color w:val="auto"/>
          <w:lang w:val="en-US" w:eastAsia="zh-CN" w:bidi="ar"/>
        </w:rPr>
        <w:t xml:space="preserve">              </w:t>
      </w:r>
    </w:p>
    <w:p w14:paraId="78B7512D">
      <w:pPr>
        <w:pStyle w:val="5"/>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textAlignment w:val="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四、结算方式</w:t>
      </w:r>
    </w:p>
    <w:p w14:paraId="4A483258">
      <w:pPr>
        <w:pStyle w:val="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最终合同结算价为：（与合同范围对应的审定初步设计概算监理费+ 初设概算监理计费范围以外的监理工作费用）×（1-投标下浮率）±合同内约定且实际发生的相关奖罚费用 + 招标代理服务费。</w:t>
      </w:r>
    </w:p>
    <w:p w14:paraId="63167BD5">
      <w:pPr>
        <w:pStyle w:val="8"/>
        <w:spacing w:line="360" w:lineRule="auto"/>
        <w:ind w:left="0" w:leftChars="0" w:firstLine="0" w:firstLineChars="0"/>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其中：</w:t>
      </w:r>
    </w:p>
    <w:p w14:paraId="05EEF923">
      <w:pPr>
        <w:pStyle w:val="8"/>
        <w:spacing w:line="360" w:lineRule="auto"/>
        <w:ind w:left="0" w:leftChars="0" w:firstLine="0" w:firstLineChars="0"/>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1）与合同范围对应的审定初步设计概算监理费：须与中标单位在本项目中参与的项目实施阶段对应，结算时由业主项目部进行复核确认。如中标单位未参与勘察设计阶段的监理工作，需扣除13%的监理费；如中标单位参与勘察设计阶段的监理工作，则按其所参与的阶段分别计取：勘察阶段按3%，初步设计阶段按4%、施工图设计阶段按6%。</w:t>
      </w:r>
    </w:p>
    <w:p w14:paraId="48459C14">
      <w:pPr>
        <w:pStyle w:val="8"/>
        <w:spacing w:line="360" w:lineRule="auto"/>
        <w:ind w:left="0" w:leftChars="0" w:firstLine="480" w:firstLineChars="200"/>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因规模变化需要调整可研、初设、施工图的，结算价按调整后批复的初设概算对应参与阶段的监理费用×（1-投标下浮率）进行结算。</w:t>
      </w:r>
    </w:p>
    <w:p w14:paraId="2F0559F5">
      <w:pPr>
        <w:pStyle w:val="8"/>
        <w:spacing w:line="360" w:lineRule="auto"/>
        <w:ind w:left="0" w:leftChars="0" w:firstLine="0" w:firstLineChars="0"/>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2）“初设概算监理计费范围以外的监理工作”包括但不限于：监理单位对路面修复（含市政路面、公路等）、交通疏解、跨（穿）越铁路/公路、管线迁移、绿化迁移等各项取费基数不包含在初设概算监理费计费基数中的非本体工程的监理见证工作。其监理费用取费基数为初设概算监理计费范围以外实际发生、且经由监理人见证确认部分的工程费用，该工程费用以业主项目部或第三方审核机构审定的为准；取费费率按照《关于落实《国家发展改革委关于进一步放开建设项目专业服务价格的通知》(发改价格[2015]299号)的指导意见（中电联定额[2015]162号文）》相关规定执行，不足部分参照相关行业费用计算规定执行。项目实施过程中如有最新规定，按新的政策性文件执行。</w:t>
      </w:r>
    </w:p>
    <w:p w14:paraId="094BB01D">
      <w:pPr>
        <w:pStyle w:val="8"/>
        <w:spacing w:line="360" w:lineRule="auto"/>
        <w:ind w:left="0" w:leftChars="0" w:firstLine="0" w:firstLineChars="0"/>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（3）招标代理服务费按实际支付给招标代理的费用为准，监理人可在预付款申请或进度款申请时同时申请支付。</w:t>
      </w:r>
    </w:p>
    <w:p w14:paraId="4506DDC0">
      <w:pPr>
        <w:pStyle w:val="10"/>
        <w:jc w:val="left"/>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（4）投标下浮率（%）＝（1-投标报价/最高投标限价）×100%</w:t>
      </w:r>
      <w:r>
        <w:rPr>
          <w:rFonts w:hint="eastAsia" w:ascii="宋体" w:hAnsi="宋体" w:eastAsia="宋体" w:cs="宋体"/>
          <w:color w:val="auto"/>
          <w:kern w:val="2"/>
          <w:sz w:val="24"/>
          <w:szCs w:val="24"/>
          <w:highlight w:val="none"/>
          <w:u w:val="single"/>
          <w:lang w:val="en-US" w:eastAsia="zh-CN" w:bidi="ar-SA"/>
        </w:rPr>
        <w:t xml:space="preserve">  </w:t>
      </w:r>
    </w:p>
    <w:p w14:paraId="2643B06A">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textAlignment w:val="auto"/>
        <w:rPr>
          <w:rFonts w:hint="default"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五、分包要求</w:t>
      </w:r>
    </w:p>
    <w:p w14:paraId="0B1C4EAC">
      <w:pPr>
        <w:pStyle w:val="2"/>
        <w:numPr>
          <w:ilvl w:val="0"/>
          <w:numId w:val="0"/>
        </w:numPr>
        <w:rPr>
          <w:rFonts w:hint="eastAsia"/>
          <w:color w:val="auto"/>
          <w:sz w:val="24"/>
          <w:szCs w:val="24"/>
          <w:highlight w:val="none"/>
          <w:lang w:eastAsia="zh-CN"/>
        </w:rPr>
      </w:pPr>
      <w:r>
        <w:rPr>
          <w:rFonts w:hint="default" w:ascii="Wingdings" w:hAnsi="Wingdings" w:cs="Wingdings"/>
          <w:color w:val="auto"/>
          <w:sz w:val="24"/>
          <w:szCs w:val="24"/>
          <w:highlight w:val="none"/>
        </w:rPr>
        <w:sym w:font="Wingdings" w:char="00FE"/>
      </w:r>
      <w:r>
        <w:rPr>
          <w:rFonts w:hint="eastAsia"/>
          <w:color w:val="auto"/>
          <w:sz w:val="24"/>
          <w:szCs w:val="24"/>
          <w:highlight w:val="none"/>
          <w:lang w:eastAsia="zh-CN"/>
        </w:rPr>
        <w:t>不允许分包</w:t>
      </w:r>
    </w:p>
    <w:p w14:paraId="2558E3EF">
      <w:pPr>
        <w:pStyle w:val="2"/>
        <w:numPr>
          <w:ilvl w:val="0"/>
          <w:numId w:val="0"/>
        </w:numPr>
        <w:rPr>
          <w:rFonts w:hint="eastAsia"/>
          <w:color w:val="auto"/>
          <w:sz w:val="24"/>
          <w:szCs w:val="24"/>
          <w:highlight w:val="none"/>
          <w:lang w:eastAsia="zh-CN"/>
        </w:rPr>
      </w:pPr>
      <w:r>
        <w:rPr>
          <w:rFonts w:hint="default" w:ascii="Wingdings" w:hAnsi="Wingdings" w:cs="Wingdings"/>
          <w:color w:val="auto"/>
          <w:sz w:val="24"/>
          <w:szCs w:val="24"/>
          <w:highlight w:val="none"/>
          <w:lang w:eastAsia="zh-CN"/>
        </w:rPr>
        <w:sym w:font="Wingdings" w:char="00A8"/>
      </w:r>
      <w:r>
        <w:rPr>
          <w:rFonts w:hint="eastAsia"/>
          <w:color w:val="auto"/>
          <w:sz w:val="24"/>
          <w:szCs w:val="24"/>
          <w:highlight w:val="none"/>
          <w:lang w:eastAsia="zh-CN"/>
        </w:rPr>
        <w:t>允许分包，但必须符合以下要求：</w:t>
      </w:r>
    </w:p>
    <w:p w14:paraId="2D1531F0">
      <w:pPr>
        <w:pStyle w:val="10"/>
        <w:jc w:val="left"/>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 xml:space="preserve">                                      /                                     </w:t>
      </w:r>
    </w:p>
    <w:p w14:paraId="64C1E795">
      <w:pPr>
        <w:rPr>
          <w:rFonts w:hint="eastAsia" w:ascii="宋体" w:hAnsi="宋体" w:eastAsia="宋体" w:cs="宋体"/>
          <w:color w:val="auto"/>
          <w:kern w:val="2"/>
          <w:sz w:val="24"/>
          <w:szCs w:val="24"/>
          <w:highlight w:val="none"/>
          <w:u w:val="single"/>
          <w:lang w:val="en-US" w:eastAsia="zh-CN" w:bidi="ar-SA"/>
        </w:rPr>
      </w:pPr>
    </w:p>
    <w:p w14:paraId="73503C69">
      <w:pPr>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br w:type="page"/>
      </w:r>
    </w:p>
    <w:p w14:paraId="516FFC13">
      <w:pPr>
        <w:pStyle w:val="9"/>
        <w:keepNext w:val="0"/>
        <w:keepLines w:val="0"/>
        <w:pageBreakBefore w:val="0"/>
        <w:widowControl w:val="0"/>
        <w:numPr>
          <w:ilvl w:val="0"/>
          <w:numId w:val="2"/>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技术标准、要求及图纸（对应招标文件 第五章）</w:t>
      </w:r>
    </w:p>
    <w:p w14:paraId="43ED8F4B">
      <w:pPr>
        <w:pStyle w:val="5"/>
        <w:spacing w:before="0" w:after="0" w:line="240" w:lineRule="auto"/>
        <w:rPr>
          <w:rFonts w:hint="eastAsia" w:asciiTheme="minorEastAsia" w:hAnsiTheme="minorEastAsia" w:eastAsiaTheme="minorEastAsia" w:cstheme="minorEastAsia"/>
          <w:i w:val="0"/>
          <w:iCs/>
          <w:color w:val="auto"/>
          <w:sz w:val="24"/>
          <w:szCs w:val="24"/>
          <w:highlight w:val="none"/>
        </w:rPr>
      </w:pPr>
      <w:bookmarkStart w:id="1" w:name="_Toc508286565"/>
      <w:r>
        <w:rPr>
          <w:rFonts w:hint="eastAsia" w:asciiTheme="minorEastAsia" w:hAnsiTheme="minorEastAsia" w:eastAsiaTheme="minorEastAsia" w:cstheme="minorEastAsia"/>
          <w:i w:val="0"/>
          <w:iCs/>
          <w:color w:val="auto"/>
          <w:sz w:val="24"/>
          <w:szCs w:val="24"/>
          <w:highlight w:val="none"/>
          <w:lang w:eastAsia="zh-CN"/>
        </w:rPr>
        <w:t>一、</w:t>
      </w:r>
      <w:r>
        <w:rPr>
          <w:rFonts w:hint="eastAsia" w:asciiTheme="minorEastAsia" w:hAnsiTheme="minorEastAsia" w:eastAsiaTheme="minorEastAsia" w:cstheme="minorEastAsia"/>
          <w:i w:val="0"/>
          <w:iCs/>
          <w:color w:val="auto"/>
          <w:sz w:val="24"/>
          <w:szCs w:val="24"/>
          <w:highlight w:val="none"/>
        </w:rPr>
        <w:t xml:space="preserve"> 管理规范和技术（规范）标准（</w:t>
      </w:r>
      <w:r>
        <w:rPr>
          <w:rFonts w:hint="eastAsia" w:asciiTheme="minorEastAsia" w:hAnsiTheme="minorEastAsia" w:eastAsiaTheme="minorEastAsia" w:cstheme="minorEastAsia"/>
          <w:i w:val="0"/>
          <w:iCs/>
          <w:color w:val="auto"/>
          <w:sz w:val="24"/>
          <w:szCs w:val="24"/>
          <w:highlight w:val="none"/>
          <w:lang w:eastAsia="zh-CN"/>
        </w:rPr>
        <w:t>详见</w:t>
      </w:r>
      <w:r>
        <w:rPr>
          <w:rFonts w:hint="eastAsia" w:asciiTheme="minorEastAsia" w:hAnsiTheme="minorEastAsia" w:eastAsiaTheme="minorEastAsia" w:cstheme="minorEastAsia"/>
          <w:i w:val="0"/>
          <w:iCs/>
          <w:color w:val="auto"/>
          <w:sz w:val="24"/>
          <w:szCs w:val="24"/>
          <w:highlight w:val="none"/>
        </w:rPr>
        <w:t>合同附件）</w:t>
      </w:r>
      <w:bookmarkEnd w:id="1"/>
    </w:p>
    <w:p w14:paraId="5472EB01">
      <w:pPr>
        <w:pStyle w:val="9"/>
        <w:rPr>
          <w:rFonts w:hint="eastAsia" w:asciiTheme="minorEastAsia" w:hAnsiTheme="minorEastAsia" w:eastAsiaTheme="minorEastAsia" w:cstheme="minorEastAsia"/>
          <w:i w:val="0"/>
          <w:iCs/>
          <w:color w:val="auto"/>
          <w:sz w:val="24"/>
          <w:szCs w:val="24"/>
          <w:highlight w:val="none"/>
        </w:rPr>
      </w:pPr>
    </w:p>
    <w:p w14:paraId="518CF082">
      <w:pPr>
        <w:pStyle w:val="5"/>
        <w:spacing w:before="0" w:after="0" w:line="240" w:lineRule="auto"/>
        <w:rPr>
          <w:rFonts w:hint="eastAsia" w:asciiTheme="minorEastAsia" w:hAnsiTheme="minorEastAsia" w:eastAsiaTheme="minorEastAsia" w:cstheme="minorEastAsia"/>
          <w:i w:val="0"/>
          <w:iCs/>
          <w:color w:val="auto"/>
          <w:sz w:val="24"/>
          <w:szCs w:val="24"/>
          <w:highlight w:val="none"/>
        </w:rPr>
      </w:pPr>
      <w:bookmarkStart w:id="2" w:name="_Toc508286566"/>
      <w:r>
        <w:rPr>
          <w:rFonts w:hint="eastAsia" w:asciiTheme="minorEastAsia" w:hAnsiTheme="minorEastAsia" w:eastAsiaTheme="minorEastAsia" w:cstheme="minorEastAsia"/>
          <w:i w:val="0"/>
          <w:iCs/>
          <w:color w:val="auto"/>
          <w:sz w:val="24"/>
          <w:szCs w:val="24"/>
          <w:highlight w:val="none"/>
          <w:lang w:eastAsia="zh-CN"/>
        </w:rPr>
        <w:t>二、</w:t>
      </w:r>
      <w:r>
        <w:rPr>
          <w:rFonts w:hint="eastAsia" w:asciiTheme="minorEastAsia" w:hAnsiTheme="minorEastAsia" w:eastAsiaTheme="minorEastAsia" w:cstheme="minorEastAsia"/>
          <w:i w:val="0"/>
          <w:iCs/>
          <w:color w:val="auto"/>
          <w:sz w:val="24"/>
          <w:szCs w:val="24"/>
          <w:highlight w:val="none"/>
        </w:rPr>
        <w:t>技术</w:t>
      </w:r>
      <w:r>
        <w:rPr>
          <w:rFonts w:hint="eastAsia" w:asciiTheme="minorEastAsia" w:hAnsiTheme="minorEastAsia" w:eastAsiaTheme="minorEastAsia" w:cstheme="minorEastAsia"/>
          <w:i w:val="0"/>
          <w:iCs/>
          <w:color w:val="auto"/>
          <w:sz w:val="24"/>
          <w:szCs w:val="24"/>
          <w:highlight w:val="none"/>
          <w:lang w:val="en-US" w:eastAsia="zh-CN"/>
        </w:rPr>
        <w:t>及管理</w:t>
      </w:r>
      <w:r>
        <w:rPr>
          <w:rFonts w:hint="eastAsia" w:asciiTheme="minorEastAsia" w:hAnsiTheme="minorEastAsia" w:eastAsiaTheme="minorEastAsia" w:cstheme="minorEastAsia"/>
          <w:i w:val="0"/>
          <w:iCs/>
          <w:color w:val="auto"/>
          <w:sz w:val="24"/>
          <w:szCs w:val="24"/>
          <w:highlight w:val="none"/>
        </w:rPr>
        <w:t>要求</w:t>
      </w:r>
      <w:bookmarkEnd w:id="2"/>
    </w:p>
    <w:p w14:paraId="14499426">
      <w:pPr>
        <w:autoSpaceDE w:val="0"/>
        <w:autoSpaceDN w:val="0"/>
        <w:adjustRightInd w:val="0"/>
        <w:rPr>
          <w:rFonts w:hint="eastAsia" w:asciiTheme="minorEastAsia" w:hAnsiTheme="minorEastAsia" w:eastAsiaTheme="minorEastAsia" w:cstheme="minorEastAsia"/>
          <w:i w:val="0"/>
          <w:iCs/>
          <w:color w:val="auto"/>
          <w:kern w:val="0"/>
          <w:sz w:val="24"/>
          <w:szCs w:val="24"/>
          <w:highlight w:val="none"/>
          <w:lang w:val="zh-CN"/>
        </w:rPr>
      </w:pPr>
      <w:r>
        <w:rPr>
          <w:rFonts w:hint="eastAsia" w:asciiTheme="minorEastAsia" w:hAnsiTheme="minorEastAsia" w:eastAsiaTheme="minorEastAsia" w:cstheme="minorEastAsia"/>
          <w:i w:val="0"/>
          <w:iCs/>
          <w:color w:val="auto"/>
          <w:kern w:val="0"/>
          <w:sz w:val="24"/>
          <w:szCs w:val="24"/>
          <w:highlight w:val="none"/>
          <w:lang w:val="zh-CN"/>
        </w:rPr>
        <w:t>（一）满足中国南方电网有限责任公司《监理项目部工作手册》、中国南方电网有限责任公司基建管理制度、建设单位的质量、环境和职业健康安全管理体系文件、其他有关制度和规定。</w:t>
      </w:r>
    </w:p>
    <w:p w14:paraId="5E47B574">
      <w:pPr>
        <w:pStyle w:val="5"/>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i w:val="0"/>
          <w:iCs/>
          <w:color w:val="auto"/>
          <w:kern w:val="0"/>
          <w:sz w:val="24"/>
          <w:szCs w:val="24"/>
          <w:highlight w:val="none"/>
          <w:lang w:val="zh-CN"/>
        </w:rPr>
      </w:pPr>
      <w:r>
        <w:rPr>
          <w:rFonts w:hint="eastAsia" w:asciiTheme="minorEastAsia" w:hAnsiTheme="minorEastAsia" w:eastAsiaTheme="minorEastAsia" w:cstheme="minorEastAsia"/>
          <w:b w:val="0"/>
          <w:bCs/>
          <w:i w:val="0"/>
          <w:iCs/>
          <w:color w:val="auto"/>
          <w:kern w:val="0"/>
          <w:sz w:val="24"/>
          <w:szCs w:val="24"/>
          <w:highlight w:val="none"/>
          <w:lang w:val="zh-CN"/>
        </w:rPr>
        <w:t>（二）符合图纸及技术文件的要求。</w:t>
      </w:r>
    </w:p>
    <w:p w14:paraId="723E5034">
      <w:pPr>
        <w:pStyle w:val="5"/>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val="0"/>
          <w:i w:val="0"/>
          <w:color w:val="auto"/>
          <w:kern w:val="2"/>
          <w:sz w:val="24"/>
          <w:szCs w:val="24"/>
          <w:highlight w:val="none"/>
          <w:lang w:val="en-US" w:eastAsia="zh-CN" w:bidi="ar-SA"/>
        </w:rPr>
      </w:pPr>
      <w:r>
        <w:rPr>
          <w:rFonts w:hint="eastAsia" w:asciiTheme="minorEastAsia" w:hAnsiTheme="minorEastAsia" w:eastAsiaTheme="minorEastAsia" w:cstheme="minorEastAsia"/>
          <w:b w:val="0"/>
          <w:bCs w:val="0"/>
          <w:i w:val="0"/>
          <w:color w:val="auto"/>
          <w:kern w:val="2"/>
          <w:sz w:val="24"/>
          <w:szCs w:val="24"/>
          <w:highlight w:val="none"/>
          <w:lang w:val="en-US" w:eastAsia="zh-CN" w:bidi="ar-SA"/>
        </w:rPr>
        <w:t>（三）严格执行以下管理要求：</w:t>
      </w:r>
    </w:p>
    <w:p w14:paraId="077A35EB">
      <w:pPr>
        <w:pStyle w:val="9"/>
        <w:numPr>
          <w:ilvl w:val="0"/>
          <w:numId w:val="0"/>
        </w:numPr>
        <w:rPr>
          <w:rFonts w:hint="eastAsia" w:hAnsi="宋体"/>
          <w:b w:val="0"/>
          <w:bCs w:val="0"/>
          <w:color w:val="auto"/>
          <w:sz w:val="24"/>
          <w:szCs w:val="24"/>
          <w:highlight w:val="none"/>
          <w:u w:val="none"/>
        </w:rPr>
      </w:pPr>
      <w:r>
        <w:rPr>
          <w:rFonts w:hint="eastAsia" w:hAnsi="宋体"/>
          <w:b w:val="0"/>
          <w:bCs w:val="0"/>
          <w:color w:val="auto"/>
          <w:sz w:val="24"/>
          <w:szCs w:val="24"/>
          <w:highlight w:val="none"/>
          <w:u w:val="none"/>
          <w:lang w:val="en-US" w:eastAsia="zh-CN"/>
        </w:rPr>
        <w:t>1、</w:t>
      </w:r>
      <w:r>
        <w:rPr>
          <w:rFonts w:hint="eastAsia" w:hAnsi="宋体"/>
          <w:b w:val="0"/>
          <w:bCs w:val="0"/>
          <w:color w:val="auto"/>
          <w:sz w:val="24"/>
          <w:szCs w:val="24"/>
          <w:highlight w:val="none"/>
          <w:u w:val="none"/>
        </w:rPr>
        <w:t>严格执行</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保障中小企业款项支付条例</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（中华人民共和国国务院令 第728号）</w:t>
      </w:r>
      <w:r>
        <w:rPr>
          <w:rFonts w:hint="eastAsia" w:hAnsi="宋体"/>
          <w:b w:val="0"/>
          <w:bCs w:val="0"/>
          <w:color w:val="auto"/>
          <w:sz w:val="24"/>
          <w:szCs w:val="24"/>
          <w:highlight w:val="none"/>
          <w:u w:val="none"/>
          <w:lang w:eastAsia="zh-CN"/>
        </w:rPr>
        <w:t>相关要求，确保</w:t>
      </w:r>
      <w:r>
        <w:rPr>
          <w:rFonts w:hint="eastAsia" w:ascii="宋体"/>
          <w:color w:val="auto"/>
          <w:sz w:val="24"/>
          <w:szCs w:val="24"/>
          <w:highlight w:val="none"/>
          <w:u w:val="none"/>
          <w:lang w:eastAsia="zh-CN"/>
        </w:rPr>
        <w:t>款项支付依法合规</w:t>
      </w:r>
      <w:r>
        <w:rPr>
          <w:rFonts w:hint="eastAsia"/>
          <w:color w:val="auto"/>
          <w:sz w:val="24"/>
          <w:szCs w:val="24"/>
          <w:highlight w:val="none"/>
          <w:u w:val="none"/>
          <w:lang w:eastAsia="zh-CN"/>
        </w:rPr>
        <w:t>。</w:t>
      </w:r>
    </w:p>
    <w:p w14:paraId="14A6633B">
      <w:pPr>
        <w:pStyle w:val="9"/>
        <w:numPr>
          <w:ilvl w:val="0"/>
          <w:numId w:val="3"/>
        </w:numPr>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按照公司要求使用资产管理信息系统及南网基建移动应用，若违反使用要求，按照南网基建承包商处罚条款进行扣分。</w:t>
      </w:r>
    </w:p>
    <w:p w14:paraId="23A2D654">
      <w:pPr>
        <w:pStyle w:val="9"/>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持续推进基建安风体系认证工作，严格执行“四步法”、“八步骤”、“7S”管理，规范PPE（人工防护用品）管理，形成施工现场安全管理文化。</w:t>
      </w:r>
    </w:p>
    <w:p w14:paraId="54DC4A16">
      <w:pPr>
        <w:pStyle w:val="9"/>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服从《南方电网公司基建承包商违章处罚条款》的日常检查及处罚、服从各建设单位安全违章处罚、服从各建设单位安全整顿及安全学习等各项安全管理指令。</w:t>
      </w:r>
    </w:p>
    <w:p w14:paraId="7E76D158">
      <w:pPr>
        <w:pStyle w:val="9"/>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遵守国家、电力行业、公司持证上岗相关要求。</w:t>
      </w:r>
    </w:p>
    <w:p w14:paraId="2FD9A9EA">
      <w:pPr>
        <w:pStyle w:val="9"/>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自愿参加南方电网公司基建承包商登记建档并服从承包商管理相关规定。</w:t>
      </w:r>
    </w:p>
    <w:p w14:paraId="1BDB0EE4">
      <w:pPr>
        <w:pStyle w:val="9"/>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严格执行南网“八不准”。</w:t>
      </w:r>
    </w:p>
    <w:p w14:paraId="36D8D2ED">
      <w:pPr>
        <w:pStyle w:val="9"/>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深化WHS、施工作业指导书和验评标准的现场应用。</w:t>
      </w:r>
    </w:p>
    <w:p w14:paraId="467D4C98">
      <w:pPr>
        <w:pStyle w:val="9"/>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完善基建项目缺陷管理制度、表单，所有项目均严格实行缺陷填报。</w:t>
      </w:r>
    </w:p>
    <w:p w14:paraId="50686B7D">
      <w:pPr>
        <w:pStyle w:val="9"/>
        <w:numPr>
          <w:ilvl w:val="0"/>
          <w:numId w:val="3"/>
        </w:numPr>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hAnsi="宋体"/>
          <w:color w:val="auto"/>
          <w:sz w:val="24"/>
          <w:szCs w:val="24"/>
          <w:highlight w:val="none"/>
          <w:u w:val="none"/>
        </w:rPr>
        <w:t>积极配合执行各建设单位开展的信息化管理项目、新技术、新工艺开发应用。</w:t>
      </w:r>
    </w:p>
    <w:p w14:paraId="473B2157">
      <w:pPr>
        <w:pStyle w:val="5"/>
        <w:keepNext w:val="0"/>
        <w:keepLines w:val="0"/>
        <w:pageBreakBefore w:val="0"/>
        <w:widowControl w:val="0"/>
        <w:shd w:val="clear" w:color="auto" w:fill="auto"/>
        <w:kinsoku/>
        <w:wordWrap/>
        <w:overflowPunct/>
        <w:topLinePunct w:val="0"/>
        <w:autoSpaceDE w:val="0"/>
        <w:autoSpaceDN w:val="0"/>
        <w:bidi w:val="0"/>
        <w:adjustRightInd w:val="0"/>
        <w:snapToGrid/>
        <w:spacing w:before="157" w:beforeLines="50" w:after="157" w:afterLines="50" w:line="240" w:lineRule="auto"/>
        <w:textAlignment w:val="auto"/>
        <w:rPr>
          <w:rFonts w:hint="eastAsia" w:asciiTheme="minorEastAsia" w:hAnsiTheme="minorEastAsia" w:eastAsiaTheme="minorEastAsia" w:cstheme="minorEastAsia"/>
          <w:i w:val="0"/>
          <w:iCs/>
          <w:color w:val="auto"/>
          <w:sz w:val="24"/>
          <w:szCs w:val="24"/>
          <w:highlight w:val="none"/>
          <w:lang w:eastAsia="zh-CN"/>
        </w:rPr>
      </w:pPr>
      <w:bookmarkStart w:id="3" w:name="_Toc482188640"/>
      <w:bookmarkStart w:id="4" w:name="_Toc11396"/>
      <w:r>
        <w:rPr>
          <w:rFonts w:hint="eastAsia" w:asciiTheme="minorEastAsia" w:hAnsiTheme="minorEastAsia" w:eastAsiaTheme="minorEastAsia" w:cstheme="minorEastAsia"/>
          <w:i w:val="0"/>
          <w:iCs/>
          <w:color w:val="auto"/>
          <w:sz w:val="24"/>
          <w:szCs w:val="24"/>
          <w:highlight w:val="none"/>
          <w:lang w:eastAsia="zh-CN"/>
        </w:rPr>
        <w:t>三、</w:t>
      </w:r>
      <w:bookmarkEnd w:id="3"/>
      <w:r>
        <w:rPr>
          <w:rFonts w:hint="eastAsia" w:asciiTheme="minorEastAsia" w:hAnsiTheme="minorEastAsia" w:eastAsiaTheme="minorEastAsia" w:cstheme="minorEastAsia"/>
          <w:i w:val="0"/>
          <w:iCs/>
          <w:color w:val="auto"/>
          <w:sz w:val="24"/>
          <w:szCs w:val="24"/>
          <w:highlight w:val="none"/>
          <w:lang w:eastAsia="zh-CN"/>
        </w:rPr>
        <w:t>图纸</w:t>
      </w:r>
      <w:bookmarkEnd w:id="4"/>
    </w:p>
    <w:p w14:paraId="02EA8D8F">
      <w:pPr>
        <w:spacing w:line="360" w:lineRule="auto"/>
        <w:ind w:firstLine="480" w:firstLineChars="200"/>
        <w:rPr>
          <w:rFonts w:hint="eastAsia"/>
          <w:color w:val="auto"/>
          <w:sz w:val="24"/>
          <w:szCs w:val="24"/>
          <w:highlight w:val="none"/>
        </w:rPr>
      </w:pPr>
      <w:bookmarkStart w:id="5" w:name="_Toc482188644"/>
      <w:bookmarkStart w:id="6" w:name="_Toc30760"/>
      <w:r>
        <w:rPr>
          <w:rFonts w:hint="eastAsia"/>
          <w:color w:val="auto"/>
          <w:sz w:val="24"/>
          <w:szCs w:val="24"/>
          <w:highlight w:val="none"/>
          <w:lang w:val="en-US" w:eastAsia="zh-CN"/>
        </w:rPr>
        <w:t>无</w:t>
      </w:r>
    </w:p>
    <w:p w14:paraId="0371B1EA">
      <w:pPr>
        <w:pStyle w:val="5"/>
        <w:keepNext w:val="0"/>
        <w:keepLines w:val="0"/>
        <w:pageBreakBefore w:val="0"/>
        <w:widowControl w:val="0"/>
        <w:shd w:val="clear" w:color="auto" w:fill="auto"/>
        <w:kinsoku/>
        <w:wordWrap/>
        <w:overflowPunct/>
        <w:topLinePunct w:val="0"/>
        <w:autoSpaceDE w:val="0"/>
        <w:autoSpaceDN w:val="0"/>
        <w:bidi w:val="0"/>
        <w:adjustRightInd w:val="0"/>
        <w:snapToGrid/>
        <w:spacing w:before="157" w:beforeLines="50" w:after="157" w:afterLines="50" w:line="240" w:lineRule="auto"/>
        <w:textAlignment w:val="auto"/>
        <w:rPr>
          <w:rFonts w:hint="eastAsia" w:asciiTheme="minorEastAsia" w:hAnsiTheme="minorEastAsia" w:eastAsiaTheme="minorEastAsia" w:cstheme="minorEastAsia"/>
          <w:i w:val="0"/>
          <w:iCs/>
          <w:color w:val="auto"/>
          <w:sz w:val="24"/>
          <w:szCs w:val="24"/>
          <w:highlight w:val="none"/>
          <w:lang w:eastAsia="zh-CN"/>
        </w:rPr>
      </w:pPr>
      <w:r>
        <w:rPr>
          <w:rFonts w:hint="eastAsia" w:asciiTheme="minorEastAsia" w:hAnsiTheme="minorEastAsia" w:eastAsiaTheme="minorEastAsia" w:cstheme="minorEastAsia"/>
          <w:i w:val="0"/>
          <w:iCs/>
          <w:color w:val="auto"/>
          <w:sz w:val="24"/>
          <w:szCs w:val="24"/>
          <w:highlight w:val="none"/>
          <w:lang w:eastAsia="zh-CN"/>
        </w:rPr>
        <w:t>四、</w:t>
      </w:r>
      <w:bookmarkEnd w:id="5"/>
      <w:bookmarkStart w:id="7" w:name="_Toc482188646"/>
      <w:r>
        <w:rPr>
          <w:rFonts w:hint="eastAsia" w:asciiTheme="minorEastAsia" w:hAnsiTheme="minorEastAsia" w:eastAsiaTheme="minorEastAsia" w:cstheme="minorEastAsia"/>
          <w:i w:val="0"/>
          <w:iCs/>
          <w:color w:val="auto"/>
          <w:sz w:val="24"/>
          <w:szCs w:val="24"/>
          <w:highlight w:val="none"/>
          <w:lang w:eastAsia="zh-CN"/>
        </w:rPr>
        <w:t>其他要求</w:t>
      </w:r>
      <w:bookmarkEnd w:id="6"/>
      <w:bookmarkEnd w:id="7"/>
    </w:p>
    <w:p w14:paraId="2FC35C0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招标</w:t>
      </w:r>
      <w:r>
        <w:rPr>
          <w:rFonts w:hint="eastAsia" w:asciiTheme="minorEastAsia" w:hAnsiTheme="minorEastAsia" w:eastAsiaTheme="minorEastAsia" w:cstheme="minorEastAsia"/>
          <w:color w:val="auto"/>
          <w:sz w:val="24"/>
          <w:szCs w:val="24"/>
          <w:highlight w:val="none"/>
        </w:rPr>
        <w:t>人根据委托的监理范围和内容，随招标文件向投标人提供与监理范围和内容有关的以下文件、资料：</w:t>
      </w:r>
    </w:p>
    <w:p w14:paraId="30A71159">
      <w:pPr>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）工程前期有关文件（可研</w:t>
      </w:r>
      <w:r>
        <w:rPr>
          <w:rFonts w:hint="eastAsia" w:asciiTheme="minorEastAsia" w:hAnsiTheme="minorEastAsia" w:eastAsiaTheme="minorEastAsia" w:cstheme="minorEastAsia"/>
          <w:color w:val="auto"/>
          <w:sz w:val="24"/>
          <w:szCs w:val="24"/>
          <w:highlight w:val="none"/>
          <w:lang w:val="en-US" w:eastAsia="zh-CN"/>
        </w:rPr>
        <w:t>批复文件</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eastAsia="zh-CN"/>
        </w:rPr>
        <w:t>。</w:t>
      </w:r>
    </w:p>
    <w:p w14:paraId="1174EE5F">
      <w:pPr>
        <w:spacing w:line="360" w:lineRule="auto"/>
        <w:ind w:firstLine="480" w:firstLineChars="200"/>
        <w:rPr>
          <w:color w:val="auto"/>
          <w:sz w:val="24"/>
          <w:szCs w:val="24"/>
          <w:highlight w:val="none"/>
        </w:rPr>
      </w:pPr>
      <w:r>
        <w:rPr>
          <w:color w:val="auto"/>
          <w:sz w:val="24"/>
          <w:szCs w:val="24"/>
          <w:highlight w:val="none"/>
        </w:rPr>
        <w:t xml:space="preserve"> </w:t>
      </w:r>
    </w:p>
    <w:p w14:paraId="66E129A5">
      <w:pPr>
        <w:rPr>
          <w:rFonts w:hint="eastAsia" w:ascii="宋体" w:hAnsi="宋体" w:eastAsia="宋体" w:cs="宋体"/>
          <w:color w:val="auto"/>
          <w:sz w:val="24"/>
          <w:szCs w:val="24"/>
          <w:highlight w:val="none"/>
          <w:u w:val="single"/>
          <w:vertAlign w:val="baseline"/>
          <w:lang w:val="en-US" w:eastAsia="zh-CN"/>
        </w:rPr>
      </w:pPr>
    </w:p>
    <w:p w14:paraId="59489336">
      <w:pPr>
        <w:pStyle w:val="9"/>
        <w:rPr>
          <w:rFonts w:hint="eastAsia" w:ascii="宋体" w:hAnsi="宋体" w:eastAsia="宋体" w:cs="宋体"/>
          <w:color w:val="auto"/>
          <w:sz w:val="24"/>
          <w:szCs w:val="24"/>
          <w:highlight w:val="none"/>
          <w:u w:val="single"/>
          <w:vertAlign w:val="baseline"/>
          <w:lang w:val="en-US" w:eastAsia="zh-CN"/>
        </w:rPr>
      </w:pPr>
    </w:p>
    <w:p w14:paraId="1B8B5AE7">
      <w:pPr>
        <w:pStyle w:val="9"/>
        <w:rPr>
          <w:rFonts w:hint="eastAsia" w:ascii="宋体" w:hAnsi="宋体" w:eastAsia="宋体" w:cs="宋体"/>
          <w:color w:val="auto"/>
          <w:sz w:val="24"/>
          <w:szCs w:val="24"/>
          <w:highlight w:val="none"/>
          <w:u w:val="single"/>
          <w:vertAlign w:val="baseline"/>
          <w:lang w:val="en-US" w:eastAsia="zh-CN"/>
        </w:rPr>
      </w:pPr>
    </w:p>
    <w:p w14:paraId="018E25C9">
      <w:pPr>
        <w:pStyle w:val="9"/>
        <w:rPr>
          <w:rFonts w:hint="eastAsia" w:ascii="宋体" w:hAnsi="宋体" w:eastAsia="宋体" w:cs="宋体"/>
          <w:color w:val="auto"/>
          <w:sz w:val="24"/>
          <w:szCs w:val="24"/>
          <w:highlight w:val="none"/>
          <w:u w:val="single"/>
          <w:vertAlign w:val="baseline"/>
          <w:lang w:val="en-US" w:eastAsia="zh-CN"/>
        </w:rPr>
      </w:pPr>
    </w:p>
    <w:p w14:paraId="62AF0A32">
      <w:pPr>
        <w:pStyle w:val="9"/>
        <w:rPr>
          <w:rFonts w:hint="eastAsia" w:ascii="宋体" w:hAnsi="宋体" w:eastAsia="宋体" w:cs="宋体"/>
          <w:color w:val="auto"/>
          <w:sz w:val="24"/>
          <w:szCs w:val="24"/>
          <w:highlight w:val="none"/>
          <w:u w:val="single"/>
          <w:vertAlign w:val="baseline"/>
          <w:lang w:val="en-US" w:eastAsia="zh-CN"/>
        </w:rPr>
      </w:pPr>
    </w:p>
    <w:p w14:paraId="7C5B0B7B">
      <w:pPr>
        <w:pStyle w:val="9"/>
        <w:rPr>
          <w:rFonts w:hint="eastAsia" w:ascii="宋体" w:hAnsi="宋体" w:eastAsia="宋体" w:cs="宋体"/>
          <w:color w:val="auto"/>
          <w:sz w:val="24"/>
          <w:szCs w:val="24"/>
          <w:highlight w:val="none"/>
          <w:u w:val="single"/>
          <w:vertAlign w:val="baseline"/>
          <w:lang w:val="en-US" w:eastAsia="zh-CN"/>
        </w:rPr>
      </w:pPr>
    </w:p>
    <w:p w14:paraId="6161EB27">
      <w:pPr>
        <w:pStyle w:val="9"/>
        <w:rPr>
          <w:rFonts w:hint="eastAsia" w:ascii="宋体" w:hAnsi="宋体" w:eastAsia="宋体" w:cs="宋体"/>
          <w:color w:val="auto"/>
          <w:sz w:val="24"/>
          <w:szCs w:val="24"/>
          <w:highlight w:val="none"/>
          <w:u w:val="single"/>
          <w:vertAlign w:val="baseline"/>
          <w:lang w:val="en-US" w:eastAsia="zh-CN"/>
        </w:rPr>
      </w:pPr>
    </w:p>
    <w:p w14:paraId="63AA70ED">
      <w:pPr>
        <w:pStyle w:val="9"/>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4"/>
          <w:szCs w:val="24"/>
          <w:highlight w:val="none"/>
          <w:u w:val="single"/>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EE20F8"/>
    <w:multiLevelType w:val="singleLevel"/>
    <w:tmpl w:val="EAEE20F8"/>
    <w:lvl w:ilvl="0" w:tentative="0">
      <w:start w:val="2"/>
      <w:numFmt w:val="chineseCounting"/>
      <w:suff w:val="nothing"/>
      <w:lvlText w:val="第%1部分."/>
      <w:lvlJc w:val="left"/>
      <w:rPr>
        <w:rFonts w:hint="eastAsia"/>
      </w:rPr>
    </w:lvl>
  </w:abstractNum>
  <w:abstractNum w:abstractNumId="1">
    <w:nsid w:val="0D7920FF"/>
    <w:multiLevelType w:val="singleLevel"/>
    <w:tmpl w:val="0D7920FF"/>
    <w:lvl w:ilvl="0" w:tentative="0">
      <w:start w:val="1"/>
      <w:numFmt w:val="chineseCounting"/>
      <w:suff w:val="nothing"/>
      <w:lvlText w:val="第%1部分."/>
      <w:lvlJc w:val="left"/>
      <w:rPr>
        <w:rFonts w:hint="eastAsia"/>
      </w:rPr>
    </w:lvl>
  </w:abstractNum>
  <w:abstractNum w:abstractNumId="2">
    <w:nsid w:val="4122DDE1"/>
    <w:multiLevelType w:val="singleLevel"/>
    <w:tmpl w:val="4122DDE1"/>
    <w:lvl w:ilvl="0" w:tentative="0">
      <w:start w:val="2"/>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01270A5"/>
    <w:rsid w:val="00280292"/>
    <w:rsid w:val="007A4AD7"/>
    <w:rsid w:val="01524185"/>
    <w:rsid w:val="016747F6"/>
    <w:rsid w:val="034C42F7"/>
    <w:rsid w:val="03F1316B"/>
    <w:rsid w:val="04A24F71"/>
    <w:rsid w:val="05425F24"/>
    <w:rsid w:val="076F3B3B"/>
    <w:rsid w:val="07CA37DF"/>
    <w:rsid w:val="07CC3833"/>
    <w:rsid w:val="0A4D61F7"/>
    <w:rsid w:val="0BC07002"/>
    <w:rsid w:val="0BD30473"/>
    <w:rsid w:val="0DE73E9D"/>
    <w:rsid w:val="0E2F4C02"/>
    <w:rsid w:val="0E3616E0"/>
    <w:rsid w:val="0E937FF7"/>
    <w:rsid w:val="0F81532F"/>
    <w:rsid w:val="107144D2"/>
    <w:rsid w:val="116419AD"/>
    <w:rsid w:val="11794537"/>
    <w:rsid w:val="11DF6CFE"/>
    <w:rsid w:val="13383335"/>
    <w:rsid w:val="14440D4B"/>
    <w:rsid w:val="14B666F3"/>
    <w:rsid w:val="15056A61"/>
    <w:rsid w:val="182633AB"/>
    <w:rsid w:val="184D149D"/>
    <w:rsid w:val="18E57496"/>
    <w:rsid w:val="197A29D8"/>
    <w:rsid w:val="1A2D5CFF"/>
    <w:rsid w:val="1A386933"/>
    <w:rsid w:val="1A4F176B"/>
    <w:rsid w:val="1A912F72"/>
    <w:rsid w:val="1B663F82"/>
    <w:rsid w:val="1B9413C8"/>
    <w:rsid w:val="1BAD0CCE"/>
    <w:rsid w:val="1C2D4629"/>
    <w:rsid w:val="1C43636C"/>
    <w:rsid w:val="1D904223"/>
    <w:rsid w:val="1F653C49"/>
    <w:rsid w:val="1F6C0D31"/>
    <w:rsid w:val="1FF914D4"/>
    <w:rsid w:val="20735046"/>
    <w:rsid w:val="20B14FCD"/>
    <w:rsid w:val="216F4D5B"/>
    <w:rsid w:val="23B738BA"/>
    <w:rsid w:val="24E67795"/>
    <w:rsid w:val="24F737D8"/>
    <w:rsid w:val="25100685"/>
    <w:rsid w:val="25EF198C"/>
    <w:rsid w:val="26A73075"/>
    <w:rsid w:val="29B271FC"/>
    <w:rsid w:val="2BB33445"/>
    <w:rsid w:val="2CA17C08"/>
    <w:rsid w:val="2DDF66E3"/>
    <w:rsid w:val="2FF65FF8"/>
    <w:rsid w:val="300D195C"/>
    <w:rsid w:val="30BF37B5"/>
    <w:rsid w:val="31C955A9"/>
    <w:rsid w:val="31DC7624"/>
    <w:rsid w:val="33B200AF"/>
    <w:rsid w:val="33E61BE2"/>
    <w:rsid w:val="35BA13B5"/>
    <w:rsid w:val="361736AD"/>
    <w:rsid w:val="36D200CF"/>
    <w:rsid w:val="379951F8"/>
    <w:rsid w:val="38382DC3"/>
    <w:rsid w:val="38DE045C"/>
    <w:rsid w:val="3A546240"/>
    <w:rsid w:val="3BF24D81"/>
    <w:rsid w:val="3BFE7BEA"/>
    <w:rsid w:val="3C4750A3"/>
    <w:rsid w:val="3C4A35F1"/>
    <w:rsid w:val="3E664B6D"/>
    <w:rsid w:val="3ED7087B"/>
    <w:rsid w:val="3F141BFC"/>
    <w:rsid w:val="405E1C54"/>
    <w:rsid w:val="444D481C"/>
    <w:rsid w:val="44982260"/>
    <w:rsid w:val="44D414C9"/>
    <w:rsid w:val="46472D5E"/>
    <w:rsid w:val="496A657E"/>
    <w:rsid w:val="49843C09"/>
    <w:rsid w:val="4B3A1BDA"/>
    <w:rsid w:val="4BF83760"/>
    <w:rsid w:val="4C8349B8"/>
    <w:rsid w:val="50A47F76"/>
    <w:rsid w:val="520D6E5F"/>
    <w:rsid w:val="53115540"/>
    <w:rsid w:val="55C3156A"/>
    <w:rsid w:val="5782183A"/>
    <w:rsid w:val="57BD355E"/>
    <w:rsid w:val="59A5419F"/>
    <w:rsid w:val="5B0320E2"/>
    <w:rsid w:val="5B8B11A7"/>
    <w:rsid w:val="5B9E2EC4"/>
    <w:rsid w:val="5CA806DC"/>
    <w:rsid w:val="5E53285F"/>
    <w:rsid w:val="608606DE"/>
    <w:rsid w:val="610E324A"/>
    <w:rsid w:val="61F31EFD"/>
    <w:rsid w:val="622F14A4"/>
    <w:rsid w:val="63066BC7"/>
    <w:rsid w:val="63D0487B"/>
    <w:rsid w:val="64672037"/>
    <w:rsid w:val="64911DA0"/>
    <w:rsid w:val="65945D8D"/>
    <w:rsid w:val="66C35559"/>
    <w:rsid w:val="67D57489"/>
    <w:rsid w:val="68570F93"/>
    <w:rsid w:val="688C4054"/>
    <w:rsid w:val="6A287B5E"/>
    <w:rsid w:val="6B303A1A"/>
    <w:rsid w:val="6C2C1679"/>
    <w:rsid w:val="6CAB0125"/>
    <w:rsid w:val="6DAA2FDF"/>
    <w:rsid w:val="6E121228"/>
    <w:rsid w:val="6FC971BF"/>
    <w:rsid w:val="704109B2"/>
    <w:rsid w:val="70D1495F"/>
    <w:rsid w:val="70ED510D"/>
    <w:rsid w:val="74695E39"/>
    <w:rsid w:val="754C6F3B"/>
    <w:rsid w:val="75B11AFF"/>
    <w:rsid w:val="75D32619"/>
    <w:rsid w:val="765369C1"/>
    <w:rsid w:val="767D6887"/>
    <w:rsid w:val="780B6A75"/>
    <w:rsid w:val="79F83E18"/>
    <w:rsid w:val="7A262145"/>
    <w:rsid w:val="7BEC3F2B"/>
    <w:rsid w:val="7D0F76D8"/>
    <w:rsid w:val="7E3420E0"/>
    <w:rsid w:val="7E535DCD"/>
    <w:rsid w:val="7E6647D5"/>
    <w:rsid w:val="7F7B4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4">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5">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keepNext w:val="0"/>
      <w:keepLines w:val="0"/>
      <w:widowControl w:val="0"/>
      <w:suppressLineNumbers w:val="0"/>
      <w:pBdr>
        <w:top w:val="none" w:color="auto" w:sz="0" w:space="0"/>
        <w:left w:val="none" w:color="auto" w:sz="0" w:space="0"/>
        <w:bottom w:val="none" w:color="auto" w:sz="0" w:space="0"/>
        <w:right w:val="none" w:color="auto" w:sz="0" w:space="0"/>
      </w:pBdr>
      <w:spacing w:beforeLines="50" w:beforeAutospacing="0" w:afterLines="50" w:afterAutospacing="0" w:line="360" w:lineRule="auto"/>
      <w:ind w:firstLine="200" w:firstLineChars="200"/>
      <w:jc w:val="both"/>
    </w:pPr>
    <w:rPr>
      <w:rFonts w:hint="default" w:ascii="Times New Roman" w:hAnsi="Times New Roman" w:eastAsia="宋体" w:cs="Times New Roman"/>
      <w:kern w:val="2"/>
      <w:sz w:val="24"/>
      <w:szCs w:val="24"/>
      <w:lang w:val="en-US" w:eastAsia="zh-CN" w:bidi="ar"/>
    </w:rPr>
  </w:style>
  <w:style w:type="paragraph" w:styleId="3">
    <w:name w:val="Body Text"/>
    <w:basedOn w:val="1"/>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6">
    <w:name w:val="Normal Indent"/>
    <w:basedOn w:val="1"/>
    <w:qFormat/>
    <w:uiPriority w:val="0"/>
    <w:pPr>
      <w:ind w:firstLine="420"/>
    </w:pPr>
    <w:rPr>
      <w:rFonts w:ascii="Times New Roman" w:hAnsi="Times New Roman" w:cs="Times New Roman"/>
      <w:kern w:val="0"/>
      <w:sz w:val="20"/>
      <w:szCs w:val="20"/>
    </w:rPr>
  </w:style>
  <w:style w:type="paragraph" w:styleId="7">
    <w:name w:val="annotation text"/>
    <w:basedOn w:val="1"/>
    <w:qFormat/>
    <w:uiPriority w:val="0"/>
    <w:pPr>
      <w:jc w:val="left"/>
    </w:pPr>
  </w:style>
  <w:style w:type="paragraph" w:styleId="8">
    <w:name w:val="Body Text Indent"/>
    <w:basedOn w:val="1"/>
    <w:qFormat/>
    <w:uiPriority w:val="0"/>
    <w:pPr>
      <w:spacing w:after="120"/>
      <w:ind w:left="420" w:leftChars="200"/>
    </w:pPr>
  </w:style>
  <w:style w:type="paragraph" w:styleId="9">
    <w:name w:val="Plain Text"/>
    <w:basedOn w:val="1"/>
    <w:next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10">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目录 21"/>
    <w:basedOn w:val="1"/>
    <w:next w:val="1"/>
    <w:qFormat/>
    <w:uiPriority w:val="0"/>
    <w:pPr>
      <w:spacing w:before="100" w:beforeAutospacing="1" w:after="100" w:afterAutospacing="1"/>
      <w:ind w:left="420" w:leftChars="200"/>
    </w:pPr>
  </w:style>
  <w:style w:type="paragraph" w:customStyle="1" w:styleId="15">
    <w:name w:val="正文首行缩进1"/>
    <w:basedOn w:val="1"/>
    <w:qFormat/>
    <w:uiPriority w:val="0"/>
    <w:pPr>
      <w:spacing w:line="360" w:lineRule="auto"/>
      <w:ind w:firstLine="200" w:firstLineChars="200"/>
    </w:pPr>
    <w:rPr>
      <w:kern w:val="2"/>
      <w:sz w:val="24"/>
      <w:szCs w:val="24"/>
    </w:rPr>
  </w:style>
  <w:style w:type="character" w:customStyle="1" w:styleId="16">
    <w:name w:val="font11"/>
    <w:basedOn w:val="13"/>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2040</Words>
  <Characters>2146</Characters>
  <Lines>0</Lines>
  <Paragraphs>0</Paragraphs>
  <TotalTime>0</TotalTime>
  <ScaleCrop>false</ScaleCrop>
  <LinksUpToDate>false</LinksUpToDate>
  <CharactersWithSpaces>2255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马骏安</cp:lastModifiedBy>
  <dcterms:modified xsi:type="dcterms:W3CDTF">2025-12-26T03:58:24Z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9AD2DA1875584DE6A47A38ADB6119708_13</vt:lpwstr>
  </property>
  <property fmtid="{D5CDD505-2E9C-101B-9397-08002B2CF9AE}" pid="4" name="KSOTemplateDocerSaveRecord">
    <vt:lpwstr>eyJoZGlkIjoiNGQxZGUyZmQ5MDU5MjhiNzUxNWY4N2Q0ZGU2Y2VhOTgiLCJ1c2VySWQiOiI3MDM5OTYzMzMifQ==</vt:lpwstr>
  </property>
</Properties>
</file>