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0BA30">
      <w:pPr>
        <w:pStyle w:val="10"/>
        <w:spacing w:line="360" w:lineRule="auto"/>
        <w:jc w:val="left"/>
        <w:rPr>
          <w:rFonts w:asciiTheme="minorEastAsia" w:hAnsiTheme="minorEastAsia" w:eastAsiaTheme="minorEastAsia" w:cstheme="minorEastAsia"/>
          <w:b/>
          <w:bCs/>
          <w:snapToGrid w:val="0"/>
          <w:sz w:val="32"/>
          <w:szCs w:val="32"/>
        </w:rPr>
      </w:pPr>
      <w:bookmarkStart w:id="0" w:name="_Toc8445"/>
      <w:r>
        <w:rPr>
          <w:rFonts w:hint="eastAsia" w:asciiTheme="minorEastAsia" w:hAnsiTheme="minorEastAsia" w:eastAsiaTheme="minorEastAsia" w:cstheme="minorEastAsia"/>
          <w:b/>
          <w:bCs/>
          <w:snapToGrid w:val="0"/>
          <w:sz w:val="32"/>
          <w:szCs w:val="32"/>
        </w:rPr>
        <w:t>附件A.项目信息清单</w:t>
      </w:r>
      <w:r>
        <w:rPr>
          <w:rFonts w:hint="eastAsia" w:asciiTheme="minorEastAsia" w:hAnsiTheme="minorEastAsia" w:eastAsiaTheme="minorEastAsia" w:cstheme="minorEastAsia"/>
          <w:b/>
          <w:bCs/>
          <w:snapToGrid w:val="0"/>
          <w:sz w:val="28"/>
          <w:szCs w:val="28"/>
        </w:rPr>
        <w:t>（</w:t>
      </w:r>
      <w:r>
        <w:rPr>
          <w:rFonts w:hint="eastAsia" w:asciiTheme="minorEastAsia" w:hAnsiTheme="minorEastAsia" w:eastAsiaTheme="minorEastAsia" w:cstheme="minorEastAsia"/>
          <w:b/>
          <w:bCs/>
          <w:snapToGrid w:val="0"/>
          <w:sz w:val="32"/>
          <w:szCs w:val="32"/>
        </w:rPr>
        <w:t>220千伏花地站扩建第三台主变工程（第一分册）监理</w:t>
      </w:r>
      <w:r>
        <w:rPr>
          <w:rFonts w:hint="eastAsia" w:asciiTheme="minorEastAsia" w:hAnsiTheme="minorEastAsia" w:eastAsiaTheme="minorEastAsia" w:cstheme="minorEastAsia"/>
          <w:b/>
          <w:bCs/>
          <w:snapToGrid w:val="0"/>
          <w:sz w:val="28"/>
          <w:szCs w:val="28"/>
        </w:rPr>
        <w:t>）</w:t>
      </w:r>
    </w:p>
    <w:bookmarkEnd w:id="0"/>
    <w:p w14:paraId="1705567B">
      <w:pPr>
        <w:pStyle w:val="10"/>
        <w:numPr>
          <w:ilvl w:val="0"/>
          <w:numId w:val="1"/>
        </w:numPr>
        <w:spacing w:line="360" w:lineRule="auto"/>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napToGrid w:val="0"/>
          <w:sz w:val="28"/>
          <w:szCs w:val="28"/>
        </w:rPr>
        <w:t>项目信息</w:t>
      </w:r>
    </w:p>
    <w:p w14:paraId="7298D403">
      <w:pPr>
        <w:pStyle w:val="10"/>
        <w:spacing w:line="360" w:lineRule="auto"/>
        <w:jc w:val="center"/>
        <w:rPr>
          <w:rFonts w:asciiTheme="minorEastAsia" w:hAnsiTheme="minorEastAsia" w:eastAsiaTheme="minorEastAsia" w:cstheme="minorEastAsia"/>
          <w:b/>
          <w:bCs/>
          <w:sz w:val="24"/>
          <w:szCs w:val="24"/>
        </w:rPr>
      </w:pPr>
      <w:r>
        <w:rPr>
          <w:rFonts w:hint="eastAsia" w:hAnsi="宋体" w:cs="宋体"/>
          <w:b/>
          <w:bCs/>
          <w:snapToGrid w:val="0"/>
          <w:sz w:val="24"/>
          <w:szCs w:val="24"/>
        </w:rPr>
        <w:t>招标前期资料</w:t>
      </w:r>
    </w:p>
    <w:tbl>
      <w:tblPr>
        <w:tblStyle w:val="1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4175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ign w:val="center"/>
          </w:tcPr>
          <w:p w14:paraId="2E81B41B">
            <w:pPr>
              <w:pStyle w:val="10"/>
              <w:spacing w:line="400" w:lineRule="exact"/>
              <w:jc w:val="center"/>
              <w:rPr>
                <w:rFonts w:asciiTheme="minorEastAsia" w:hAnsiTheme="minorEastAsia" w:eastAsiaTheme="minorEastAsia" w:cstheme="minorEastAsia"/>
                <w:snapToGrid w:val="0"/>
                <w:sz w:val="24"/>
                <w:szCs w:val="24"/>
              </w:rPr>
            </w:pPr>
            <w:r>
              <w:rPr>
                <w:rFonts w:hint="eastAsia" w:hAnsi="宋体" w:cs="宋体"/>
                <w:b/>
                <w:bCs/>
                <w:snapToGrid w:val="0"/>
                <w:sz w:val="24"/>
                <w:szCs w:val="24"/>
              </w:rPr>
              <w:t>序号</w:t>
            </w:r>
          </w:p>
        </w:tc>
        <w:tc>
          <w:tcPr>
            <w:tcW w:w="3783" w:type="dxa"/>
            <w:noWrap/>
            <w:vAlign w:val="center"/>
          </w:tcPr>
          <w:p w14:paraId="74D9EE0A">
            <w:pPr>
              <w:pStyle w:val="10"/>
              <w:spacing w:line="400" w:lineRule="exact"/>
              <w:jc w:val="center"/>
              <w:rPr>
                <w:rFonts w:asciiTheme="minorEastAsia" w:hAnsiTheme="minorEastAsia" w:eastAsiaTheme="minorEastAsia" w:cstheme="minorEastAsia"/>
                <w:snapToGrid w:val="0"/>
                <w:sz w:val="24"/>
                <w:szCs w:val="24"/>
              </w:rPr>
            </w:pPr>
            <w:r>
              <w:rPr>
                <w:rFonts w:hint="eastAsia" w:hAnsi="宋体" w:cs="宋体"/>
                <w:b/>
                <w:bCs/>
                <w:snapToGrid w:val="0"/>
                <w:sz w:val="24"/>
                <w:szCs w:val="24"/>
              </w:rPr>
              <w:t>文件名称</w:t>
            </w:r>
          </w:p>
        </w:tc>
        <w:tc>
          <w:tcPr>
            <w:tcW w:w="5250" w:type="dxa"/>
            <w:noWrap/>
            <w:vAlign w:val="center"/>
          </w:tcPr>
          <w:p w14:paraId="3002CDA8">
            <w:pPr>
              <w:pStyle w:val="10"/>
              <w:spacing w:line="400" w:lineRule="exact"/>
              <w:jc w:val="center"/>
              <w:rPr>
                <w:rFonts w:asciiTheme="minorEastAsia" w:hAnsiTheme="minorEastAsia" w:eastAsiaTheme="minorEastAsia" w:cstheme="minorEastAsia"/>
                <w:snapToGrid w:val="0"/>
                <w:sz w:val="24"/>
                <w:szCs w:val="24"/>
              </w:rPr>
            </w:pPr>
            <w:r>
              <w:rPr>
                <w:rFonts w:hint="eastAsia" w:hAnsi="宋体" w:cs="宋体"/>
                <w:b/>
                <w:bCs/>
                <w:snapToGrid w:val="0"/>
                <w:sz w:val="24"/>
                <w:szCs w:val="24"/>
              </w:rPr>
              <w:t>文件文号</w:t>
            </w:r>
          </w:p>
        </w:tc>
      </w:tr>
      <w:tr w14:paraId="629A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ign w:val="center"/>
          </w:tcPr>
          <w:p w14:paraId="20BA22A9">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1</w:t>
            </w:r>
          </w:p>
        </w:tc>
        <w:tc>
          <w:tcPr>
            <w:tcW w:w="3783" w:type="dxa"/>
            <w:noWrap/>
            <w:vAlign w:val="center"/>
          </w:tcPr>
          <w:p w14:paraId="4C7CA016">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可研批复文号</w:t>
            </w:r>
          </w:p>
        </w:tc>
        <w:tc>
          <w:tcPr>
            <w:tcW w:w="5250" w:type="dxa"/>
            <w:noWrap/>
            <w:vAlign w:val="center"/>
          </w:tcPr>
          <w:p w14:paraId="5B8E4A5C">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广供电基〔2025〕159号</w:t>
            </w:r>
          </w:p>
        </w:tc>
      </w:tr>
      <w:tr w14:paraId="0B1B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ign w:val="center"/>
          </w:tcPr>
          <w:p w14:paraId="1BA6CDF8">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2</w:t>
            </w:r>
          </w:p>
        </w:tc>
        <w:tc>
          <w:tcPr>
            <w:tcW w:w="3783" w:type="dxa"/>
            <w:noWrap/>
            <w:vAlign w:val="center"/>
          </w:tcPr>
          <w:p w14:paraId="7C5AC541">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项目核准/备案文号</w:t>
            </w:r>
          </w:p>
        </w:tc>
        <w:tc>
          <w:tcPr>
            <w:tcW w:w="5250" w:type="dxa"/>
            <w:noWrap/>
            <w:vAlign w:val="center"/>
          </w:tcPr>
          <w:p w14:paraId="155431DB">
            <w:pPr>
              <w:pStyle w:val="10"/>
              <w:spacing w:line="480" w:lineRule="exact"/>
              <w:jc w:val="center"/>
              <w:rPr>
                <w:rFonts w:hint="eastAsia" w:asciiTheme="minorEastAsia" w:hAnsiTheme="minorEastAsia" w:eastAsiaTheme="minorEastAsia" w:cstheme="minorEastAsia"/>
                <w:snapToGrid w:val="0"/>
                <w:sz w:val="24"/>
                <w:szCs w:val="24"/>
                <w:lang w:val="en-US" w:eastAsia="zh-CN"/>
              </w:rPr>
            </w:pPr>
            <w:r>
              <w:rPr>
                <w:rFonts w:hint="eastAsia" w:asciiTheme="minorEastAsia" w:hAnsiTheme="minorEastAsia" w:eastAsiaTheme="minorEastAsia" w:cstheme="minorEastAsia"/>
                <w:snapToGrid w:val="0"/>
                <w:sz w:val="24"/>
                <w:szCs w:val="24"/>
                <w:highlight w:val="none"/>
                <w:lang w:val="en-US" w:eastAsia="zh-CN"/>
              </w:rPr>
              <w:t>穗发改核准〔2025〕26号</w:t>
            </w:r>
          </w:p>
        </w:tc>
      </w:tr>
      <w:tr w14:paraId="0318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ign w:val="center"/>
          </w:tcPr>
          <w:p w14:paraId="260E22AD">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3</w:t>
            </w:r>
          </w:p>
        </w:tc>
        <w:tc>
          <w:tcPr>
            <w:tcW w:w="3783" w:type="dxa"/>
            <w:noWrap/>
            <w:vAlign w:val="center"/>
          </w:tcPr>
          <w:p w14:paraId="4265A195">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资金落实情况</w:t>
            </w:r>
          </w:p>
        </w:tc>
        <w:tc>
          <w:tcPr>
            <w:tcW w:w="5250" w:type="dxa"/>
            <w:noWrap/>
            <w:vAlign w:val="center"/>
          </w:tcPr>
          <w:p w14:paraId="362218FB">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广供电资〔2025〕49号</w:t>
            </w:r>
          </w:p>
        </w:tc>
      </w:tr>
      <w:tr w14:paraId="1F35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ign w:val="center"/>
          </w:tcPr>
          <w:p w14:paraId="7E20A29A">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4</w:t>
            </w:r>
          </w:p>
        </w:tc>
        <w:tc>
          <w:tcPr>
            <w:tcW w:w="3783" w:type="dxa"/>
            <w:noWrap/>
            <w:vAlign w:val="center"/>
          </w:tcPr>
          <w:p w14:paraId="3939D765">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项目建设单位</w:t>
            </w:r>
          </w:p>
        </w:tc>
        <w:tc>
          <w:tcPr>
            <w:tcW w:w="5250" w:type="dxa"/>
            <w:noWrap/>
            <w:vAlign w:val="center"/>
          </w:tcPr>
          <w:p w14:paraId="202539C8">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广东电网有限责任公司广州供电局</w:t>
            </w:r>
          </w:p>
        </w:tc>
      </w:tr>
      <w:tr w14:paraId="4F55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ign w:val="center"/>
          </w:tcPr>
          <w:p w14:paraId="6704DB75">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5</w:t>
            </w:r>
          </w:p>
        </w:tc>
        <w:tc>
          <w:tcPr>
            <w:tcW w:w="3783" w:type="dxa"/>
            <w:noWrap/>
            <w:vAlign w:val="center"/>
          </w:tcPr>
          <w:p w14:paraId="59F99B32">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项目建设地点</w:t>
            </w:r>
          </w:p>
        </w:tc>
        <w:tc>
          <w:tcPr>
            <w:tcW w:w="5250" w:type="dxa"/>
            <w:noWrap/>
            <w:vAlign w:val="center"/>
          </w:tcPr>
          <w:p w14:paraId="6DD0D1C1">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广州市</w:t>
            </w:r>
            <w:r>
              <w:rPr>
                <w:rFonts w:hAnsi="宋体" w:cs="宋体"/>
                <w:sz w:val="24"/>
                <w:szCs w:val="24"/>
              </w:rPr>
              <w:t>荔湾区</w:t>
            </w:r>
          </w:p>
        </w:tc>
      </w:tr>
      <w:tr w14:paraId="6BED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ign w:val="center"/>
          </w:tcPr>
          <w:p w14:paraId="5C294C7D">
            <w:pPr>
              <w:pStyle w:val="10"/>
              <w:spacing w:line="480" w:lineRule="exact"/>
              <w:jc w:val="center"/>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rPr>
              <w:t>6</w:t>
            </w:r>
          </w:p>
        </w:tc>
        <w:tc>
          <w:tcPr>
            <w:tcW w:w="3783" w:type="dxa"/>
            <w:noWrap/>
            <w:vAlign w:val="center"/>
          </w:tcPr>
          <w:p w14:paraId="03EC7D97">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前期的设计或咨询服务单位名称</w:t>
            </w:r>
          </w:p>
        </w:tc>
        <w:tc>
          <w:tcPr>
            <w:tcW w:w="5250" w:type="dxa"/>
            <w:noWrap/>
            <w:vAlign w:val="center"/>
          </w:tcPr>
          <w:p w14:paraId="1ABA14D8">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广州电力设计院有限公司</w:t>
            </w:r>
          </w:p>
        </w:tc>
      </w:tr>
      <w:tr w14:paraId="24D3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ign w:val="center"/>
          </w:tcPr>
          <w:p w14:paraId="321C08CD">
            <w:pPr>
              <w:pStyle w:val="10"/>
              <w:spacing w:line="480" w:lineRule="exact"/>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7</w:t>
            </w:r>
          </w:p>
        </w:tc>
        <w:tc>
          <w:tcPr>
            <w:tcW w:w="3783" w:type="dxa"/>
            <w:noWrap/>
            <w:vAlign w:val="center"/>
          </w:tcPr>
          <w:p w14:paraId="2ED419D7">
            <w:pPr>
              <w:pStyle w:val="10"/>
              <w:snapToGrid w:val="0"/>
              <w:jc w:val="center"/>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工期/服务期</w:t>
            </w:r>
          </w:p>
        </w:tc>
        <w:tc>
          <w:tcPr>
            <w:tcW w:w="5250" w:type="dxa"/>
            <w:noWrap/>
            <w:vAlign w:val="center"/>
          </w:tcPr>
          <w:p w14:paraId="11B5E36A">
            <w:pPr>
              <w:pStyle w:val="10"/>
              <w:snapToGrid w:val="0"/>
              <w:rPr>
                <w:rFonts w:asciiTheme="minorEastAsia" w:hAnsiTheme="minorEastAsia" w:eastAsiaTheme="minorEastAsia" w:cstheme="minorEastAsia"/>
                <w:snapToGrid w:val="0"/>
                <w:sz w:val="24"/>
                <w:szCs w:val="24"/>
                <w:u w:val="single"/>
              </w:rPr>
            </w:pPr>
            <w:r>
              <w:rPr>
                <w:rFonts w:hint="eastAsia" w:asciiTheme="minorEastAsia" w:hAnsiTheme="minorEastAsia" w:eastAsiaTheme="minorEastAsia" w:cstheme="minorEastAsia"/>
                <w:snapToGrid w:val="0"/>
                <w:sz w:val="24"/>
                <w:szCs w:val="24"/>
                <w:u w:val="single"/>
              </w:rPr>
              <w:t>合同签订之日起至2027年06月30日，实际工期以开工报告、竣工报告为准。</w:t>
            </w:r>
          </w:p>
          <w:p w14:paraId="6F2BFFE6">
            <w:pPr>
              <w:pStyle w:val="10"/>
              <w:snapToGrid w:val="0"/>
              <w:rPr>
                <w:rFonts w:asciiTheme="minorEastAsia" w:hAnsiTheme="minorEastAsia" w:eastAsiaTheme="minorEastAsia" w:cstheme="minorEastAsia"/>
                <w:snapToGrid w:val="0"/>
                <w:sz w:val="24"/>
                <w:szCs w:val="24"/>
              </w:rPr>
            </w:pPr>
          </w:p>
        </w:tc>
      </w:tr>
    </w:tbl>
    <w:p w14:paraId="61CE200A">
      <w:pPr>
        <w:pStyle w:val="10"/>
        <w:spacing w:line="360" w:lineRule="auto"/>
        <w:jc w:val="left"/>
        <w:rPr>
          <w:rFonts w:asciiTheme="minorEastAsia" w:hAnsiTheme="minorEastAsia" w:eastAsiaTheme="minorEastAsia" w:cstheme="minorEastAsia"/>
          <w:b/>
          <w:bCs/>
          <w:sz w:val="24"/>
          <w:szCs w:val="24"/>
        </w:rPr>
      </w:pPr>
    </w:p>
    <w:p w14:paraId="666AB0A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一、项目概况</w:t>
      </w:r>
    </w:p>
    <w:p w14:paraId="66FD057A">
      <w:pPr>
        <w:pStyle w:val="10"/>
        <w:adjustRightInd w:val="0"/>
        <w:snapToGrid w:val="0"/>
        <w:spacing w:line="480" w:lineRule="exact"/>
        <w:ind w:firstLine="482" w:firstLineChars="200"/>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6F66E59D">
      <w:pPr>
        <w:pStyle w:val="10"/>
        <w:adjustRightInd w:val="0"/>
        <w:snapToGrid w:val="0"/>
        <w:spacing w:line="480" w:lineRule="exact"/>
        <w:ind w:firstLine="480" w:firstLineChars="200"/>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本期扩建#3主变及配套的中压侧配电装置设备，本期扩建110kV的#3主变进线间隔及两个不完整间隔，接入110kV II母。</w:t>
      </w:r>
    </w:p>
    <w:p w14:paraId="342378DA">
      <w:pPr>
        <w:pStyle w:val="10"/>
        <w:adjustRightInd w:val="0"/>
        <w:snapToGrid w:val="0"/>
        <w:spacing w:line="480" w:lineRule="exact"/>
        <w:ind w:firstLine="482" w:firstLineChars="200"/>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14:paraId="420BBF47">
      <w:pPr>
        <w:pStyle w:val="10"/>
        <w:adjustRightInd w:val="0"/>
        <w:snapToGrid w:val="0"/>
        <w:spacing w:line="480" w:lineRule="exact"/>
        <w:ind w:firstLine="480" w:firstLineChars="200"/>
        <w:rPr>
          <w:rFonts w:asciiTheme="minorEastAsia" w:hAnsiTheme="minorEastAsia" w:eastAsiaTheme="minorEastAsia" w:cstheme="minorEastAsia"/>
          <w:bCs/>
          <w:sz w:val="24"/>
          <w:szCs w:val="24"/>
          <w:highlight w:val="none"/>
        </w:rPr>
      </w:pPr>
      <w:bookmarkStart w:id="8" w:name="_GoBack"/>
      <w:bookmarkEnd w:id="8"/>
      <w:r>
        <w:rPr>
          <w:rFonts w:hint="eastAsia" w:asciiTheme="minorEastAsia" w:hAnsiTheme="minorEastAsia" w:eastAsiaTheme="minorEastAsia" w:cstheme="minorEastAsia"/>
          <w:bCs/>
          <w:sz w:val="24"/>
          <w:szCs w:val="24"/>
          <w:highlight w:val="none"/>
        </w:rPr>
        <w:t>110kV变中单回电缆线路，由新建3号主变变中侧起，沿站内电缆沟、配电装置楼电缆竖井敷设至110kV间隔GIS套筒。</w:t>
      </w:r>
    </w:p>
    <w:p w14:paraId="6698CAAD">
      <w:pPr>
        <w:spacing w:beforeLines="50" w:afterLines="50"/>
        <w:rPr>
          <w:rFonts w:asciiTheme="minorEastAsia" w:hAnsiTheme="minorEastAsia" w:eastAsiaTheme="minorEastAsia" w:cstheme="minorEastAsia"/>
          <w:b/>
          <w:bCs/>
          <w:iCs/>
          <w:sz w:val="24"/>
          <w:szCs w:val="24"/>
        </w:rPr>
      </w:pPr>
      <w:r>
        <w:rPr>
          <w:rFonts w:hint="eastAsia" w:asciiTheme="minorEastAsia" w:hAnsiTheme="minorEastAsia" w:eastAsiaTheme="minorEastAsia" w:cstheme="minorEastAsia"/>
          <w:b/>
          <w:bCs/>
          <w:sz w:val="24"/>
          <w:szCs w:val="24"/>
        </w:rPr>
        <w:t>二、招标采购范围</w:t>
      </w:r>
    </w:p>
    <w:p w14:paraId="6162E25F">
      <w:pPr>
        <w:spacing w:beforeLines="50" w:afterLines="50"/>
        <w:ind w:firstLine="480" w:firstLineChars="200"/>
        <w:rPr>
          <w:rFonts w:asciiTheme="minorEastAsia" w:hAnsiTheme="minorEastAsia" w:eastAsiaTheme="minorEastAsia" w:cstheme="minorEastAsia"/>
          <w:iCs/>
          <w:sz w:val="24"/>
          <w:szCs w:val="24"/>
          <w:u w:val="single"/>
        </w:rPr>
      </w:pPr>
      <w:r>
        <w:rPr>
          <w:rFonts w:hint="eastAsia" w:hAnsi="宋体"/>
          <w:sz w:val="24"/>
          <w:szCs w:val="24"/>
          <w:u w:val="single"/>
        </w:rPr>
        <w:t>勘察设计、施工准备（含三通一平）、施工（含通信）、竣工结算、缺陷责任期、电子化移交的全过程监理，以及初步设计概算（或施工图预算）中监理计费范围以外但与工程相关的监理工作。按照建设单位要求使用工程信息管理系统</w:t>
      </w:r>
      <w:r>
        <w:rPr>
          <w:rFonts w:hint="eastAsia" w:hAnsi="宋体"/>
          <w:sz w:val="24"/>
          <w:szCs w:val="24"/>
        </w:rPr>
        <w:t>。</w:t>
      </w:r>
    </w:p>
    <w:p w14:paraId="0265EFA3"/>
    <w:p w14:paraId="5C24A980">
      <w:pPr>
        <w:pStyle w:val="5"/>
        <w:spacing w:line="360" w:lineRule="auto"/>
        <w:rPr>
          <w:rFonts w:asciiTheme="minorEastAsia" w:hAnsiTheme="minorEastAsia" w:eastAsiaTheme="minorEastAsia" w:cstheme="minorEastAsia"/>
          <w:bCs/>
          <w:i w:val="0"/>
          <w:color w:val="auto"/>
          <w:sz w:val="24"/>
          <w:szCs w:val="24"/>
        </w:rPr>
      </w:pPr>
      <w:r>
        <w:rPr>
          <w:rFonts w:hint="eastAsia" w:asciiTheme="minorEastAsia" w:hAnsiTheme="minorEastAsia" w:eastAsiaTheme="minorEastAsia" w:cstheme="minorEastAsia"/>
          <w:bCs/>
          <w:i w:val="0"/>
          <w:color w:val="auto"/>
          <w:sz w:val="24"/>
          <w:szCs w:val="24"/>
        </w:rPr>
        <w:t>三、报价表</w:t>
      </w:r>
    </w:p>
    <w:tbl>
      <w:tblPr>
        <w:tblStyle w:val="14"/>
        <w:tblpPr w:leftFromText="180" w:rightFromText="180" w:vertAnchor="text" w:horzAnchor="page" w:tblpXSpec="center" w:tblpY="65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14:paraId="0FC8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bottom w:val="single" w:color="auto" w:sz="4" w:space="0"/>
            </w:tcBorders>
            <w:noWrap/>
            <w:vAlign w:val="center"/>
          </w:tcPr>
          <w:p w14:paraId="3D755CB5">
            <w:pPr>
              <w:tabs>
                <w:tab w:val="left" w:pos="900"/>
              </w:tabs>
              <w:snapToGrid w:val="0"/>
              <w:ind w:right="-24"/>
              <w:jc w:val="center"/>
              <w:rPr>
                <w:rFonts w:ascii="宋体" w:hAnsi="宋体"/>
              </w:rPr>
            </w:pPr>
            <w:r>
              <w:rPr>
                <w:rFonts w:hint="eastAsia" w:ascii="宋体" w:hAnsi="宋体"/>
              </w:rPr>
              <w:t>序号</w:t>
            </w:r>
          </w:p>
        </w:tc>
        <w:tc>
          <w:tcPr>
            <w:tcW w:w="2242" w:type="dxa"/>
            <w:tcBorders>
              <w:bottom w:val="single" w:color="auto" w:sz="4" w:space="0"/>
            </w:tcBorders>
            <w:noWrap/>
            <w:vAlign w:val="center"/>
          </w:tcPr>
          <w:p w14:paraId="71CBD809">
            <w:pPr>
              <w:tabs>
                <w:tab w:val="left" w:pos="900"/>
              </w:tabs>
              <w:snapToGrid w:val="0"/>
              <w:ind w:left="282" w:right="-24"/>
              <w:jc w:val="center"/>
              <w:rPr>
                <w:rFonts w:ascii="宋体" w:hAnsi="宋体"/>
              </w:rPr>
            </w:pPr>
            <w:r>
              <w:rPr>
                <w:rFonts w:hint="eastAsia" w:ascii="宋体" w:hAnsi="宋体"/>
              </w:rPr>
              <w:t>费用名称</w:t>
            </w:r>
          </w:p>
        </w:tc>
        <w:tc>
          <w:tcPr>
            <w:tcW w:w="1519" w:type="dxa"/>
            <w:noWrap/>
          </w:tcPr>
          <w:p w14:paraId="3066B3CE">
            <w:pPr>
              <w:tabs>
                <w:tab w:val="left" w:pos="900"/>
              </w:tabs>
              <w:snapToGrid w:val="0"/>
              <w:spacing w:before="120" w:after="120"/>
              <w:ind w:right="-24"/>
              <w:jc w:val="center"/>
              <w:rPr>
                <w:rFonts w:ascii="宋体" w:hAnsi="宋体"/>
              </w:rPr>
            </w:pPr>
            <w:r>
              <w:rPr>
                <w:rFonts w:hint="eastAsia" w:ascii="宋体" w:hAnsi="宋体"/>
              </w:rPr>
              <w:t>最高投标限价(元)</w:t>
            </w:r>
          </w:p>
        </w:tc>
        <w:tc>
          <w:tcPr>
            <w:tcW w:w="1033" w:type="dxa"/>
            <w:tcBorders>
              <w:bottom w:val="single" w:color="auto" w:sz="4" w:space="0"/>
            </w:tcBorders>
            <w:noWrap/>
            <w:vAlign w:val="center"/>
          </w:tcPr>
          <w:p w14:paraId="30773D1B">
            <w:pPr>
              <w:tabs>
                <w:tab w:val="left" w:pos="900"/>
              </w:tabs>
              <w:snapToGrid w:val="0"/>
              <w:spacing w:before="120" w:after="120"/>
              <w:ind w:right="-24"/>
              <w:jc w:val="center"/>
              <w:rPr>
                <w:rFonts w:ascii="宋体" w:hAnsi="宋体"/>
                <w:b/>
              </w:rPr>
            </w:pPr>
            <w:r>
              <w:rPr>
                <w:rFonts w:hint="eastAsia" w:ascii="宋体" w:hAnsi="宋体"/>
                <w:bCs/>
              </w:rPr>
              <w:t>投标下浮率</w:t>
            </w:r>
          </w:p>
        </w:tc>
        <w:tc>
          <w:tcPr>
            <w:tcW w:w="1559" w:type="dxa"/>
            <w:tcBorders>
              <w:bottom w:val="single" w:color="auto" w:sz="4" w:space="0"/>
            </w:tcBorders>
            <w:noWrap/>
          </w:tcPr>
          <w:p w14:paraId="0272BDC5">
            <w:pPr>
              <w:tabs>
                <w:tab w:val="left" w:pos="900"/>
              </w:tabs>
              <w:snapToGrid w:val="0"/>
              <w:spacing w:before="120" w:after="120"/>
              <w:ind w:right="-24"/>
              <w:jc w:val="center"/>
              <w:rPr>
                <w:rFonts w:ascii="宋体" w:hAnsi="宋体"/>
              </w:rPr>
            </w:pPr>
            <w:r>
              <w:rPr>
                <w:rFonts w:hint="eastAsia" w:ascii="宋体" w:hAnsi="宋体" w:cs="宋体"/>
                <w:kern w:val="0"/>
                <w:szCs w:val="21"/>
              </w:rPr>
              <w:t>投标报价</w:t>
            </w:r>
            <w:r>
              <w:rPr>
                <w:rFonts w:hint="eastAsia" w:ascii="宋体" w:hAnsi="宋体"/>
              </w:rPr>
              <w:t>(元)</w:t>
            </w:r>
          </w:p>
        </w:tc>
        <w:tc>
          <w:tcPr>
            <w:tcW w:w="1134" w:type="dxa"/>
            <w:tcBorders>
              <w:bottom w:val="single" w:color="auto" w:sz="4" w:space="0"/>
            </w:tcBorders>
            <w:noWrap/>
            <w:vAlign w:val="center"/>
          </w:tcPr>
          <w:p w14:paraId="7D54055B">
            <w:pPr>
              <w:tabs>
                <w:tab w:val="left" w:pos="900"/>
              </w:tabs>
              <w:snapToGrid w:val="0"/>
              <w:spacing w:before="120" w:after="120"/>
              <w:ind w:right="-24"/>
              <w:jc w:val="center"/>
              <w:rPr>
                <w:rFonts w:ascii="宋体" w:hAnsi="宋体"/>
              </w:rPr>
            </w:pPr>
            <w:r>
              <w:rPr>
                <w:rFonts w:hint="eastAsia" w:ascii="宋体" w:hAnsi="宋体"/>
              </w:rPr>
              <w:t>备注</w:t>
            </w:r>
          </w:p>
        </w:tc>
      </w:tr>
      <w:tr w14:paraId="3A2F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ign w:val="center"/>
          </w:tcPr>
          <w:p w14:paraId="3B65F63A">
            <w:pPr>
              <w:widowControl/>
              <w:jc w:val="center"/>
              <w:textAlignment w:val="center"/>
              <w:rPr>
                <w:rFonts w:ascii="宋体" w:hAnsi="宋体"/>
              </w:rPr>
            </w:pPr>
            <w:r>
              <w:rPr>
                <w:rFonts w:hint="eastAsia" w:ascii="宋体" w:hAnsi="宋体" w:cs="宋体"/>
                <w:b/>
                <w:bCs/>
                <w:color w:val="000000"/>
                <w:kern w:val="0"/>
                <w:szCs w:val="21"/>
              </w:rPr>
              <w:t>一</w:t>
            </w:r>
          </w:p>
        </w:tc>
        <w:tc>
          <w:tcPr>
            <w:tcW w:w="2242" w:type="dxa"/>
            <w:tcBorders>
              <w:top w:val="single" w:color="auto" w:sz="4" w:space="0"/>
              <w:bottom w:val="single" w:color="auto" w:sz="4" w:space="0"/>
            </w:tcBorders>
            <w:noWrap/>
            <w:vAlign w:val="center"/>
          </w:tcPr>
          <w:p w14:paraId="4AE5AF27">
            <w:pPr>
              <w:widowControl/>
              <w:jc w:val="left"/>
              <w:textAlignment w:val="center"/>
              <w:rPr>
                <w:rFonts w:ascii="宋体" w:hAnsi="宋体"/>
              </w:rPr>
            </w:pPr>
            <w:r>
              <w:rPr>
                <w:rFonts w:hint="eastAsia" w:ascii="宋体" w:hAnsi="宋体" w:cs="宋体"/>
                <w:b/>
                <w:bCs/>
                <w:color w:val="000000" w:themeColor="text1"/>
                <w:kern w:val="0"/>
                <w:szCs w:val="21"/>
                <w14:textFill>
                  <w14:solidFill>
                    <w14:schemeClr w14:val="tx1"/>
                  </w14:solidFill>
                </w14:textFill>
              </w:rPr>
              <w:t>变电工程</w:t>
            </w:r>
          </w:p>
        </w:tc>
        <w:tc>
          <w:tcPr>
            <w:tcW w:w="1519" w:type="dxa"/>
            <w:noWrap/>
          </w:tcPr>
          <w:p w14:paraId="4823C312">
            <w:pPr>
              <w:tabs>
                <w:tab w:val="left" w:pos="900"/>
              </w:tabs>
              <w:snapToGrid w:val="0"/>
              <w:spacing w:before="60" w:after="120"/>
              <w:ind w:right="-24"/>
              <w:jc w:val="center"/>
              <w:rPr>
                <w:rFonts w:hint="default" w:ascii="宋体" w:hAnsi="宋体"/>
                <w:lang w:val="en-US"/>
              </w:rPr>
            </w:pPr>
            <w:r>
              <w:rPr>
                <w:rFonts w:hint="eastAsia" w:ascii="宋体" w:hAnsi="宋体"/>
                <w:lang w:val="en-US" w:eastAsia="zh-CN"/>
              </w:rPr>
              <w:t>210700.00</w:t>
            </w:r>
          </w:p>
        </w:tc>
        <w:tc>
          <w:tcPr>
            <w:tcW w:w="1033" w:type="dxa"/>
            <w:vMerge w:val="restart"/>
            <w:tcBorders>
              <w:top w:val="single" w:color="auto" w:sz="4" w:space="0"/>
            </w:tcBorders>
            <w:noWrap/>
            <w:vAlign w:val="center"/>
          </w:tcPr>
          <w:p w14:paraId="0F96AE1A">
            <w:pPr>
              <w:tabs>
                <w:tab w:val="left" w:pos="900"/>
              </w:tabs>
              <w:snapToGrid w:val="0"/>
              <w:spacing w:before="60" w:after="120"/>
              <w:ind w:right="-24"/>
              <w:jc w:val="center"/>
              <w:rPr>
                <w:rFonts w:ascii="宋体" w:hAnsi="宋体"/>
              </w:rPr>
            </w:pPr>
            <w:r>
              <w:rPr>
                <w:rFonts w:hint="eastAsia" w:ascii="宋体" w:hAnsi="宋体" w:cs="宋体"/>
                <w:kern w:val="0"/>
                <w:szCs w:val="21"/>
                <w:u w:val="single"/>
                <w:lang w:val="en-US" w:eastAsia="zh-CN"/>
              </w:rPr>
              <w:t xml:space="preserve">   </w:t>
            </w:r>
            <w:r>
              <w:rPr>
                <w:rFonts w:hint="eastAsia" w:ascii="宋体" w:hAnsi="宋体" w:cs="宋体"/>
                <w:kern w:val="0"/>
                <w:szCs w:val="21"/>
              </w:rPr>
              <w:t>%</w:t>
            </w:r>
          </w:p>
        </w:tc>
        <w:tc>
          <w:tcPr>
            <w:tcW w:w="1559" w:type="dxa"/>
            <w:tcBorders>
              <w:top w:val="single" w:color="auto" w:sz="4" w:space="0"/>
            </w:tcBorders>
            <w:noWrap/>
          </w:tcPr>
          <w:p w14:paraId="70A0D735">
            <w:pPr>
              <w:tabs>
                <w:tab w:val="left" w:pos="900"/>
              </w:tabs>
              <w:snapToGrid w:val="0"/>
              <w:spacing w:before="60" w:after="120"/>
              <w:ind w:right="-24"/>
              <w:jc w:val="center"/>
              <w:rPr>
                <w:rFonts w:ascii="宋体" w:hAnsi="宋体"/>
              </w:rPr>
            </w:pPr>
          </w:p>
        </w:tc>
        <w:tc>
          <w:tcPr>
            <w:tcW w:w="1134" w:type="dxa"/>
            <w:tcBorders>
              <w:top w:val="single" w:color="auto" w:sz="4" w:space="0"/>
              <w:bottom w:val="single" w:color="auto" w:sz="4" w:space="0"/>
            </w:tcBorders>
            <w:noWrap/>
            <w:vAlign w:val="center"/>
          </w:tcPr>
          <w:p w14:paraId="04FA4F49">
            <w:pPr>
              <w:tabs>
                <w:tab w:val="left" w:pos="900"/>
              </w:tabs>
              <w:snapToGrid w:val="0"/>
              <w:spacing w:before="60" w:after="120"/>
              <w:ind w:right="-24"/>
              <w:jc w:val="center"/>
              <w:rPr>
                <w:rFonts w:ascii="宋体" w:hAnsi="宋体"/>
              </w:rPr>
            </w:pPr>
          </w:p>
        </w:tc>
      </w:tr>
      <w:tr w14:paraId="315E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ign w:val="center"/>
          </w:tcPr>
          <w:p w14:paraId="17F366A5">
            <w:pPr>
              <w:tabs>
                <w:tab w:val="left" w:pos="900"/>
              </w:tabs>
              <w:snapToGrid w:val="0"/>
              <w:spacing w:before="60" w:after="120"/>
              <w:ind w:right="-24"/>
              <w:jc w:val="center"/>
              <w:rPr>
                <w:rFonts w:ascii="宋体" w:hAnsi="宋体"/>
              </w:rPr>
            </w:pPr>
            <w:r>
              <w:rPr>
                <w:rFonts w:hint="eastAsia" w:ascii="宋体" w:hAnsi="宋体"/>
              </w:rPr>
              <w:t>1</w:t>
            </w:r>
          </w:p>
        </w:tc>
        <w:tc>
          <w:tcPr>
            <w:tcW w:w="2242" w:type="dxa"/>
            <w:tcBorders>
              <w:top w:val="single" w:color="auto" w:sz="4" w:space="0"/>
              <w:bottom w:val="single" w:color="auto" w:sz="4" w:space="0"/>
            </w:tcBorders>
            <w:noWrap/>
            <w:vAlign w:val="center"/>
          </w:tcPr>
          <w:p w14:paraId="7AF77DF4">
            <w:pPr>
              <w:tabs>
                <w:tab w:val="left" w:pos="900"/>
              </w:tabs>
              <w:snapToGrid w:val="0"/>
              <w:spacing w:before="60" w:after="120"/>
              <w:ind w:right="-24"/>
              <w:jc w:val="left"/>
              <w:rPr>
                <w:rFonts w:hAnsi="宋体"/>
                <w:u w:val="single"/>
              </w:rPr>
            </w:pPr>
            <w:r>
              <w:rPr>
                <w:rFonts w:hint="eastAsia" w:hAnsi="宋体"/>
                <w:u w:val="single"/>
              </w:rPr>
              <w:t>220千伏花地站扩建第三台主变工程(第一分册)</w:t>
            </w:r>
          </w:p>
        </w:tc>
        <w:tc>
          <w:tcPr>
            <w:tcW w:w="1519" w:type="dxa"/>
            <w:noWrap/>
            <w:vAlign w:val="center"/>
          </w:tcPr>
          <w:p w14:paraId="2D37F272">
            <w:pPr>
              <w:tabs>
                <w:tab w:val="left" w:pos="900"/>
              </w:tabs>
              <w:snapToGrid w:val="0"/>
              <w:spacing w:before="60" w:after="120"/>
              <w:ind w:right="-24"/>
              <w:jc w:val="center"/>
              <w:rPr>
                <w:rFonts w:hint="default" w:ascii="宋体" w:hAnsi="宋体" w:eastAsia="宋体"/>
                <w:lang w:val="en-US" w:eastAsia="zh-CN"/>
              </w:rPr>
            </w:pPr>
            <w:r>
              <w:rPr>
                <w:rFonts w:hint="eastAsia" w:ascii="宋体" w:hAnsi="宋体"/>
                <w:lang w:val="en-US" w:eastAsia="zh-CN"/>
              </w:rPr>
              <w:t>210700.00</w:t>
            </w:r>
          </w:p>
        </w:tc>
        <w:tc>
          <w:tcPr>
            <w:tcW w:w="1033" w:type="dxa"/>
            <w:vMerge w:val="continue"/>
            <w:noWrap/>
            <w:vAlign w:val="center"/>
          </w:tcPr>
          <w:p w14:paraId="3A582D2C">
            <w:pPr>
              <w:tabs>
                <w:tab w:val="left" w:pos="900"/>
              </w:tabs>
              <w:snapToGrid w:val="0"/>
              <w:spacing w:before="60" w:after="120"/>
              <w:ind w:right="-24"/>
              <w:jc w:val="center"/>
              <w:rPr>
                <w:rFonts w:ascii="宋体" w:hAnsi="宋体"/>
              </w:rPr>
            </w:pPr>
          </w:p>
        </w:tc>
        <w:tc>
          <w:tcPr>
            <w:tcW w:w="1559" w:type="dxa"/>
            <w:tcBorders>
              <w:top w:val="single" w:color="auto" w:sz="4" w:space="0"/>
            </w:tcBorders>
            <w:noWrap/>
          </w:tcPr>
          <w:p w14:paraId="3E522FDA">
            <w:pPr>
              <w:tabs>
                <w:tab w:val="left" w:pos="900"/>
              </w:tabs>
              <w:snapToGrid w:val="0"/>
              <w:spacing w:before="60" w:after="120"/>
              <w:ind w:right="-24"/>
              <w:jc w:val="center"/>
              <w:rPr>
                <w:rFonts w:ascii="宋体" w:hAnsi="宋体"/>
              </w:rPr>
            </w:pPr>
          </w:p>
        </w:tc>
        <w:tc>
          <w:tcPr>
            <w:tcW w:w="1134" w:type="dxa"/>
            <w:tcBorders>
              <w:top w:val="single" w:color="auto" w:sz="4" w:space="0"/>
              <w:bottom w:val="single" w:color="auto" w:sz="4" w:space="0"/>
            </w:tcBorders>
            <w:noWrap/>
            <w:vAlign w:val="center"/>
          </w:tcPr>
          <w:p w14:paraId="56293582">
            <w:pPr>
              <w:tabs>
                <w:tab w:val="left" w:pos="900"/>
              </w:tabs>
              <w:snapToGrid w:val="0"/>
              <w:spacing w:before="60" w:after="120"/>
              <w:ind w:right="-24"/>
              <w:jc w:val="center"/>
              <w:rPr>
                <w:rFonts w:ascii="宋体" w:hAnsi="宋体"/>
              </w:rPr>
            </w:pPr>
          </w:p>
        </w:tc>
      </w:tr>
      <w:tr w14:paraId="082E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ign w:val="center"/>
          </w:tcPr>
          <w:p w14:paraId="2EA270B8">
            <w:pPr>
              <w:tabs>
                <w:tab w:val="left" w:pos="900"/>
              </w:tabs>
              <w:snapToGrid w:val="0"/>
              <w:spacing w:before="60" w:after="120"/>
              <w:ind w:right="-24"/>
              <w:jc w:val="center"/>
              <w:rPr>
                <w:rFonts w:ascii="宋体" w:hAnsi="宋体"/>
              </w:rPr>
            </w:pPr>
            <w:r>
              <w:rPr>
                <w:rFonts w:hint="eastAsia" w:ascii="宋体" w:hAnsi="宋体"/>
              </w:rPr>
              <w:t>二</w:t>
            </w:r>
          </w:p>
        </w:tc>
        <w:tc>
          <w:tcPr>
            <w:tcW w:w="2242" w:type="dxa"/>
            <w:tcBorders>
              <w:top w:val="single" w:color="auto" w:sz="4" w:space="0"/>
              <w:bottom w:val="single" w:color="auto" w:sz="4" w:space="0"/>
            </w:tcBorders>
            <w:noWrap/>
            <w:vAlign w:val="center"/>
          </w:tcPr>
          <w:p w14:paraId="1456B49D">
            <w:pPr>
              <w:tabs>
                <w:tab w:val="left" w:pos="900"/>
              </w:tabs>
              <w:snapToGrid w:val="0"/>
              <w:spacing w:before="60" w:after="120"/>
              <w:ind w:right="-24"/>
              <w:jc w:val="left"/>
              <w:rPr>
                <w:rFonts w:hAnsi="宋体"/>
                <w:u w:val="single"/>
              </w:rPr>
            </w:pPr>
            <w:r>
              <w:rPr>
                <w:rFonts w:hint="eastAsia" w:ascii="宋体" w:hAnsi="宋体" w:cs="宋体"/>
                <w:b/>
                <w:bCs/>
                <w:color w:val="000000" w:themeColor="text1"/>
                <w:kern w:val="0"/>
                <w:szCs w:val="21"/>
                <w14:textFill>
                  <w14:solidFill>
                    <w14:schemeClr w14:val="tx1"/>
                  </w14:solidFill>
                </w14:textFill>
              </w:rPr>
              <w:t>110kV线路工程</w:t>
            </w:r>
          </w:p>
        </w:tc>
        <w:tc>
          <w:tcPr>
            <w:tcW w:w="1519" w:type="dxa"/>
            <w:noWrap/>
          </w:tcPr>
          <w:p w14:paraId="2BB9D131">
            <w:pPr>
              <w:tabs>
                <w:tab w:val="left" w:pos="900"/>
              </w:tabs>
              <w:snapToGrid w:val="0"/>
              <w:spacing w:before="60" w:after="120"/>
              <w:ind w:right="-24"/>
              <w:jc w:val="center"/>
              <w:rPr>
                <w:rFonts w:hint="default" w:ascii="宋体" w:hAnsi="宋体"/>
                <w:lang w:val="en-US"/>
              </w:rPr>
            </w:pPr>
            <w:r>
              <w:rPr>
                <w:rFonts w:hint="eastAsia" w:ascii="宋体" w:hAnsi="宋体"/>
                <w:lang w:val="en-US" w:eastAsia="zh-CN"/>
              </w:rPr>
              <w:t>4700.00</w:t>
            </w:r>
          </w:p>
        </w:tc>
        <w:tc>
          <w:tcPr>
            <w:tcW w:w="1033" w:type="dxa"/>
            <w:vMerge w:val="continue"/>
            <w:noWrap/>
            <w:vAlign w:val="center"/>
          </w:tcPr>
          <w:p w14:paraId="355F64DF">
            <w:pPr>
              <w:tabs>
                <w:tab w:val="left" w:pos="900"/>
              </w:tabs>
              <w:snapToGrid w:val="0"/>
              <w:spacing w:before="60" w:after="120"/>
              <w:ind w:right="-24"/>
              <w:jc w:val="center"/>
              <w:rPr>
                <w:rFonts w:ascii="宋体" w:hAnsi="宋体"/>
              </w:rPr>
            </w:pPr>
          </w:p>
        </w:tc>
        <w:tc>
          <w:tcPr>
            <w:tcW w:w="1559" w:type="dxa"/>
            <w:tcBorders>
              <w:top w:val="single" w:color="auto" w:sz="4" w:space="0"/>
            </w:tcBorders>
            <w:noWrap/>
          </w:tcPr>
          <w:p w14:paraId="20CB41DD">
            <w:pPr>
              <w:tabs>
                <w:tab w:val="left" w:pos="900"/>
              </w:tabs>
              <w:snapToGrid w:val="0"/>
              <w:spacing w:before="60" w:after="120"/>
              <w:ind w:right="-24"/>
              <w:jc w:val="center"/>
              <w:rPr>
                <w:rFonts w:ascii="宋体" w:hAnsi="宋体"/>
              </w:rPr>
            </w:pPr>
          </w:p>
        </w:tc>
        <w:tc>
          <w:tcPr>
            <w:tcW w:w="1134" w:type="dxa"/>
            <w:tcBorders>
              <w:top w:val="single" w:color="auto" w:sz="4" w:space="0"/>
              <w:bottom w:val="single" w:color="auto" w:sz="4" w:space="0"/>
            </w:tcBorders>
            <w:noWrap/>
            <w:vAlign w:val="center"/>
          </w:tcPr>
          <w:p w14:paraId="3AF51CCB">
            <w:pPr>
              <w:tabs>
                <w:tab w:val="left" w:pos="900"/>
              </w:tabs>
              <w:snapToGrid w:val="0"/>
              <w:spacing w:before="60" w:after="120"/>
              <w:ind w:right="-24"/>
              <w:jc w:val="center"/>
              <w:rPr>
                <w:rFonts w:ascii="宋体" w:hAnsi="宋体"/>
              </w:rPr>
            </w:pPr>
          </w:p>
        </w:tc>
      </w:tr>
      <w:tr w14:paraId="4FCF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tcBorders>
              <w:top w:val="single" w:color="auto" w:sz="4" w:space="0"/>
              <w:bottom w:val="single" w:color="auto" w:sz="4" w:space="0"/>
            </w:tcBorders>
            <w:noWrap/>
            <w:vAlign w:val="center"/>
          </w:tcPr>
          <w:p w14:paraId="7DE3C05B">
            <w:pPr>
              <w:tabs>
                <w:tab w:val="left" w:pos="900"/>
              </w:tabs>
              <w:snapToGrid w:val="0"/>
              <w:spacing w:before="60" w:after="120"/>
              <w:ind w:right="-24"/>
              <w:jc w:val="center"/>
              <w:rPr>
                <w:rFonts w:hint="eastAsia" w:ascii="宋体" w:hAnsi="宋体"/>
                <w:lang w:val="en-US" w:eastAsia="zh-CN"/>
              </w:rPr>
            </w:pPr>
            <w:r>
              <w:rPr>
                <w:rFonts w:hint="eastAsia" w:ascii="宋体" w:hAnsi="宋体"/>
                <w:lang w:val="en-US" w:eastAsia="zh-CN"/>
              </w:rPr>
              <w:t>1</w:t>
            </w:r>
          </w:p>
        </w:tc>
        <w:tc>
          <w:tcPr>
            <w:tcW w:w="2242" w:type="dxa"/>
            <w:tcBorders>
              <w:top w:val="single" w:color="auto" w:sz="4" w:space="0"/>
              <w:bottom w:val="single" w:color="auto" w:sz="4" w:space="0"/>
            </w:tcBorders>
            <w:noWrap/>
            <w:vAlign w:val="center"/>
          </w:tcPr>
          <w:p w14:paraId="4009B164">
            <w:pPr>
              <w:tabs>
                <w:tab w:val="left" w:pos="900"/>
              </w:tabs>
              <w:snapToGrid w:val="0"/>
              <w:spacing w:before="60" w:after="120"/>
              <w:ind w:right="-24"/>
              <w:jc w:val="left"/>
              <w:rPr>
                <w:rFonts w:hint="eastAsia" w:ascii="宋体" w:hAnsi="宋体"/>
              </w:rPr>
            </w:pPr>
            <w:r>
              <w:rPr>
                <w:rFonts w:hint="eastAsia" w:ascii="宋体" w:hAnsi="宋体"/>
                <w:u w:val="single"/>
              </w:rPr>
              <w:t>220千伏花地站扩建第三台主变工程(第一分册)（110kV变中单回电缆线路）</w:t>
            </w:r>
          </w:p>
        </w:tc>
        <w:tc>
          <w:tcPr>
            <w:tcW w:w="1519" w:type="dxa"/>
            <w:noWrap/>
            <w:vAlign w:val="center"/>
          </w:tcPr>
          <w:p w14:paraId="595862C8">
            <w:pPr>
              <w:tabs>
                <w:tab w:val="left" w:pos="900"/>
              </w:tabs>
              <w:snapToGrid w:val="0"/>
              <w:spacing w:before="60" w:after="120"/>
              <w:ind w:right="-24"/>
              <w:jc w:val="center"/>
              <w:rPr>
                <w:rFonts w:hint="default" w:ascii="宋体" w:hAnsi="宋体" w:eastAsia="宋体"/>
                <w:lang w:val="en-US" w:eastAsia="zh-CN"/>
              </w:rPr>
            </w:pPr>
            <w:r>
              <w:rPr>
                <w:rFonts w:hint="eastAsia" w:ascii="宋体" w:hAnsi="宋体"/>
                <w:lang w:val="en-US" w:eastAsia="zh-CN"/>
              </w:rPr>
              <w:t>4700.00</w:t>
            </w:r>
          </w:p>
        </w:tc>
        <w:tc>
          <w:tcPr>
            <w:tcW w:w="1033" w:type="dxa"/>
            <w:vMerge w:val="continue"/>
            <w:noWrap/>
            <w:vAlign w:val="center"/>
          </w:tcPr>
          <w:p w14:paraId="4E300351">
            <w:pPr>
              <w:tabs>
                <w:tab w:val="left" w:pos="900"/>
              </w:tabs>
              <w:snapToGrid w:val="0"/>
              <w:spacing w:before="60" w:after="120"/>
              <w:ind w:right="-24"/>
              <w:jc w:val="center"/>
              <w:rPr>
                <w:rFonts w:ascii="宋体" w:hAnsi="宋体"/>
              </w:rPr>
            </w:pPr>
          </w:p>
        </w:tc>
        <w:tc>
          <w:tcPr>
            <w:tcW w:w="1559" w:type="dxa"/>
            <w:noWrap/>
          </w:tcPr>
          <w:p w14:paraId="50F0B89A">
            <w:pPr>
              <w:tabs>
                <w:tab w:val="left" w:pos="900"/>
              </w:tabs>
              <w:snapToGrid w:val="0"/>
              <w:spacing w:before="60" w:after="120"/>
              <w:ind w:right="-24"/>
              <w:jc w:val="center"/>
              <w:rPr>
                <w:rFonts w:ascii="宋体" w:hAnsi="宋体"/>
              </w:rPr>
            </w:pPr>
          </w:p>
        </w:tc>
        <w:tc>
          <w:tcPr>
            <w:tcW w:w="1134" w:type="dxa"/>
            <w:tcBorders>
              <w:top w:val="single" w:color="auto" w:sz="4" w:space="0"/>
              <w:bottom w:val="single" w:color="auto" w:sz="4" w:space="0"/>
            </w:tcBorders>
            <w:noWrap/>
            <w:vAlign w:val="center"/>
          </w:tcPr>
          <w:p w14:paraId="510AC5F5">
            <w:pPr>
              <w:tabs>
                <w:tab w:val="left" w:pos="900"/>
              </w:tabs>
              <w:snapToGrid w:val="0"/>
              <w:spacing w:before="60" w:after="120"/>
              <w:ind w:right="-24"/>
              <w:jc w:val="center"/>
              <w:rPr>
                <w:rFonts w:ascii="宋体" w:hAnsi="宋体"/>
              </w:rPr>
            </w:pPr>
          </w:p>
        </w:tc>
      </w:tr>
      <w:tr w14:paraId="2BC1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gridSpan w:val="2"/>
            <w:tcBorders>
              <w:top w:val="single" w:color="auto" w:sz="4" w:space="0"/>
              <w:bottom w:val="single" w:color="auto" w:sz="4" w:space="0"/>
            </w:tcBorders>
            <w:noWrap/>
            <w:vAlign w:val="center"/>
          </w:tcPr>
          <w:p w14:paraId="0C303CB6">
            <w:pPr>
              <w:tabs>
                <w:tab w:val="left" w:pos="900"/>
              </w:tabs>
              <w:snapToGrid w:val="0"/>
              <w:spacing w:before="60" w:after="120"/>
              <w:ind w:right="-24"/>
              <w:jc w:val="center"/>
              <w:rPr>
                <w:rFonts w:hint="eastAsia" w:hAnsi="宋体"/>
                <w:u w:val="single"/>
              </w:rPr>
            </w:pPr>
            <w:r>
              <w:rPr>
                <w:rFonts w:hint="eastAsia" w:ascii="宋体" w:hAnsi="宋体"/>
                <w:b/>
                <w:szCs w:val="21"/>
              </w:rPr>
              <w:t>投标报价总金额</w:t>
            </w:r>
          </w:p>
        </w:tc>
        <w:tc>
          <w:tcPr>
            <w:tcW w:w="1519" w:type="dxa"/>
            <w:noWrap/>
            <w:vAlign w:val="center"/>
          </w:tcPr>
          <w:p w14:paraId="04EDBEBD">
            <w:pPr>
              <w:tabs>
                <w:tab w:val="left" w:pos="900"/>
              </w:tabs>
              <w:snapToGrid w:val="0"/>
              <w:spacing w:before="60" w:after="120"/>
              <w:ind w:right="-24"/>
              <w:jc w:val="center"/>
              <w:rPr>
                <w:rFonts w:hint="eastAsia" w:ascii="宋体" w:hAnsi="宋体"/>
                <w:lang w:val="en-US" w:eastAsia="zh-CN"/>
              </w:rPr>
            </w:pPr>
            <w:r>
              <w:rPr>
                <w:rFonts w:hint="eastAsia" w:ascii="宋体" w:hAnsi="宋体"/>
                <w:lang w:val="en-US" w:eastAsia="zh-CN"/>
              </w:rPr>
              <w:t>215400.00</w:t>
            </w:r>
          </w:p>
        </w:tc>
        <w:tc>
          <w:tcPr>
            <w:tcW w:w="1033" w:type="dxa"/>
            <w:vMerge w:val="continue"/>
            <w:noWrap/>
            <w:vAlign w:val="center"/>
          </w:tcPr>
          <w:p w14:paraId="612661AA">
            <w:pPr>
              <w:tabs>
                <w:tab w:val="left" w:pos="900"/>
              </w:tabs>
              <w:snapToGrid w:val="0"/>
              <w:spacing w:before="60" w:after="120"/>
              <w:ind w:right="-24"/>
              <w:jc w:val="center"/>
              <w:rPr>
                <w:rFonts w:ascii="宋体" w:hAnsi="宋体"/>
              </w:rPr>
            </w:pPr>
          </w:p>
        </w:tc>
        <w:tc>
          <w:tcPr>
            <w:tcW w:w="1559" w:type="dxa"/>
            <w:noWrap/>
          </w:tcPr>
          <w:p w14:paraId="2DF89C3D">
            <w:pPr>
              <w:tabs>
                <w:tab w:val="left" w:pos="900"/>
              </w:tabs>
              <w:snapToGrid w:val="0"/>
              <w:spacing w:before="60" w:after="120"/>
              <w:ind w:right="-24"/>
              <w:jc w:val="center"/>
              <w:rPr>
                <w:rFonts w:ascii="宋体" w:hAnsi="宋体"/>
              </w:rPr>
            </w:pPr>
          </w:p>
        </w:tc>
        <w:tc>
          <w:tcPr>
            <w:tcW w:w="1134" w:type="dxa"/>
            <w:tcBorders>
              <w:top w:val="single" w:color="auto" w:sz="4" w:space="0"/>
              <w:bottom w:val="single" w:color="auto" w:sz="4" w:space="0"/>
            </w:tcBorders>
            <w:noWrap/>
            <w:vAlign w:val="center"/>
          </w:tcPr>
          <w:p w14:paraId="04504BDE">
            <w:pPr>
              <w:tabs>
                <w:tab w:val="left" w:pos="900"/>
              </w:tabs>
              <w:snapToGrid w:val="0"/>
              <w:spacing w:before="60" w:after="120"/>
              <w:ind w:right="-24"/>
              <w:jc w:val="center"/>
              <w:rPr>
                <w:rFonts w:ascii="宋体" w:hAnsi="宋体"/>
              </w:rPr>
            </w:pPr>
          </w:p>
        </w:tc>
      </w:tr>
    </w:tbl>
    <w:p w14:paraId="6CBE05E0">
      <w:pPr>
        <w:pStyle w:val="4"/>
      </w:pPr>
    </w:p>
    <w:p w14:paraId="1C89479A"/>
    <w:p w14:paraId="4514CEF0">
      <w:pPr>
        <w:pStyle w:val="4"/>
      </w:pPr>
    </w:p>
    <w:p w14:paraId="00F398D8"/>
    <w:p w14:paraId="567660AB">
      <w:pPr>
        <w:pStyle w:val="4"/>
      </w:pPr>
    </w:p>
    <w:p w14:paraId="6CBFEC10"/>
    <w:p w14:paraId="77DAA74A">
      <w:pPr>
        <w:pStyle w:val="4"/>
      </w:pPr>
    </w:p>
    <w:p w14:paraId="36528AB9"/>
    <w:p w14:paraId="4AFBD6F3">
      <w:pPr>
        <w:pStyle w:val="4"/>
      </w:pPr>
    </w:p>
    <w:p w14:paraId="2A25E90B"/>
    <w:p w14:paraId="121F61E1">
      <w:pPr>
        <w:pStyle w:val="3"/>
        <w:rPr>
          <w:rFonts w:ascii="宋体" w:hAnsi="宋体" w:cs="宋体"/>
          <w:sz w:val="24"/>
          <w:szCs w:val="24"/>
        </w:rPr>
      </w:pPr>
    </w:p>
    <w:p w14:paraId="5FB9854F">
      <w:pPr>
        <w:pStyle w:val="3"/>
        <w:rPr>
          <w:rFonts w:ascii="宋体" w:hAnsi="宋体" w:cs="宋体"/>
          <w:sz w:val="24"/>
          <w:szCs w:val="24"/>
        </w:rPr>
      </w:pPr>
    </w:p>
    <w:p w14:paraId="4608D3CC">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7EEA5D28">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40" w:firstLineChars="200"/>
        <w:textAlignment w:val="auto"/>
        <w:outlineLvl w:val="1"/>
        <w:rPr>
          <w:rStyle w:val="22"/>
          <w:b w:val="0"/>
          <w:bCs/>
          <w:i w:val="0"/>
          <w:iCs/>
          <w:color w:val="auto"/>
          <w:u w:val="single"/>
          <w:lang w:val="en-US" w:eastAsia="zh-CN" w:bidi="ar"/>
        </w:rPr>
      </w:pPr>
      <w:r>
        <w:rPr>
          <w:rStyle w:val="22"/>
          <w:b w:val="0"/>
          <w:bCs/>
          <w:i w:val="0"/>
          <w:iCs/>
          <w:color w:val="auto"/>
          <w:u w:val="single"/>
          <w:lang w:val="en-US" w:eastAsia="zh-CN" w:bidi="ar"/>
        </w:rPr>
        <w:t>（1）按下浮率报价（保留两位小数，如8.88%），同时填报投标报价（投标报价=最高投标限价*（1-投标下浮率），四舍五入保留两位小数）。当投标报价与投标下浮率计算结果不一致时，以投标下浮率为准，按上述公式修订投标报价。</w:t>
      </w:r>
      <w:r>
        <w:rPr>
          <w:rStyle w:val="22"/>
          <w:b w:val="0"/>
          <w:bCs/>
          <w:i w:val="0"/>
          <w:iCs/>
          <w:color w:val="auto"/>
          <w:u w:val="single"/>
          <w:lang w:val="en-US" w:eastAsia="zh-CN" w:bidi="ar"/>
        </w:rPr>
        <w:br w:type="textWrapping"/>
      </w:r>
      <w:r>
        <w:rPr>
          <w:rStyle w:val="22"/>
          <w:b w:val="0"/>
          <w:bCs/>
          <w:i w:val="0"/>
          <w:iCs/>
          <w:color w:val="auto"/>
          <w:u w:val="none"/>
          <w:lang w:val="en-US" w:eastAsia="zh-CN" w:bidi="ar"/>
        </w:rPr>
        <w:t xml:space="preserve"> </w:t>
      </w:r>
      <w:r>
        <w:rPr>
          <w:rStyle w:val="22"/>
          <w:rFonts w:hint="eastAsia"/>
          <w:b w:val="0"/>
          <w:bCs/>
          <w:i w:val="0"/>
          <w:iCs/>
          <w:color w:val="auto"/>
          <w:u w:val="none"/>
          <w:lang w:val="en-US" w:eastAsia="zh-CN" w:bidi="ar"/>
        </w:rPr>
        <w:t xml:space="preserve">  </w:t>
      </w:r>
      <w:r>
        <w:rPr>
          <w:rStyle w:val="22"/>
          <w:b w:val="0"/>
          <w:bCs/>
          <w:i w:val="0"/>
          <w:iCs/>
          <w:color w:val="auto"/>
          <w:u w:val="none"/>
          <w:lang w:val="en-US" w:eastAsia="zh-CN" w:bidi="ar"/>
        </w:rPr>
        <w:t xml:space="preserve"> </w:t>
      </w:r>
      <w:r>
        <w:rPr>
          <w:rStyle w:val="22"/>
          <w:b w:val="0"/>
          <w:bCs/>
          <w:i w:val="0"/>
          <w:iCs/>
          <w:color w:val="auto"/>
          <w:u w:val="single"/>
          <w:lang w:val="en-US" w:eastAsia="zh-CN" w:bidi="ar"/>
        </w:rPr>
        <w:t xml:space="preserve">（2）投标下浮率不低于0%为有效报价；当投标下浮率＞10%时应附成本分析报告，充分说明单价和费用的组成、降低成本的合理措施及在其他工程中应用过的经验等，经评审通过后方可视为有效报价。 </w:t>
      </w:r>
    </w:p>
    <w:p w14:paraId="131E67C5">
      <w:pPr>
        <w:pStyle w:val="3"/>
        <w:ind w:firstLine="220" w:firstLineChars="100"/>
        <w:rPr>
          <w:rFonts w:ascii="宋体" w:hAnsi="宋体" w:cs="宋体"/>
          <w:sz w:val="24"/>
          <w:szCs w:val="24"/>
        </w:rPr>
      </w:pPr>
      <w:r>
        <w:rPr>
          <w:rStyle w:val="22"/>
          <w:rFonts w:hint="eastAsia" w:ascii="宋体" w:hAnsi="宋体" w:eastAsia="宋体" w:cs="宋体"/>
          <w:b w:val="0"/>
          <w:bCs/>
          <w:i w:val="0"/>
          <w:iCs/>
          <w:color w:val="auto"/>
          <w:u w:val="single"/>
          <w:lang w:val="en-US" w:eastAsia="zh-CN" w:bidi="ar"/>
        </w:rPr>
        <w:t>（3）价格分计算时，投标人评标价按（100-投标人填写的下浮数值）参与计算。如：下浮率为1.88％时，评标价按（100-1.88）参与计算。</w:t>
      </w:r>
    </w:p>
    <w:p w14:paraId="345F5EF8"/>
    <w:p w14:paraId="58127081">
      <w:pPr>
        <w:pStyle w:val="5"/>
        <w:spacing w:line="360" w:lineRule="auto"/>
        <w:rPr>
          <w:rFonts w:asciiTheme="minorEastAsia" w:hAnsiTheme="minorEastAsia" w:eastAsiaTheme="minorEastAsia" w:cstheme="minorEastAsia"/>
          <w:bCs/>
          <w:i w:val="0"/>
          <w:color w:val="auto"/>
          <w:sz w:val="24"/>
          <w:szCs w:val="24"/>
        </w:rPr>
      </w:pPr>
      <w:r>
        <w:rPr>
          <w:rFonts w:hint="eastAsia" w:asciiTheme="minorEastAsia" w:hAnsiTheme="minorEastAsia" w:eastAsiaTheme="minorEastAsia" w:cstheme="minorEastAsia"/>
          <w:bCs/>
          <w:i w:val="0"/>
          <w:color w:val="auto"/>
          <w:sz w:val="24"/>
          <w:szCs w:val="24"/>
        </w:rPr>
        <w:t>四、结算方式</w:t>
      </w:r>
    </w:p>
    <w:p w14:paraId="0B20A938">
      <w:pPr>
        <w:pStyle w:val="13"/>
        <w:jc w:val="left"/>
        <w:rPr>
          <w:rFonts w:ascii="宋体" w:hAnsi="宋体" w:eastAsia="宋体" w:cs="宋体"/>
          <w:color w:val="auto"/>
          <w:kern w:val="2"/>
          <w:sz w:val="24"/>
          <w:szCs w:val="24"/>
          <w:u w:val="single"/>
        </w:rPr>
      </w:pPr>
      <w:r>
        <w:rPr>
          <w:rFonts w:hint="eastAsia" w:ascii="宋体" w:hAnsi="宋体" w:eastAsia="宋体" w:cs="宋体"/>
          <w:b w:val="0"/>
          <w:bCs w:val="0"/>
          <w:color w:val="auto"/>
          <w:kern w:val="2"/>
          <w:sz w:val="24"/>
          <w:szCs w:val="24"/>
          <w:u w:val="single"/>
        </w:rPr>
        <w:t>本合同为暂定价合同，结算方式详见合同条款。</w:t>
      </w:r>
    </w:p>
    <w:p w14:paraId="6B33388E">
      <w:pPr>
        <w:spacing w:beforeLines="50" w:afterLines="50" w:line="480" w:lineRule="auto"/>
        <w:rPr>
          <w:rFonts w:asciiTheme="minorEastAsia" w:hAnsiTheme="minorEastAsia" w:eastAsiaTheme="minorEastAsia" w:cstheme="minorEastAsia"/>
          <w:b/>
          <w:bCs/>
          <w:iCs/>
          <w:sz w:val="24"/>
          <w:szCs w:val="24"/>
        </w:rPr>
      </w:pPr>
      <w:r>
        <w:rPr>
          <w:rFonts w:hint="eastAsia" w:asciiTheme="minorEastAsia" w:hAnsiTheme="minorEastAsia" w:eastAsiaTheme="minorEastAsia" w:cstheme="minorEastAsia"/>
          <w:b/>
          <w:bCs/>
          <w:sz w:val="24"/>
          <w:szCs w:val="24"/>
        </w:rPr>
        <w:t>五、分包要求</w:t>
      </w:r>
    </w:p>
    <w:p w14:paraId="38574C2B">
      <w:pPr>
        <w:pStyle w:val="2"/>
        <w:spacing w:before="156" w:after="156"/>
        <w:ind w:firstLine="0" w:firstLineChars="0"/>
      </w:pPr>
      <w:r>
        <w:rPr>
          <w:rFonts w:ascii="Wingdings" w:hAnsi="Wingdings" w:cs="Wingdings"/>
        </w:rPr>
        <w:sym w:font="Wingdings" w:char="00FE"/>
      </w:r>
      <w:r>
        <w:rPr>
          <w:rFonts w:hint="eastAsia"/>
        </w:rPr>
        <w:t>不允许分包</w:t>
      </w:r>
    </w:p>
    <w:p w14:paraId="5EA962DD">
      <w:pPr>
        <w:pStyle w:val="2"/>
        <w:spacing w:before="156" w:after="156"/>
        <w:ind w:firstLine="0" w:firstLineChars="0"/>
      </w:pPr>
      <w:r>
        <w:rPr>
          <w:rFonts w:ascii="Wingdings" w:hAnsi="Wingdings" w:cs="Wingdings"/>
        </w:rPr>
        <w:sym w:font="Wingdings" w:char="00A8"/>
      </w:r>
      <w:r>
        <w:rPr>
          <w:rFonts w:hint="eastAsia"/>
        </w:rPr>
        <w:t>允许分包，但必须符合以下要求：</w:t>
      </w:r>
    </w:p>
    <w:p w14:paraId="5C0AC8EF">
      <w:pPr>
        <w:pStyle w:val="13"/>
        <w:jc w:val="left"/>
        <w:rPr>
          <w:rFonts w:ascii="宋体" w:hAnsi="宋体" w:cs="宋体"/>
          <w:sz w:val="24"/>
          <w:szCs w:val="24"/>
          <w:u w:val="single"/>
        </w:rPr>
      </w:pPr>
      <w:r>
        <w:rPr>
          <w:rFonts w:hint="eastAsia" w:ascii="宋体" w:hAnsi="宋体" w:eastAsia="宋体" w:cs="宋体"/>
          <w:color w:val="auto"/>
          <w:kern w:val="2"/>
          <w:sz w:val="24"/>
          <w:szCs w:val="24"/>
          <w:u w:val="single"/>
        </w:rPr>
        <w:t xml:space="preserve">                                      /                                     </w:t>
      </w:r>
    </w:p>
    <w:p w14:paraId="4AD876F8">
      <w:pPr>
        <w:rPr>
          <w:rFonts w:asciiTheme="minorEastAsia" w:hAnsiTheme="minorEastAsia" w:eastAsiaTheme="minorEastAsia" w:cstheme="minorEastAsia"/>
          <w:b/>
          <w:bCs/>
          <w:snapToGrid w:val="0"/>
          <w:kern w:val="0"/>
          <w:sz w:val="28"/>
          <w:szCs w:val="28"/>
        </w:rPr>
      </w:pPr>
      <w:r>
        <w:rPr>
          <w:rFonts w:hint="eastAsia" w:asciiTheme="minorEastAsia" w:hAnsiTheme="minorEastAsia" w:eastAsiaTheme="minorEastAsia" w:cstheme="minorEastAsia"/>
          <w:b/>
          <w:bCs/>
          <w:snapToGrid w:val="0"/>
          <w:kern w:val="0"/>
          <w:sz w:val="28"/>
          <w:szCs w:val="28"/>
        </w:rPr>
        <w:br w:type="page"/>
      </w:r>
    </w:p>
    <w:p w14:paraId="475FBE27">
      <w:pPr>
        <w:pStyle w:val="10"/>
        <w:numPr>
          <w:ilvl w:val="0"/>
          <w:numId w:val="2"/>
        </w:numPr>
        <w:spacing w:line="360" w:lineRule="auto"/>
        <w:jc w:val="left"/>
        <w:rPr>
          <w:rFonts w:asciiTheme="minorEastAsia" w:hAnsiTheme="minorEastAsia" w:eastAsiaTheme="minorEastAsia" w:cstheme="minorEastAsia"/>
          <w:b/>
          <w:bCs/>
          <w:snapToGrid w:val="0"/>
          <w:sz w:val="28"/>
          <w:szCs w:val="28"/>
        </w:rPr>
      </w:pPr>
      <w:r>
        <w:rPr>
          <w:rFonts w:hint="eastAsia" w:asciiTheme="minorEastAsia" w:hAnsiTheme="minorEastAsia" w:eastAsiaTheme="minorEastAsia" w:cstheme="minorEastAsia"/>
          <w:b/>
          <w:bCs/>
          <w:snapToGrid w:val="0"/>
          <w:sz w:val="28"/>
          <w:szCs w:val="28"/>
        </w:rPr>
        <w:t>技术标准、要求及图纸（对应招标文件 第五章）</w:t>
      </w:r>
    </w:p>
    <w:p w14:paraId="56A97C38">
      <w:pPr>
        <w:pStyle w:val="5"/>
        <w:rPr>
          <w:rFonts w:asciiTheme="minorEastAsia" w:hAnsiTheme="minorEastAsia" w:eastAsiaTheme="minorEastAsia" w:cstheme="minorEastAsia"/>
          <w:i w:val="0"/>
          <w:iCs/>
          <w:color w:val="auto"/>
          <w:sz w:val="24"/>
          <w:szCs w:val="24"/>
        </w:rPr>
      </w:pPr>
      <w:bookmarkStart w:id="1" w:name="_Toc508286565"/>
      <w:r>
        <w:rPr>
          <w:rFonts w:hint="eastAsia" w:asciiTheme="minorEastAsia" w:hAnsiTheme="minorEastAsia" w:eastAsiaTheme="minorEastAsia" w:cstheme="minorEastAsia"/>
          <w:i w:val="0"/>
          <w:iCs/>
          <w:color w:val="auto"/>
          <w:sz w:val="24"/>
          <w:szCs w:val="24"/>
        </w:rPr>
        <w:t>一、 管理规范和技术（规范）标准（详见合同附件）</w:t>
      </w:r>
      <w:bookmarkEnd w:id="1"/>
    </w:p>
    <w:p w14:paraId="61EBC561">
      <w:pPr>
        <w:pStyle w:val="10"/>
        <w:rPr>
          <w:rFonts w:asciiTheme="minorEastAsia" w:hAnsiTheme="minorEastAsia" w:eastAsiaTheme="minorEastAsia" w:cstheme="minorEastAsia"/>
          <w:iCs/>
          <w:sz w:val="24"/>
          <w:szCs w:val="24"/>
        </w:rPr>
      </w:pPr>
    </w:p>
    <w:p w14:paraId="25F19DB2">
      <w:pPr>
        <w:pStyle w:val="5"/>
        <w:rPr>
          <w:rFonts w:asciiTheme="minorEastAsia" w:hAnsiTheme="minorEastAsia" w:eastAsiaTheme="minorEastAsia" w:cstheme="minorEastAsia"/>
          <w:i w:val="0"/>
          <w:iCs/>
          <w:color w:val="auto"/>
          <w:sz w:val="24"/>
          <w:szCs w:val="24"/>
        </w:rPr>
      </w:pPr>
      <w:bookmarkStart w:id="2" w:name="_Toc508286566"/>
      <w:r>
        <w:rPr>
          <w:rFonts w:hint="eastAsia" w:asciiTheme="minorEastAsia" w:hAnsiTheme="minorEastAsia" w:eastAsiaTheme="minorEastAsia" w:cstheme="minorEastAsia"/>
          <w:i w:val="0"/>
          <w:iCs/>
          <w:color w:val="auto"/>
          <w:sz w:val="24"/>
          <w:szCs w:val="24"/>
        </w:rPr>
        <w:t>二、技术及管理要求</w:t>
      </w:r>
      <w:bookmarkEnd w:id="2"/>
    </w:p>
    <w:p w14:paraId="23D3C56E">
      <w:pPr>
        <w:autoSpaceDE w:val="0"/>
        <w:autoSpaceDN w:val="0"/>
        <w:adjustRightInd w:val="0"/>
        <w:rPr>
          <w:rFonts w:asciiTheme="minorEastAsia" w:hAnsiTheme="minorEastAsia" w:eastAsiaTheme="minorEastAsia" w:cstheme="minorEastAsia"/>
          <w:iCs/>
          <w:kern w:val="0"/>
          <w:sz w:val="24"/>
          <w:szCs w:val="24"/>
          <w:lang w:val="zh-CN"/>
        </w:rPr>
      </w:pPr>
      <w:r>
        <w:rPr>
          <w:rFonts w:hint="eastAsia" w:asciiTheme="minorEastAsia" w:hAnsiTheme="minorEastAsia" w:eastAsiaTheme="minorEastAsia" w:cstheme="minorEastAsia"/>
          <w:iCs/>
          <w:kern w:val="0"/>
          <w:sz w:val="24"/>
          <w:szCs w:val="24"/>
          <w:lang w:val="zh-CN"/>
        </w:rPr>
        <w:t>（一）满足中国南方电网有限责任公司《监理项目部工作手册》、中国南方电网有限责任公司基建管理制度、建设单位的质量、环境和职业健康安全管理体系文件、其他有关制度和规定。</w:t>
      </w:r>
    </w:p>
    <w:p w14:paraId="6619B696">
      <w:pPr>
        <w:pStyle w:val="5"/>
        <w:spacing w:beforeLines="50" w:line="360" w:lineRule="auto"/>
        <w:rPr>
          <w:rFonts w:asciiTheme="minorEastAsia" w:hAnsiTheme="minorEastAsia" w:eastAsiaTheme="minorEastAsia" w:cstheme="minorEastAsia"/>
          <w:b w:val="0"/>
          <w:bCs/>
          <w:i w:val="0"/>
          <w:iCs/>
          <w:color w:val="auto"/>
          <w:kern w:val="0"/>
          <w:sz w:val="24"/>
          <w:szCs w:val="24"/>
          <w:lang w:val="zh-CN"/>
        </w:rPr>
      </w:pPr>
      <w:r>
        <w:rPr>
          <w:rFonts w:hint="eastAsia" w:asciiTheme="minorEastAsia" w:hAnsiTheme="minorEastAsia" w:eastAsiaTheme="minorEastAsia" w:cstheme="minorEastAsia"/>
          <w:b w:val="0"/>
          <w:bCs/>
          <w:i w:val="0"/>
          <w:iCs/>
          <w:color w:val="auto"/>
          <w:kern w:val="0"/>
          <w:sz w:val="24"/>
          <w:szCs w:val="24"/>
          <w:lang w:val="zh-CN"/>
        </w:rPr>
        <w:t>（二）符合图纸及技术文件的要求。</w:t>
      </w:r>
    </w:p>
    <w:p w14:paraId="099BF455">
      <w:pPr>
        <w:pStyle w:val="5"/>
        <w:spacing w:beforeLines="50" w:line="360" w:lineRule="auto"/>
        <w:rPr>
          <w:rFonts w:asciiTheme="minorEastAsia" w:hAnsiTheme="minorEastAsia" w:eastAsiaTheme="minorEastAsia" w:cstheme="minorEastAsia"/>
          <w:b w:val="0"/>
          <w:i w:val="0"/>
          <w:color w:val="auto"/>
          <w:sz w:val="24"/>
          <w:szCs w:val="24"/>
        </w:rPr>
      </w:pPr>
      <w:r>
        <w:rPr>
          <w:rFonts w:hint="eastAsia" w:asciiTheme="minorEastAsia" w:hAnsiTheme="minorEastAsia" w:eastAsiaTheme="minorEastAsia" w:cstheme="minorEastAsia"/>
          <w:b w:val="0"/>
          <w:i w:val="0"/>
          <w:color w:val="auto"/>
          <w:sz w:val="24"/>
          <w:szCs w:val="24"/>
        </w:rPr>
        <w:t>（三）严格执行以下管理要求：</w:t>
      </w:r>
    </w:p>
    <w:p w14:paraId="48A45C4E">
      <w:pPr>
        <w:pStyle w:val="10"/>
        <w:rPr>
          <w:rFonts w:hAnsi="宋体"/>
          <w:sz w:val="24"/>
          <w:szCs w:val="24"/>
        </w:rPr>
      </w:pPr>
      <w:r>
        <w:rPr>
          <w:rFonts w:hint="eastAsia" w:hAnsi="宋体"/>
          <w:sz w:val="24"/>
          <w:szCs w:val="24"/>
        </w:rPr>
        <w:t>1、严格执行《保障中小企业款项支付条例》（中华人民共和国国务院令 第728号）相关要求，确保</w:t>
      </w:r>
      <w:r>
        <w:rPr>
          <w:rFonts w:hint="eastAsia"/>
          <w:sz w:val="24"/>
          <w:szCs w:val="24"/>
        </w:rPr>
        <w:t>款项支付依法合规。</w:t>
      </w:r>
    </w:p>
    <w:p w14:paraId="0999D083">
      <w:pPr>
        <w:pStyle w:val="10"/>
        <w:numPr>
          <w:ilvl w:val="0"/>
          <w:numId w:val="3"/>
        </w:numPr>
        <w:rPr>
          <w:rFonts w:hAnsi="宋体"/>
          <w:sz w:val="24"/>
          <w:szCs w:val="24"/>
        </w:rPr>
      </w:pPr>
      <w:r>
        <w:rPr>
          <w:rFonts w:hint="eastAsia" w:hAnsi="宋体"/>
          <w:sz w:val="24"/>
          <w:szCs w:val="24"/>
        </w:rPr>
        <w:t>按照公司要求使用资产管理信息系统及南网基建移动应用，若违反使用要求，按照南网基建承包商处罚条款进行扣分。</w:t>
      </w:r>
    </w:p>
    <w:p w14:paraId="18A0CF6F">
      <w:pPr>
        <w:pStyle w:val="10"/>
        <w:numPr>
          <w:ilvl w:val="0"/>
          <w:numId w:val="3"/>
        </w:numPr>
        <w:rPr>
          <w:rFonts w:hAnsi="宋体"/>
          <w:sz w:val="24"/>
          <w:szCs w:val="24"/>
        </w:rPr>
      </w:pPr>
      <w:r>
        <w:rPr>
          <w:rFonts w:hint="eastAsia" w:hAnsi="宋体"/>
          <w:sz w:val="24"/>
          <w:szCs w:val="24"/>
        </w:rPr>
        <w:t>持续推进基建安风体系认证工作，严格执行“四步法”、“八步骤”、“7S”管理，规范PPE（人工防护用品）管理，形成施工现场安全管理文化。</w:t>
      </w:r>
    </w:p>
    <w:p w14:paraId="7447439A">
      <w:pPr>
        <w:pStyle w:val="10"/>
        <w:numPr>
          <w:ilvl w:val="0"/>
          <w:numId w:val="3"/>
        </w:numPr>
        <w:rPr>
          <w:rFonts w:hAnsi="宋体"/>
          <w:sz w:val="24"/>
          <w:szCs w:val="24"/>
        </w:rPr>
      </w:pPr>
      <w:r>
        <w:rPr>
          <w:rFonts w:hint="eastAsia" w:hAnsi="宋体"/>
          <w:sz w:val="24"/>
          <w:szCs w:val="24"/>
        </w:rPr>
        <w:t>服从《南方电网公司基建承包商违章处罚条款》的日常检查及处罚、服从各建设单位安全违章处罚、服从各建设单位安全整顿及安全学习等各项安全管理指令。</w:t>
      </w:r>
    </w:p>
    <w:p w14:paraId="19560325">
      <w:pPr>
        <w:pStyle w:val="10"/>
        <w:numPr>
          <w:ilvl w:val="0"/>
          <w:numId w:val="3"/>
        </w:numPr>
        <w:rPr>
          <w:rFonts w:hAnsi="宋体"/>
          <w:sz w:val="24"/>
          <w:szCs w:val="24"/>
        </w:rPr>
      </w:pPr>
      <w:r>
        <w:rPr>
          <w:rFonts w:hint="eastAsia" w:hAnsi="宋体"/>
          <w:sz w:val="24"/>
          <w:szCs w:val="24"/>
        </w:rPr>
        <w:t>遵守国家、电力行业、公司持证上岗相关要求。</w:t>
      </w:r>
    </w:p>
    <w:p w14:paraId="12734A1C">
      <w:pPr>
        <w:pStyle w:val="10"/>
        <w:numPr>
          <w:ilvl w:val="0"/>
          <w:numId w:val="3"/>
        </w:numPr>
        <w:rPr>
          <w:rFonts w:hAnsi="宋体"/>
          <w:sz w:val="24"/>
          <w:szCs w:val="24"/>
        </w:rPr>
      </w:pPr>
      <w:r>
        <w:rPr>
          <w:rFonts w:hint="eastAsia" w:hAnsi="宋体"/>
          <w:sz w:val="24"/>
          <w:szCs w:val="24"/>
        </w:rPr>
        <w:t>自愿参加南方电网公司基建承包商登记建档并服从承包商管理相关规定。</w:t>
      </w:r>
    </w:p>
    <w:p w14:paraId="1050FC0D">
      <w:pPr>
        <w:pStyle w:val="10"/>
        <w:numPr>
          <w:ilvl w:val="0"/>
          <w:numId w:val="3"/>
        </w:numPr>
        <w:rPr>
          <w:rFonts w:hAnsi="宋体"/>
          <w:sz w:val="24"/>
          <w:szCs w:val="24"/>
        </w:rPr>
      </w:pPr>
      <w:r>
        <w:rPr>
          <w:rFonts w:hint="eastAsia" w:hAnsi="宋体"/>
          <w:sz w:val="24"/>
          <w:szCs w:val="24"/>
        </w:rPr>
        <w:t>严格执行南网“八不准”。</w:t>
      </w:r>
    </w:p>
    <w:p w14:paraId="7E3D59BE">
      <w:pPr>
        <w:pStyle w:val="10"/>
        <w:numPr>
          <w:ilvl w:val="0"/>
          <w:numId w:val="3"/>
        </w:numPr>
        <w:rPr>
          <w:rFonts w:hAnsi="宋体"/>
          <w:sz w:val="24"/>
          <w:szCs w:val="24"/>
        </w:rPr>
      </w:pPr>
      <w:r>
        <w:rPr>
          <w:rFonts w:hint="eastAsia" w:hAnsi="宋体"/>
          <w:sz w:val="24"/>
          <w:szCs w:val="24"/>
        </w:rPr>
        <w:t>深化WHS、施工作业指导书和验评标准的现场应用。</w:t>
      </w:r>
    </w:p>
    <w:p w14:paraId="438836C1">
      <w:pPr>
        <w:pStyle w:val="10"/>
        <w:numPr>
          <w:ilvl w:val="0"/>
          <w:numId w:val="3"/>
        </w:numPr>
        <w:rPr>
          <w:rFonts w:hAnsi="宋体"/>
          <w:sz w:val="24"/>
          <w:szCs w:val="24"/>
        </w:rPr>
      </w:pPr>
      <w:r>
        <w:rPr>
          <w:rFonts w:hint="eastAsia" w:hAnsi="宋体"/>
          <w:sz w:val="24"/>
          <w:szCs w:val="24"/>
        </w:rPr>
        <w:t>完善基建项目缺陷管理制度、表单，所有项目均严格实行缺陷填报。</w:t>
      </w:r>
    </w:p>
    <w:p w14:paraId="4156C0DF">
      <w:pPr>
        <w:pStyle w:val="10"/>
        <w:numPr>
          <w:ilvl w:val="0"/>
          <w:numId w:val="3"/>
        </w:numPr>
        <w:rPr>
          <w:rFonts w:asciiTheme="minorEastAsia" w:hAnsiTheme="minorEastAsia" w:eastAsiaTheme="minorEastAsia" w:cstheme="minorEastAsia"/>
          <w:kern w:val="2"/>
          <w:sz w:val="24"/>
          <w:szCs w:val="24"/>
        </w:rPr>
      </w:pPr>
      <w:r>
        <w:rPr>
          <w:rFonts w:hint="eastAsia" w:hAnsi="宋体"/>
          <w:sz w:val="24"/>
          <w:szCs w:val="24"/>
        </w:rPr>
        <w:t>积极配合执行各建设单位开展的信息化管理项目、新技术、新工艺开发应用。</w:t>
      </w:r>
    </w:p>
    <w:p w14:paraId="7D59DC09">
      <w:pPr>
        <w:pStyle w:val="5"/>
        <w:spacing w:beforeLines="50" w:afterLines="50"/>
        <w:rPr>
          <w:rFonts w:asciiTheme="minorEastAsia" w:hAnsiTheme="minorEastAsia" w:eastAsiaTheme="minorEastAsia" w:cstheme="minorEastAsia"/>
          <w:i w:val="0"/>
          <w:iCs/>
          <w:color w:val="auto"/>
          <w:sz w:val="24"/>
          <w:szCs w:val="24"/>
        </w:rPr>
      </w:pPr>
      <w:bookmarkStart w:id="3" w:name="_Toc482188640"/>
      <w:bookmarkStart w:id="4" w:name="_Toc11396"/>
      <w:r>
        <w:rPr>
          <w:rFonts w:hint="eastAsia" w:asciiTheme="minorEastAsia" w:hAnsiTheme="minorEastAsia" w:eastAsiaTheme="minorEastAsia" w:cstheme="minorEastAsia"/>
          <w:i w:val="0"/>
          <w:iCs/>
          <w:color w:val="auto"/>
          <w:sz w:val="24"/>
          <w:szCs w:val="24"/>
        </w:rPr>
        <w:t>三、</w:t>
      </w:r>
      <w:bookmarkEnd w:id="3"/>
      <w:r>
        <w:rPr>
          <w:rFonts w:hint="eastAsia" w:asciiTheme="minorEastAsia" w:hAnsiTheme="minorEastAsia" w:eastAsiaTheme="minorEastAsia" w:cstheme="minorEastAsia"/>
          <w:i w:val="0"/>
          <w:iCs/>
          <w:color w:val="auto"/>
          <w:sz w:val="24"/>
          <w:szCs w:val="24"/>
        </w:rPr>
        <w:t>图纸</w:t>
      </w:r>
      <w:bookmarkEnd w:id="4"/>
    </w:p>
    <w:p w14:paraId="3FA4F881">
      <w:pPr>
        <w:spacing w:line="360" w:lineRule="auto"/>
        <w:ind w:firstLine="480" w:firstLineChars="200"/>
        <w:rPr>
          <w:sz w:val="24"/>
          <w:szCs w:val="24"/>
        </w:rPr>
      </w:pPr>
      <w:bookmarkStart w:id="5" w:name="_Toc482188644"/>
      <w:r>
        <w:rPr>
          <w:rFonts w:hint="eastAsia"/>
          <w:sz w:val="24"/>
          <w:szCs w:val="24"/>
        </w:rPr>
        <w:t>无</w:t>
      </w:r>
    </w:p>
    <w:p w14:paraId="010D2714">
      <w:pPr>
        <w:pStyle w:val="5"/>
        <w:spacing w:beforeLines="50" w:afterLines="50"/>
        <w:rPr>
          <w:rFonts w:asciiTheme="minorEastAsia" w:hAnsiTheme="minorEastAsia" w:eastAsiaTheme="minorEastAsia" w:cstheme="minorEastAsia"/>
          <w:i w:val="0"/>
          <w:iCs/>
          <w:color w:val="auto"/>
          <w:sz w:val="24"/>
          <w:szCs w:val="24"/>
        </w:rPr>
      </w:pPr>
      <w:bookmarkStart w:id="6" w:name="_Toc30760"/>
      <w:r>
        <w:rPr>
          <w:rFonts w:hint="eastAsia" w:asciiTheme="minorEastAsia" w:hAnsiTheme="minorEastAsia" w:eastAsiaTheme="minorEastAsia" w:cstheme="minorEastAsia"/>
          <w:i w:val="0"/>
          <w:iCs/>
          <w:color w:val="auto"/>
          <w:sz w:val="24"/>
          <w:szCs w:val="24"/>
        </w:rPr>
        <w:t>四、</w:t>
      </w:r>
      <w:bookmarkEnd w:id="5"/>
      <w:bookmarkStart w:id="7" w:name="_Toc482188646"/>
      <w:r>
        <w:rPr>
          <w:rFonts w:hint="eastAsia" w:asciiTheme="minorEastAsia" w:hAnsiTheme="minorEastAsia" w:eastAsiaTheme="minorEastAsia" w:cstheme="minorEastAsia"/>
          <w:i w:val="0"/>
          <w:iCs/>
          <w:color w:val="auto"/>
          <w:sz w:val="24"/>
          <w:szCs w:val="24"/>
        </w:rPr>
        <w:t>其他要求</w:t>
      </w:r>
      <w:bookmarkEnd w:id="6"/>
      <w:bookmarkEnd w:id="7"/>
    </w:p>
    <w:p w14:paraId="06191209">
      <w:pPr>
        <w:spacing w:beforeLines="50" w:afterLines="5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招标人根据委托的监理范围和内容，随招标文件向投标人提供与监理范围和内容有关的以下文件、资料：</w:t>
      </w:r>
    </w:p>
    <w:p w14:paraId="55AD5EB9">
      <w:pPr>
        <w:numPr>
          <w:ilvl w:val="0"/>
          <w:numId w:val="4"/>
        </w:num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工程前期有关文件（可研审批文件）；</w:t>
      </w:r>
    </w:p>
    <w:p w14:paraId="6A0672D0">
      <w:pPr>
        <w:pStyle w:val="2"/>
        <w:spacing w:before="156" w:after="156"/>
        <w:ind w:firstLine="0" w:firstLineChars="0"/>
      </w:pPr>
    </w:p>
    <w:p w14:paraId="28E26AD2">
      <w:pPr>
        <w:pStyle w:val="2"/>
        <w:spacing w:before="156" w:after="156"/>
        <w:ind w:firstLine="0" w:firstLineChars="0"/>
      </w:pPr>
    </w:p>
    <w:p w14:paraId="217C4C06">
      <w:pPr>
        <w:pStyle w:val="2"/>
        <w:spacing w:before="156" w:after="156"/>
        <w:ind w:firstLine="0" w:firstLineChars="0"/>
      </w:pPr>
    </w:p>
    <w:p w14:paraId="7A603628">
      <w:pPr>
        <w:rPr>
          <w:rFonts w:ascii="宋体" w:hAnsi="宋体" w:cs="宋体"/>
          <w:sz w:val="24"/>
          <w:szCs w:val="24"/>
          <w:u w:val="single"/>
        </w:rPr>
      </w:pPr>
    </w:p>
    <w:p w14:paraId="6BBE066B">
      <w:pPr>
        <w:pStyle w:val="10"/>
        <w:spacing w:line="480" w:lineRule="atLeast"/>
        <w:rPr>
          <w:rFonts w:hAnsi="宋体" w:cs="宋体"/>
          <w:sz w:val="24"/>
          <w:szCs w:val="24"/>
          <w:u w:val="singl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2003736A"/>
    <w:multiLevelType w:val="singleLevel"/>
    <w:tmpl w:val="2003736A"/>
    <w:lvl w:ilvl="0" w:tentative="0">
      <w:start w:val="1"/>
      <w:numFmt w:val="decimal"/>
      <w:suff w:val="nothing"/>
      <w:lvlText w:val="（%1）"/>
      <w:lvlJc w:val="left"/>
    </w:lvl>
  </w:abstractNum>
  <w:abstractNum w:abstractNumId="3">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32792C"/>
    <w:rsid w:val="00456650"/>
    <w:rsid w:val="007A4AD7"/>
    <w:rsid w:val="00CD25DC"/>
    <w:rsid w:val="034C42F7"/>
    <w:rsid w:val="03F1316B"/>
    <w:rsid w:val="043716B5"/>
    <w:rsid w:val="04A24F71"/>
    <w:rsid w:val="076F3B3B"/>
    <w:rsid w:val="07CA37DF"/>
    <w:rsid w:val="07CC3833"/>
    <w:rsid w:val="0BC07002"/>
    <w:rsid w:val="0BD30473"/>
    <w:rsid w:val="0E2F4C02"/>
    <w:rsid w:val="0E3616E0"/>
    <w:rsid w:val="0E937FF7"/>
    <w:rsid w:val="0F81532F"/>
    <w:rsid w:val="107144D2"/>
    <w:rsid w:val="116419AD"/>
    <w:rsid w:val="11794537"/>
    <w:rsid w:val="11DF6CFE"/>
    <w:rsid w:val="13383335"/>
    <w:rsid w:val="14440D4B"/>
    <w:rsid w:val="14B666F3"/>
    <w:rsid w:val="15056A61"/>
    <w:rsid w:val="182633AB"/>
    <w:rsid w:val="18E57496"/>
    <w:rsid w:val="1A2D5CFF"/>
    <w:rsid w:val="1A386933"/>
    <w:rsid w:val="1A4F176B"/>
    <w:rsid w:val="1A912F72"/>
    <w:rsid w:val="1B663F82"/>
    <w:rsid w:val="1C2D4629"/>
    <w:rsid w:val="1C43636C"/>
    <w:rsid w:val="1D904223"/>
    <w:rsid w:val="1F653C49"/>
    <w:rsid w:val="1F6C0D31"/>
    <w:rsid w:val="1FF914D4"/>
    <w:rsid w:val="20735046"/>
    <w:rsid w:val="216F4D5B"/>
    <w:rsid w:val="23B738BA"/>
    <w:rsid w:val="24E67795"/>
    <w:rsid w:val="24F737D8"/>
    <w:rsid w:val="25100685"/>
    <w:rsid w:val="26A73075"/>
    <w:rsid w:val="2CA17C08"/>
    <w:rsid w:val="2DC43723"/>
    <w:rsid w:val="2DDF66E3"/>
    <w:rsid w:val="2FF65FF8"/>
    <w:rsid w:val="300D195C"/>
    <w:rsid w:val="30BF37B5"/>
    <w:rsid w:val="30E46D41"/>
    <w:rsid w:val="31C955A9"/>
    <w:rsid w:val="32D437A7"/>
    <w:rsid w:val="33B200AF"/>
    <w:rsid w:val="33E61BE2"/>
    <w:rsid w:val="35D97862"/>
    <w:rsid w:val="361736AD"/>
    <w:rsid w:val="36D200CF"/>
    <w:rsid w:val="379951F8"/>
    <w:rsid w:val="38382DC3"/>
    <w:rsid w:val="38DE045C"/>
    <w:rsid w:val="3A546240"/>
    <w:rsid w:val="3BF24D81"/>
    <w:rsid w:val="3BFE7BEA"/>
    <w:rsid w:val="3C4750A3"/>
    <w:rsid w:val="3C4A35F1"/>
    <w:rsid w:val="3E664B6D"/>
    <w:rsid w:val="3E7C194A"/>
    <w:rsid w:val="3ED7087B"/>
    <w:rsid w:val="3F141BFC"/>
    <w:rsid w:val="444D481C"/>
    <w:rsid w:val="44982260"/>
    <w:rsid w:val="44D414C9"/>
    <w:rsid w:val="46472D5E"/>
    <w:rsid w:val="496A657E"/>
    <w:rsid w:val="49843C09"/>
    <w:rsid w:val="4B3A1BDA"/>
    <w:rsid w:val="4BF83760"/>
    <w:rsid w:val="4C8349B8"/>
    <w:rsid w:val="520D6E5F"/>
    <w:rsid w:val="53115540"/>
    <w:rsid w:val="55C3156A"/>
    <w:rsid w:val="5782183A"/>
    <w:rsid w:val="57B7647A"/>
    <w:rsid w:val="57BD355E"/>
    <w:rsid w:val="59A5419F"/>
    <w:rsid w:val="5AF63B7D"/>
    <w:rsid w:val="5B0320E2"/>
    <w:rsid w:val="5B8B11A7"/>
    <w:rsid w:val="5B9E2EC4"/>
    <w:rsid w:val="5E93063E"/>
    <w:rsid w:val="5F797179"/>
    <w:rsid w:val="608606DE"/>
    <w:rsid w:val="610E324A"/>
    <w:rsid w:val="61F31EFD"/>
    <w:rsid w:val="63066BC7"/>
    <w:rsid w:val="63D0487B"/>
    <w:rsid w:val="64672037"/>
    <w:rsid w:val="64911DA0"/>
    <w:rsid w:val="65945D8D"/>
    <w:rsid w:val="66787717"/>
    <w:rsid w:val="66C35559"/>
    <w:rsid w:val="67D57489"/>
    <w:rsid w:val="68570F93"/>
    <w:rsid w:val="6A287B5E"/>
    <w:rsid w:val="6B303A1A"/>
    <w:rsid w:val="6DAA2FDF"/>
    <w:rsid w:val="6E121228"/>
    <w:rsid w:val="6FC971BF"/>
    <w:rsid w:val="70D1495F"/>
    <w:rsid w:val="70ED510D"/>
    <w:rsid w:val="74695E39"/>
    <w:rsid w:val="754C6F3B"/>
    <w:rsid w:val="75B11AFF"/>
    <w:rsid w:val="75D32619"/>
    <w:rsid w:val="765369C1"/>
    <w:rsid w:val="767D6887"/>
    <w:rsid w:val="780B6A75"/>
    <w:rsid w:val="79F83E18"/>
    <w:rsid w:val="7A262145"/>
    <w:rsid w:val="7BEC3F2B"/>
    <w:rsid w:val="7D0F76D8"/>
    <w:rsid w:val="7E3420E0"/>
    <w:rsid w:val="7E535DCD"/>
    <w:rsid w:val="7F7B43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5">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beforeLines="50" w:afterLines="50" w:line="360" w:lineRule="auto"/>
      <w:ind w:firstLine="200" w:firstLineChars="200"/>
    </w:pPr>
    <w:rPr>
      <w:rFonts w:ascii="Times New Roman" w:hAnsi="Times New Roman"/>
      <w:sz w:val="24"/>
      <w:szCs w:val="24"/>
    </w:rPr>
  </w:style>
  <w:style w:type="paragraph" w:styleId="3">
    <w:name w:val="Body Text"/>
    <w:basedOn w:val="1"/>
    <w:unhideWhenUsed/>
    <w:qFormat/>
    <w:uiPriority w:val="99"/>
    <w:pPr>
      <w:spacing w:after="120"/>
    </w:pPr>
  </w:style>
  <w:style w:type="paragraph" w:styleId="6">
    <w:name w:val="Normal Indent"/>
    <w:basedOn w:val="1"/>
    <w:qFormat/>
    <w:uiPriority w:val="0"/>
    <w:pPr>
      <w:ind w:firstLine="420"/>
    </w:pPr>
    <w:rPr>
      <w:rFonts w:ascii="Times New Roman" w:hAnsi="Times New Roman"/>
      <w:kern w:val="0"/>
      <w:sz w:val="20"/>
      <w:szCs w:val="20"/>
    </w:rPr>
  </w:style>
  <w:style w:type="paragraph" w:styleId="7">
    <w:name w:val="Document Map"/>
    <w:basedOn w:val="1"/>
    <w:link w:val="19"/>
    <w:qFormat/>
    <w:uiPriority w:val="0"/>
    <w:rPr>
      <w:rFonts w:ascii="宋体"/>
      <w:sz w:val="18"/>
      <w:szCs w:val="18"/>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kern w:val="0"/>
      <w:sz w:val="20"/>
      <w:szCs w:val="20"/>
    </w:rPr>
  </w:style>
  <w:style w:type="paragraph" w:styleId="11">
    <w:name w:val="footer"/>
    <w:basedOn w:val="1"/>
    <w:link w:val="21"/>
    <w:qFormat/>
    <w:uiPriority w:val="0"/>
    <w:pPr>
      <w:tabs>
        <w:tab w:val="center" w:pos="4153"/>
        <w:tab w:val="right" w:pos="8306"/>
      </w:tabs>
      <w:snapToGrid w:val="0"/>
      <w:jc w:val="left"/>
    </w:pPr>
    <w:rPr>
      <w:sz w:val="18"/>
      <w:szCs w:val="18"/>
    </w:rPr>
  </w:style>
  <w:style w:type="paragraph" w:styleId="12">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目录 21"/>
    <w:basedOn w:val="1"/>
    <w:next w:val="1"/>
    <w:qFormat/>
    <w:uiPriority w:val="0"/>
    <w:pPr>
      <w:spacing w:before="100" w:beforeAutospacing="1" w:after="100" w:afterAutospacing="1"/>
      <w:ind w:left="420" w:leftChars="200"/>
    </w:pPr>
  </w:style>
  <w:style w:type="paragraph" w:customStyle="1" w:styleId="18">
    <w:name w:val="正文首行缩进1"/>
    <w:basedOn w:val="1"/>
    <w:qFormat/>
    <w:uiPriority w:val="0"/>
    <w:pPr>
      <w:spacing w:line="360" w:lineRule="auto"/>
      <w:ind w:firstLine="200" w:firstLineChars="200"/>
    </w:pPr>
    <w:rPr>
      <w:sz w:val="24"/>
      <w:szCs w:val="24"/>
    </w:rPr>
  </w:style>
  <w:style w:type="character" w:customStyle="1" w:styleId="19">
    <w:name w:val="文档结构图 Char"/>
    <w:basedOn w:val="16"/>
    <w:link w:val="7"/>
    <w:qFormat/>
    <w:uiPriority w:val="0"/>
    <w:rPr>
      <w:rFonts w:ascii="宋体" w:hAnsi="Calibri"/>
      <w:kern w:val="2"/>
      <w:sz w:val="18"/>
      <w:szCs w:val="18"/>
    </w:rPr>
  </w:style>
  <w:style w:type="character" w:customStyle="1" w:styleId="20">
    <w:name w:val="页眉 Char"/>
    <w:basedOn w:val="16"/>
    <w:link w:val="12"/>
    <w:qFormat/>
    <w:uiPriority w:val="0"/>
    <w:rPr>
      <w:rFonts w:ascii="Calibri" w:hAnsi="Calibri"/>
      <w:kern w:val="2"/>
      <w:sz w:val="18"/>
      <w:szCs w:val="18"/>
    </w:rPr>
  </w:style>
  <w:style w:type="character" w:customStyle="1" w:styleId="21">
    <w:name w:val="页脚 Char"/>
    <w:basedOn w:val="16"/>
    <w:link w:val="11"/>
    <w:qFormat/>
    <w:uiPriority w:val="0"/>
    <w:rPr>
      <w:rFonts w:ascii="Calibri" w:hAnsi="Calibri"/>
      <w:kern w:val="2"/>
      <w:sz w:val="18"/>
      <w:szCs w:val="18"/>
    </w:rPr>
  </w:style>
  <w:style w:type="character" w:customStyle="1" w:styleId="22">
    <w:name w:val="font11"/>
    <w:basedOn w:val="1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1499</Words>
  <Characters>1619</Characters>
  <Lines>14</Lines>
  <Paragraphs>4</Paragraphs>
  <TotalTime>0</TotalTime>
  <ScaleCrop>false</ScaleCrop>
  <LinksUpToDate>false</LinksUpToDate>
  <CharactersWithSpaces>1706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2025-12-26T06:37:53Z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744E750122FD437B96BBDB1BE4FC0CFE_13</vt:lpwstr>
  </property>
  <property fmtid="{D5CDD505-2E9C-101B-9397-08002B2CF9AE}" pid="4" name="KSOTemplateDocerSaveRecord">
    <vt:lpwstr>eyJoZGlkIjoiNGQxZGUyZmQ5MDU5MjhiNzUxNWY4N2Q0ZGU2Y2VhOTgiLCJ1c2VySWQiOiI3MDM5OTYzMzMifQ==</vt:lpwstr>
  </property>
</Properties>
</file>