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D35F95">
      <w:pPr>
        <w:pStyle w:val="9"/>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bookmarkStart w:id="8" w:name="_GoBack"/>
      <w:r>
        <w:rPr>
          <w:rFonts w:hint="eastAsia" w:asciiTheme="minorEastAsia" w:hAnsiTheme="minorEastAsia" w:eastAsiaTheme="minorEastAsia" w:cstheme="minorEastAsia"/>
          <w:b/>
          <w:bCs/>
          <w:snapToGrid w:val="0"/>
          <w:color w:val="auto"/>
          <w:kern w:val="0"/>
          <w:sz w:val="32"/>
          <w:szCs w:val="32"/>
          <w:highlight w:val="none"/>
          <w:u w:val="none"/>
          <w:lang w:val="en-US" w:eastAsia="zh-CN"/>
        </w:rPr>
        <w:t>110千伏上涌公园输变电工程（土建分册）工程监理</w:t>
      </w:r>
      <w:bookmarkEnd w:id="8"/>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bookmarkEnd w:id="0"/>
    <w:p w14:paraId="5C074829">
      <w:pPr>
        <w:pStyle w:val="9"/>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14:paraId="15A4B7BB">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788E6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14:paraId="3E62516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14:paraId="75857D7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14:paraId="60500014">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20FCD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F64B05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7741586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14:paraId="2CC312A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广供电基〔2025〕 89号</w:t>
            </w:r>
          </w:p>
        </w:tc>
      </w:tr>
      <w:tr w14:paraId="7FEA6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BB45AE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2D0FFB3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14:paraId="1189A01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穗发改核准〔2025〕16号</w:t>
            </w:r>
          </w:p>
        </w:tc>
      </w:tr>
      <w:tr w14:paraId="69B89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3396DA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37B3B34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14:paraId="02FBF50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广供电资〔2025〕 47号</w:t>
            </w:r>
          </w:p>
        </w:tc>
      </w:tr>
      <w:tr w14:paraId="39A03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3644A15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103B9BD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22A77F3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2ED2F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9A1500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04B352D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3DCED1A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广州市海珠区</w:t>
            </w:r>
          </w:p>
        </w:tc>
      </w:tr>
      <w:tr w14:paraId="1D9CD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14:paraId="6D9CAEC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14:paraId="378B6FDB">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14:paraId="5641728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广州市电力工程设计院有限公司</w:t>
            </w:r>
          </w:p>
        </w:tc>
      </w:tr>
      <w:tr w14:paraId="3D6BA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exact"/>
          <w:jc w:val="center"/>
        </w:trPr>
        <w:tc>
          <w:tcPr>
            <w:tcW w:w="776" w:type="dxa"/>
            <w:noWrap w:val="0"/>
            <w:vAlign w:val="center"/>
          </w:tcPr>
          <w:p w14:paraId="0B7552D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14:paraId="6B5BC9D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工期/服务期</w:t>
            </w:r>
          </w:p>
        </w:tc>
        <w:tc>
          <w:tcPr>
            <w:tcW w:w="5250" w:type="dxa"/>
            <w:noWrap w:val="0"/>
            <w:vAlign w:val="center"/>
          </w:tcPr>
          <w:p w14:paraId="237A5572">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合同签订之日起至2027年12月30日，实际工期以开工报告、竣工报告为准。</w:t>
            </w:r>
          </w:p>
          <w:p w14:paraId="3A430BB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p>
        </w:tc>
      </w:tr>
    </w:tbl>
    <w:p w14:paraId="3A7A565A">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14:paraId="112D21D1">
      <w:pP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7D6949EC">
      <w:pPr>
        <w:pStyle w:val="9"/>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※变电部分</w:t>
      </w:r>
    </w:p>
    <w:p w14:paraId="770B232D">
      <w:pPr>
        <w:pStyle w:val="9"/>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110千伏上涌公园变电站工程终期规划63兆伏安主变压器3台，本期建设完成变电站土建部分。</w:t>
      </w:r>
    </w:p>
    <w:p w14:paraId="171AC5B8">
      <w:pPr>
        <w:pStyle w:val="9"/>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Cs/>
          <w:sz w:val="24"/>
          <w:szCs w:val="24"/>
          <w:highlight w:val="none"/>
        </w:rPr>
        <w:t>本站按最终规模一次征地。本站拟建于广州市海珠区南洲街道新滘西路上涌果树公园以北地块。站区拟征地面积3315.89平方米,其中围墙内用地面积3106.0平方米。</w:t>
      </w:r>
    </w:p>
    <w:p w14:paraId="3379CEEF">
      <w:pPr>
        <w:keepNext w:val="0"/>
        <w:keepLines w:val="0"/>
        <w:pageBreakBefore w:val="0"/>
        <w:kinsoku/>
        <w:wordWrap/>
        <w:overflowPunct/>
        <w:topLinePunct w:val="0"/>
        <w:autoSpaceDE/>
        <w:autoSpaceDN/>
        <w:bidi w:val="0"/>
        <w:adjustRightInd/>
        <w:snapToGrid/>
        <w:spacing w:before="157" w:beforeLines="50" w:after="157" w:afterLines="50"/>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二、招标采购范围</w:t>
      </w:r>
    </w:p>
    <w:p w14:paraId="18C1DFE2">
      <w:pPr>
        <w:pStyle w:val="9"/>
        <w:keepNext w:val="0"/>
        <w:keepLines w:val="0"/>
        <w:pageBreakBefore w:val="0"/>
        <w:widowControl w:val="0"/>
        <w:shd w:val="clear" w:color="auto" w:fill="auto"/>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lang w:val="en-US" w:eastAsia="zh-CN"/>
        </w:rPr>
      </w:pPr>
      <w:r>
        <w:rPr>
          <w:rFonts w:hint="eastAsia" w:asciiTheme="minorEastAsia" w:hAnsiTheme="minorEastAsia" w:eastAsiaTheme="minorEastAsia" w:cstheme="minorEastAsia"/>
          <w:bCs/>
          <w:sz w:val="24"/>
          <w:szCs w:val="24"/>
          <w:highlight w:val="none"/>
          <w:lang w:val="en-US" w:eastAsia="zh-CN"/>
        </w:rPr>
        <w:t>施工图设计</w:t>
      </w:r>
      <w:r>
        <w:rPr>
          <w:rFonts w:hint="eastAsia" w:asciiTheme="minorEastAsia" w:hAnsiTheme="minorEastAsia" w:eastAsiaTheme="minorEastAsia" w:cstheme="minorEastAsia"/>
          <w:bCs/>
          <w:sz w:val="24"/>
          <w:szCs w:val="24"/>
          <w:highlight w:val="none"/>
        </w:rPr>
        <w:t>、施工准备（含三通一平）、竣工结算、缺陷责任期、电子化移交的全过程监理</w:t>
      </w:r>
      <w:r>
        <w:rPr>
          <w:rFonts w:hint="eastAsia" w:asciiTheme="minorEastAsia" w:hAnsiTheme="minorEastAsia" w:eastAsiaTheme="minorEastAsia" w:cstheme="minorEastAsia"/>
          <w:bCs/>
          <w:sz w:val="24"/>
          <w:szCs w:val="24"/>
          <w:highlight w:val="none"/>
          <w:lang w:eastAsia="zh-CN"/>
        </w:rPr>
        <w:t>，以及初步设计概算（或施工图预算）中监理计费范围以外但与工程相关的监理工作。</w:t>
      </w:r>
      <w:r>
        <w:rPr>
          <w:rFonts w:hint="eastAsia" w:asciiTheme="minorEastAsia" w:hAnsiTheme="minorEastAsia" w:eastAsiaTheme="minorEastAsia" w:cstheme="minorEastAsia"/>
          <w:bCs/>
          <w:sz w:val="24"/>
          <w:szCs w:val="24"/>
          <w:highlight w:val="none"/>
        </w:rPr>
        <w:t>按照建设单位要求使用工程信息管理系统。</w:t>
      </w:r>
    </w:p>
    <w:p w14:paraId="64D3BEFB">
      <w:pPr>
        <w:rPr>
          <w:rFonts w:hint="eastAsia"/>
          <w:highlight w:val="none"/>
          <w:lang w:val="en-US" w:eastAsia="zh-CN"/>
        </w:rPr>
      </w:pPr>
    </w:p>
    <w:p w14:paraId="0C27A53E">
      <w:pPr>
        <w:pStyle w:val="5"/>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w:t>
      </w:r>
    </w:p>
    <w:tbl>
      <w:tblPr>
        <w:tblStyle w:val="11"/>
        <w:tblpPr w:leftFromText="180" w:rightFromText="180" w:vertAnchor="text" w:horzAnchor="page" w:tblpX="1646" w:tblpY="6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2242"/>
        <w:gridCol w:w="1519"/>
        <w:gridCol w:w="1033"/>
        <w:gridCol w:w="1559"/>
        <w:gridCol w:w="1134"/>
      </w:tblGrid>
      <w:tr w14:paraId="29463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bottom w:val="single" w:color="auto" w:sz="4" w:space="0"/>
            </w:tcBorders>
            <w:noWrap w:val="0"/>
            <w:vAlign w:val="center"/>
          </w:tcPr>
          <w:p w14:paraId="7E8A31D4">
            <w:pPr>
              <w:tabs>
                <w:tab w:val="left" w:pos="900"/>
              </w:tabs>
              <w:snapToGrid w:val="0"/>
              <w:ind w:right="-24"/>
              <w:jc w:val="center"/>
              <w:rPr>
                <w:rFonts w:ascii="宋体" w:hAnsi="宋体"/>
                <w:color w:val="auto"/>
                <w:highlight w:val="none"/>
              </w:rPr>
            </w:pPr>
            <w:r>
              <w:rPr>
                <w:rFonts w:hint="eastAsia" w:ascii="宋体" w:hAnsi="宋体"/>
                <w:color w:val="auto"/>
                <w:highlight w:val="none"/>
              </w:rPr>
              <w:t>序号</w:t>
            </w:r>
          </w:p>
        </w:tc>
        <w:tc>
          <w:tcPr>
            <w:tcW w:w="2242" w:type="dxa"/>
            <w:tcBorders>
              <w:bottom w:val="single" w:color="auto" w:sz="4" w:space="0"/>
            </w:tcBorders>
            <w:noWrap w:val="0"/>
            <w:vAlign w:val="center"/>
          </w:tcPr>
          <w:p w14:paraId="14554248">
            <w:pPr>
              <w:tabs>
                <w:tab w:val="left" w:pos="900"/>
              </w:tabs>
              <w:snapToGrid w:val="0"/>
              <w:ind w:left="282" w:right="-24"/>
              <w:jc w:val="center"/>
              <w:rPr>
                <w:rFonts w:ascii="宋体" w:hAnsi="宋体"/>
                <w:color w:val="auto"/>
                <w:highlight w:val="none"/>
              </w:rPr>
            </w:pPr>
            <w:r>
              <w:rPr>
                <w:rFonts w:hint="eastAsia" w:ascii="宋体" w:hAnsi="宋体"/>
                <w:color w:val="auto"/>
                <w:highlight w:val="none"/>
              </w:rPr>
              <w:t>费用名称</w:t>
            </w:r>
          </w:p>
        </w:tc>
        <w:tc>
          <w:tcPr>
            <w:tcW w:w="1519" w:type="dxa"/>
            <w:noWrap w:val="0"/>
            <w:vAlign w:val="top"/>
          </w:tcPr>
          <w:p w14:paraId="07802396">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最高投标限价(元)</w:t>
            </w:r>
          </w:p>
        </w:tc>
        <w:tc>
          <w:tcPr>
            <w:tcW w:w="1033" w:type="dxa"/>
            <w:tcBorders>
              <w:bottom w:val="single" w:color="auto" w:sz="4" w:space="0"/>
            </w:tcBorders>
            <w:noWrap w:val="0"/>
            <w:vAlign w:val="center"/>
          </w:tcPr>
          <w:p w14:paraId="11E7FE9D">
            <w:pPr>
              <w:tabs>
                <w:tab w:val="left" w:pos="900"/>
              </w:tabs>
              <w:snapToGrid w:val="0"/>
              <w:spacing w:before="120" w:after="120"/>
              <w:ind w:right="-24"/>
              <w:jc w:val="center"/>
              <w:rPr>
                <w:rFonts w:hint="eastAsia" w:ascii="宋体" w:hAnsi="宋体" w:eastAsia="宋体"/>
                <w:b/>
                <w:color w:val="auto"/>
                <w:highlight w:val="none"/>
                <w:lang w:eastAsia="zh-CN"/>
              </w:rPr>
            </w:pPr>
            <w:r>
              <w:rPr>
                <w:rFonts w:hint="eastAsia" w:ascii="宋体" w:hAnsi="宋体"/>
                <w:b w:val="0"/>
                <w:bCs/>
                <w:color w:val="auto"/>
                <w:highlight w:val="none"/>
              </w:rPr>
              <w:t>投标下浮率</w:t>
            </w:r>
          </w:p>
        </w:tc>
        <w:tc>
          <w:tcPr>
            <w:tcW w:w="1559" w:type="dxa"/>
            <w:tcBorders>
              <w:bottom w:val="single" w:color="auto" w:sz="4" w:space="0"/>
            </w:tcBorders>
            <w:noWrap w:val="0"/>
            <w:vAlign w:val="top"/>
          </w:tcPr>
          <w:p w14:paraId="3DF862AA">
            <w:pPr>
              <w:tabs>
                <w:tab w:val="left" w:pos="900"/>
              </w:tabs>
              <w:snapToGrid w:val="0"/>
              <w:spacing w:before="120" w:after="120"/>
              <w:ind w:right="-24"/>
              <w:jc w:val="center"/>
              <w:rPr>
                <w:rFonts w:ascii="宋体" w:hAnsi="宋体"/>
                <w:color w:val="auto"/>
                <w:highlight w:val="none"/>
              </w:rPr>
            </w:pPr>
            <w:r>
              <w:rPr>
                <w:rFonts w:hint="eastAsia" w:ascii="宋体" w:hAnsi="宋体" w:cs="宋体"/>
                <w:color w:val="auto"/>
                <w:kern w:val="0"/>
                <w:szCs w:val="21"/>
                <w:highlight w:val="none"/>
                <w:lang w:bidi="ar"/>
              </w:rPr>
              <w:t>投标报价</w:t>
            </w:r>
            <w:r>
              <w:rPr>
                <w:rFonts w:hint="eastAsia" w:ascii="宋体" w:hAnsi="宋体"/>
                <w:color w:val="auto"/>
                <w:highlight w:val="none"/>
              </w:rPr>
              <w:t>(元)</w:t>
            </w:r>
          </w:p>
        </w:tc>
        <w:tc>
          <w:tcPr>
            <w:tcW w:w="1134" w:type="dxa"/>
            <w:tcBorders>
              <w:bottom w:val="single" w:color="auto" w:sz="4" w:space="0"/>
            </w:tcBorders>
            <w:noWrap w:val="0"/>
            <w:vAlign w:val="center"/>
          </w:tcPr>
          <w:p w14:paraId="607D26FB">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备注</w:t>
            </w:r>
          </w:p>
        </w:tc>
      </w:tr>
      <w:tr w14:paraId="1811C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14:paraId="12199E84">
            <w:pPr>
              <w:tabs>
                <w:tab w:val="left" w:pos="900"/>
              </w:tabs>
              <w:snapToGrid w:val="0"/>
              <w:spacing w:before="60" w:after="120"/>
              <w:ind w:right="-24"/>
              <w:jc w:val="center"/>
              <w:rPr>
                <w:rFonts w:ascii="宋体" w:hAnsi="宋体"/>
                <w:color w:val="auto"/>
                <w:highlight w:val="none"/>
              </w:rPr>
            </w:pPr>
            <w:r>
              <w:rPr>
                <w:rFonts w:hint="eastAsia" w:ascii="宋体" w:hAnsi="宋体"/>
                <w:color w:val="auto"/>
                <w:highlight w:val="none"/>
              </w:rPr>
              <w:t>1</w:t>
            </w:r>
          </w:p>
        </w:tc>
        <w:tc>
          <w:tcPr>
            <w:tcW w:w="2242" w:type="dxa"/>
            <w:tcBorders>
              <w:top w:val="single" w:color="auto" w:sz="4" w:space="0"/>
              <w:bottom w:val="single" w:color="auto" w:sz="4" w:space="0"/>
            </w:tcBorders>
            <w:noWrap w:val="0"/>
            <w:vAlign w:val="center"/>
          </w:tcPr>
          <w:p w14:paraId="296144AE">
            <w:pPr>
              <w:tabs>
                <w:tab w:val="left" w:pos="900"/>
              </w:tabs>
              <w:snapToGrid w:val="0"/>
              <w:spacing w:before="60" w:after="120"/>
              <w:ind w:right="-24"/>
              <w:jc w:val="left"/>
              <w:rPr>
                <w:rFonts w:ascii="宋体" w:hAnsi="宋体"/>
                <w:color w:val="auto"/>
                <w:highlight w:val="none"/>
              </w:rPr>
            </w:pPr>
            <w:r>
              <w:rPr>
                <w:rFonts w:hint="eastAsia" w:hAnsi="宋体"/>
                <w:color w:val="auto"/>
                <w:highlight w:val="none"/>
                <w:u w:val="single"/>
              </w:rPr>
              <w:t>110千伏上涌公园输变电工程（土建分册）监理</w:t>
            </w:r>
          </w:p>
        </w:tc>
        <w:tc>
          <w:tcPr>
            <w:tcW w:w="1519" w:type="dxa"/>
            <w:shd w:val="clear" w:color="auto" w:fill="auto"/>
            <w:noWrap w:val="0"/>
            <w:vAlign w:val="center"/>
          </w:tcPr>
          <w:p w14:paraId="31DEAACB">
            <w:pPr>
              <w:shd w:val="clear" w:color="auto" w:fill="auto"/>
              <w:tabs>
                <w:tab w:val="left" w:pos="900"/>
              </w:tabs>
              <w:snapToGrid w:val="0"/>
              <w:spacing w:before="60" w:after="120"/>
              <w:ind w:right="-24"/>
              <w:jc w:val="left"/>
              <w:rPr>
                <w:rFonts w:hint="eastAsia" w:hAnsi="宋体"/>
                <w:color w:val="auto"/>
                <w:highlight w:val="none"/>
                <w:u w:val="none"/>
                <w:lang w:val="en-US" w:eastAsia="zh-CN"/>
              </w:rPr>
            </w:pPr>
            <w:r>
              <w:rPr>
                <w:rFonts w:hint="eastAsia" w:hAnsi="宋体"/>
                <w:color w:val="auto"/>
                <w:highlight w:val="none"/>
                <w:u w:val="none"/>
                <w:lang w:val="en-US" w:eastAsia="zh-CN"/>
              </w:rPr>
              <w:t xml:space="preserve">1640906.94 </w:t>
            </w:r>
          </w:p>
        </w:tc>
        <w:tc>
          <w:tcPr>
            <w:tcW w:w="1033" w:type="dxa"/>
            <w:vMerge w:val="restart"/>
            <w:tcBorders>
              <w:top w:val="single" w:color="auto" w:sz="4" w:space="0"/>
            </w:tcBorders>
            <w:noWrap w:val="0"/>
            <w:vAlign w:val="center"/>
          </w:tcPr>
          <w:p w14:paraId="5D7B975C">
            <w:pPr>
              <w:tabs>
                <w:tab w:val="left" w:pos="900"/>
              </w:tabs>
              <w:snapToGrid w:val="0"/>
              <w:spacing w:before="60" w:after="120"/>
              <w:ind w:right="-24"/>
              <w:jc w:val="center"/>
              <w:rPr>
                <w:rFonts w:ascii="宋体" w:hAnsi="宋体"/>
                <w:color w:val="auto"/>
                <w:highlight w:val="none"/>
              </w:rPr>
            </w:pP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lang w:val="en-US" w:eastAsia="zh-CN"/>
              </w:rPr>
              <w:t>%</w:t>
            </w:r>
          </w:p>
        </w:tc>
        <w:tc>
          <w:tcPr>
            <w:tcW w:w="1559" w:type="dxa"/>
            <w:tcBorders>
              <w:top w:val="single" w:color="auto" w:sz="4" w:space="0"/>
              <w:bottom w:val="single" w:color="auto" w:sz="4" w:space="0"/>
            </w:tcBorders>
            <w:noWrap w:val="0"/>
            <w:vAlign w:val="top"/>
          </w:tcPr>
          <w:p w14:paraId="35EA6091">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14:paraId="16080850">
            <w:pPr>
              <w:tabs>
                <w:tab w:val="left" w:pos="900"/>
              </w:tabs>
              <w:snapToGrid w:val="0"/>
              <w:spacing w:before="60" w:after="120"/>
              <w:ind w:right="-24"/>
              <w:jc w:val="center"/>
              <w:rPr>
                <w:rFonts w:ascii="宋体" w:hAnsi="宋体"/>
                <w:color w:val="auto"/>
                <w:highlight w:val="none"/>
              </w:rPr>
            </w:pPr>
          </w:p>
        </w:tc>
      </w:tr>
      <w:tr w14:paraId="3B8CA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14:paraId="3DDE8239">
            <w:pPr>
              <w:tabs>
                <w:tab w:val="left" w:pos="900"/>
              </w:tabs>
              <w:snapToGrid w:val="0"/>
              <w:spacing w:before="60" w:after="120"/>
              <w:ind w:right="-24"/>
              <w:jc w:val="center"/>
              <w:rPr>
                <w:rFonts w:hint="eastAsia" w:ascii="宋体" w:hAnsi="宋体"/>
                <w:color w:val="auto"/>
                <w:highlight w:val="none"/>
              </w:rPr>
            </w:pPr>
          </w:p>
        </w:tc>
        <w:tc>
          <w:tcPr>
            <w:tcW w:w="2242" w:type="dxa"/>
            <w:tcBorders>
              <w:top w:val="single" w:color="auto" w:sz="4" w:space="0"/>
              <w:bottom w:val="single" w:color="auto" w:sz="4" w:space="0"/>
            </w:tcBorders>
            <w:noWrap w:val="0"/>
            <w:vAlign w:val="center"/>
          </w:tcPr>
          <w:p w14:paraId="3BC7A173">
            <w:pPr>
              <w:tabs>
                <w:tab w:val="left" w:pos="900"/>
              </w:tabs>
              <w:snapToGrid w:val="0"/>
              <w:spacing w:before="60" w:after="120"/>
              <w:ind w:right="-24"/>
              <w:jc w:val="center"/>
              <w:rPr>
                <w:rFonts w:hint="eastAsia" w:hAnsi="宋体"/>
                <w:color w:val="auto"/>
                <w:highlight w:val="none"/>
                <w:u w:val="single"/>
              </w:rPr>
            </w:pPr>
            <w:r>
              <w:rPr>
                <w:rFonts w:hint="eastAsia" w:ascii="宋体" w:hAnsi="宋体" w:cs="宋体"/>
                <w:color w:val="auto"/>
                <w:kern w:val="0"/>
                <w:szCs w:val="21"/>
                <w:highlight w:val="none"/>
                <w:u w:val="none"/>
                <w:lang w:bidi="ar"/>
              </w:rPr>
              <w:t>合计</w:t>
            </w:r>
          </w:p>
        </w:tc>
        <w:tc>
          <w:tcPr>
            <w:tcW w:w="1519" w:type="dxa"/>
            <w:shd w:val="clear" w:color="auto" w:fill="auto"/>
            <w:noWrap w:val="0"/>
            <w:vAlign w:val="center"/>
          </w:tcPr>
          <w:p w14:paraId="193711A9">
            <w:pPr>
              <w:shd w:val="clear" w:color="auto" w:fill="auto"/>
              <w:tabs>
                <w:tab w:val="left" w:pos="900"/>
              </w:tabs>
              <w:snapToGrid w:val="0"/>
              <w:spacing w:before="60" w:after="120"/>
              <w:ind w:right="-24"/>
              <w:jc w:val="left"/>
              <w:rPr>
                <w:rFonts w:hint="eastAsia" w:hAnsi="宋体"/>
                <w:color w:val="auto"/>
                <w:highlight w:val="none"/>
                <w:u w:val="none"/>
                <w:lang w:val="en-US" w:eastAsia="zh-CN"/>
              </w:rPr>
            </w:pPr>
            <w:r>
              <w:rPr>
                <w:rFonts w:hint="eastAsia" w:hAnsi="宋体"/>
                <w:color w:val="auto"/>
                <w:highlight w:val="none"/>
                <w:u w:val="none"/>
                <w:lang w:val="en-US" w:eastAsia="zh-CN"/>
              </w:rPr>
              <w:t xml:space="preserve">1640906.94 </w:t>
            </w:r>
          </w:p>
        </w:tc>
        <w:tc>
          <w:tcPr>
            <w:tcW w:w="1033" w:type="dxa"/>
            <w:vMerge w:val="continue"/>
            <w:noWrap w:val="0"/>
            <w:vAlign w:val="center"/>
          </w:tcPr>
          <w:p w14:paraId="31A297AF">
            <w:pPr>
              <w:tabs>
                <w:tab w:val="left" w:pos="900"/>
              </w:tabs>
              <w:snapToGrid w:val="0"/>
              <w:spacing w:before="60" w:after="120"/>
              <w:ind w:right="-24"/>
              <w:jc w:val="center"/>
              <w:rPr>
                <w:rFonts w:hint="eastAsia" w:ascii="宋体" w:hAnsi="宋体" w:cs="宋体"/>
                <w:color w:val="auto"/>
                <w:kern w:val="0"/>
                <w:szCs w:val="21"/>
                <w:highlight w:val="none"/>
                <w:u w:val="single"/>
                <w:lang w:val="en-US" w:eastAsia="zh-CN"/>
              </w:rPr>
            </w:pPr>
          </w:p>
        </w:tc>
        <w:tc>
          <w:tcPr>
            <w:tcW w:w="1559" w:type="dxa"/>
            <w:tcBorders>
              <w:top w:val="single" w:color="auto" w:sz="4" w:space="0"/>
            </w:tcBorders>
            <w:noWrap w:val="0"/>
            <w:vAlign w:val="top"/>
          </w:tcPr>
          <w:p w14:paraId="052CBAE3">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14:paraId="64F638C4">
            <w:pPr>
              <w:tabs>
                <w:tab w:val="left" w:pos="900"/>
              </w:tabs>
              <w:snapToGrid w:val="0"/>
              <w:spacing w:before="60" w:after="120"/>
              <w:ind w:right="-24"/>
              <w:jc w:val="center"/>
              <w:rPr>
                <w:rFonts w:ascii="宋体" w:hAnsi="宋体"/>
                <w:color w:val="auto"/>
                <w:highlight w:val="none"/>
              </w:rPr>
            </w:pPr>
          </w:p>
        </w:tc>
      </w:tr>
    </w:tbl>
    <w:p w14:paraId="5C184408">
      <w:pPr>
        <w:pStyle w:val="4"/>
        <w:rPr>
          <w:rFonts w:hint="eastAsia"/>
          <w:highlight w:val="none"/>
          <w:lang w:val="en-US" w:eastAsia="zh-CN"/>
        </w:rPr>
      </w:pPr>
    </w:p>
    <w:p w14:paraId="0D6262F6">
      <w:pPr>
        <w:rPr>
          <w:rFonts w:hint="eastAsia"/>
          <w:highlight w:val="none"/>
          <w:lang w:val="en-US" w:eastAsia="zh-CN"/>
        </w:rPr>
      </w:pPr>
    </w:p>
    <w:p w14:paraId="2EE8D7E1">
      <w:pPr>
        <w:pStyle w:val="4"/>
        <w:rPr>
          <w:rFonts w:hint="eastAsia"/>
          <w:highlight w:val="none"/>
          <w:lang w:val="en-US" w:eastAsia="zh-CN"/>
        </w:rPr>
      </w:pPr>
    </w:p>
    <w:p w14:paraId="5391FC19">
      <w:pPr>
        <w:rPr>
          <w:rFonts w:hint="eastAsia"/>
          <w:highlight w:val="none"/>
          <w:lang w:val="en-US" w:eastAsia="zh-CN"/>
        </w:rPr>
      </w:pPr>
    </w:p>
    <w:p w14:paraId="3B5C61EC">
      <w:pPr>
        <w:pStyle w:val="4"/>
        <w:rPr>
          <w:rFonts w:hint="eastAsia"/>
          <w:highlight w:val="none"/>
          <w:lang w:val="en-US" w:eastAsia="zh-CN"/>
        </w:rPr>
      </w:pPr>
    </w:p>
    <w:p w14:paraId="5DB794B4">
      <w:pPr>
        <w:rPr>
          <w:rFonts w:hint="eastAsia"/>
          <w:highlight w:val="none"/>
          <w:lang w:val="en-US" w:eastAsia="zh-CN"/>
        </w:rPr>
      </w:pPr>
    </w:p>
    <w:p w14:paraId="4FC5079A">
      <w:pPr>
        <w:pStyle w:val="4"/>
        <w:rPr>
          <w:rFonts w:hint="eastAsia"/>
          <w:highlight w:val="none"/>
          <w:lang w:val="en-US" w:eastAsia="zh-CN"/>
        </w:rPr>
      </w:pPr>
    </w:p>
    <w:p w14:paraId="2A205A6C">
      <w:pPr>
        <w:pStyle w:val="3"/>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14:paraId="60217CB5">
      <w:pPr>
        <w:pStyle w:val="10"/>
        <w:spacing w:line="360" w:lineRule="auto"/>
        <w:jc w:val="left"/>
        <w:rPr>
          <w:rFonts w:hint="eastAsia"/>
          <w:highlight w:val="none"/>
          <w:lang w:val="en-US" w:eastAsia="zh-CN"/>
        </w:rPr>
      </w:pPr>
      <w:r>
        <w:rPr>
          <w:rFonts w:hint="eastAsia" w:ascii="宋体" w:hAnsi="宋体" w:eastAsia="宋体" w:cs="宋体"/>
          <w:color w:val="auto"/>
          <w:kern w:val="2"/>
          <w:sz w:val="24"/>
          <w:szCs w:val="24"/>
          <w:highlight w:val="none"/>
          <w:u w:val="single"/>
          <w:lang w:val="en-US" w:eastAsia="zh-CN" w:bidi="ar-SA"/>
        </w:rPr>
        <w:t>（1）按下浮率报价（保留两位小数，如8.88%），同时填报投标报价（投标报价=最高投标限价*（1-投标下浮率），四舍五入保留两位小数）。当投标报价与投标下浮率计算结果不一致时，以投标下浮率为准，按上述公式修订投标报价。</w:t>
      </w:r>
      <w:r>
        <w:rPr>
          <w:rFonts w:hint="eastAsia" w:ascii="宋体" w:hAnsi="宋体" w:eastAsia="宋体" w:cs="宋体"/>
          <w:color w:val="auto"/>
          <w:kern w:val="2"/>
          <w:sz w:val="24"/>
          <w:szCs w:val="24"/>
          <w:highlight w:val="none"/>
          <w:u w:val="single"/>
          <w:lang w:val="en-US" w:eastAsia="zh-CN" w:bidi="ar-SA"/>
        </w:rPr>
        <w:br w:type="textWrapping"/>
      </w:r>
      <w:r>
        <w:rPr>
          <w:rFonts w:hint="eastAsia" w:ascii="宋体" w:hAnsi="宋体" w:eastAsia="宋体" w:cs="宋体"/>
          <w:color w:val="auto"/>
          <w:kern w:val="2"/>
          <w:sz w:val="24"/>
          <w:szCs w:val="24"/>
          <w:highlight w:val="none"/>
          <w:u w:val="single"/>
          <w:lang w:val="en-US" w:eastAsia="zh-CN" w:bidi="ar-SA"/>
        </w:rPr>
        <w:t>（2）投标下浮率不低于0%为有效报价；当投标下浮率＞10%时应附成本分析报告，充分说明单价和费用的组成、降低成本的合理措施及在其他工程中应用过的经验等，经评审通过后方可视为有效报价。</w:t>
      </w:r>
      <w:r>
        <w:rPr>
          <w:rFonts w:hint="eastAsia" w:ascii="宋体" w:hAnsi="宋体" w:eastAsia="宋体" w:cs="宋体"/>
          <w:color w:val="auto"/>
          <w:kern w:val="2"/>
          <w:sz w:val="24"/>
          <w:szCs w:val="24"/>
          <w:highlight w:val="none"/>
          <w:u w:val="single"/>
          <w:lang w:val="en-US" w:eastAsia="zh-CN" w:bidi="ar-SA"/>
        </w:rPr>
        <w:br w:type="textWrapping"/>
      </w:r>
      <w:r>
        <w:rPr>
          <w:rFonts w:hint="eastAsia" w:ascii="宋体" w:hAnsi="宋体" w:eastAsia="宋体" w:cs="宋体"/>
          <w:color w:val="auto"/>
          <w:kern w:val="2"/>
          <w:sz w:val="24"/>
          <w:szCs w:val="24"/>
          <w:highlight w:val="none"/>
          <w:u w:val="single"/>
          <w:lang w:val="en-US" w:eastAsia="zh-CN" w:bidi="ar-SA"/>
        </w:rPr>
        <w:t>（3）价格分计算时，投标人评标价按（100-投标人填写的下浮数值）参与计算。如：下浮率为1.88％时，评标价按（100-1.88）参与计算。</w:t>
      </w:r>
    </w:p>
    <w:p w14:paraId="6C349CC6">
      <w:pPr>
        <w:rPr>
          <w:rFonts w:hint="eastAsia"/>
          <w:highlight w:val="none"/>
          <w:lang w:val="en-US" w:eastAsia="zh-CN"/>
        </w:rPr>
      </w:pPr>
    </w:p>
    <w:p w14:paraId="45423C24">
      <w:pPr>
        <w:pStyle w:val="5"/>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47BABB80">
      <w:pPr>
        <w:pStyle w:val="10"/>
        <w:spacing w:line="360" w:lineRule="auto"/>
        <w:ind w:firstLine="482" w:firstLineChars="200"/>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本合同采用总价形式，最终合同结算价为：（审定初步设计概算监理费+ 初设概算监理计费范围以外的监理工作费用）×（1-投标下浮率）±合同内约定且实际发生的相关奖罚费用 + 招标代理服务费。 </w:t>
      </w:r>
    </w:p>
    <w:p w14:paraId="178F130D">
      <w:pPr>
        <w:pStyle w:val="10"/>
        <w:jc w:val="left"/>
        <w:rPr>
          <w:rFonts w:hint="eastAsia" w:ascii="宋体" w:hAnsi="宋体" w:eastAsia="宋体" w:cs="宋体"/>
          <w:color w:val="auto"/>
          <w:kern w:val="2"/>
          <w:sz w:val="24"/>
          <w:szCs w:val="24"/>
          <w:highlight w:val="none"/>
          <w:u w:val="single"/>
          <w:lang w:val="en-US" w:eastAsia="zh-CN" w:bidi="ar-SA"/>
        </w:rPr>
      </w:pPr>
    </w:p>
    <w:p w14:paraId="2CAE5E64">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266598C1">
      <w:pPr>
        <w:pStyle w:val="2"/>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14:paraId="2C519043">
      <w:pPr>
        <w:pStyle w:val="2"/>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14:paraId="6878BEE0">
      <w:pPr>
        <w:pStyle w:val="10"/>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                                     </w:t>
      </w:r>
    </w:p>
    <w:p w14:paraId="08306AEC">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14:paraId="0080D05B">
      <w:pPr>
        <w:pStyle w:val="9"/>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4CA9A681">
      <w:pPr>
        <w:pStyle w:val="5"/>
        <w:spacing w:before="0" w:after="0" w:line="240" w:lineRule="auto"/>
        <w:rPr>
          <w:rFonts w:hint="eastAsia" w:asciiTheme="minorEastAsia" w:hAnsiTheme="minorEastAsia" w:eastAsiaTheme="minorEastAsia" w:cstheme="minorEastAsia"/>
          <w:i w:val="0"/>
          <w:iCs/>
          <w:color w:val="auto"/>
          <w:sz w:val="24"/>
          <w:szCs w:val="24"/>
          <w:highlight w:val="none"/>
        </w:rPr>
      </w:pPr>
      <w:bookmarkStart w:id="1"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1"/>
    </w:p>
    <w:p w14:paraId="4804CE9B">
      <w:pPr>
        <w:pStyle w:val="9"/>
        <w:rPr>
          <w:rFonts w:hint="eastAsia" w:asciiTheme="minorEastAsia" w:hAnsiTheme="minorEastAsia" w:eastAsiaTheme="minorEastAsia" w:cstheme="minorEastAsia"/>
          <w:i w:val="0"/>
          <w:iCs/>
          <w:color w:val="auto"/>
          <w:sz w:val="24"/>
          <w:szCs w:val="24"/>
          <w:highlight w:val="none"/>
        </w:rPr>
      </w:pPr>
    </w:p>
    <w:p w14:paraId="52364800">
      <w:pPr>
        <w:pStyle w:val="5"/>
        <w:spacing w:before="0" w:after="0" w:line="240" w:lineRule="auto"/>
        <w:rPr>
          <w:rFonts w:hint="eastAsia" w:asciiTheme="minorEastAsia" w:hAnsiTheme="minorEastAsia" w:eastAsiaTheme="minorEastAsia" w:cstheme="minorEastAsia"/>
          <w:i w:val="0"/>
          <w:iCs/>
          <w:color w:val="auto"/>
          <w:sz w:val="24"/>
          <w:szCs w:val="24"/>
          <w:highlight w:val="none"/>
        </w:rPr>
      </w:pPr>
      <w:bookmarkStart w:id="2"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2"/>
    </w:p>
    <w:p w14:paraId="7894B0C7">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（一）满足中国南方电网有限责任公司《监理项目部工作手册》、中国南方电网有限责任公司基建管理制度、建设单位的质量、环境和职业健康安全管理体系文件、其他有关制度和规定。</w:t>
      </w:r>
    </w:p>
    <w:p w14:paraId="75431AF8">
      <w:pPr>
        <w:pStyle w:val="5"/>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14:paraId="61B2D108">
      <w:pPr>
        <w:pStyle w:val="5"/>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14:paraId="73099B67">
      <w:pPr>
        <w:pStyle w:val="9"/>
        <w:numPr>
          <w:ilvl w:val="0"/>
          <w:numId w:val="0"/>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14:paraId="03B84F90">
      <w:pPr>
        <w:pStyle w:val="9"/>
        <w:numPr>
          <w:ilvl w:val="0"/>
          <w:numId w:val="3"/>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14:paraId="1A29BC00">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14:paraId="7F2C1D25">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14:paraId="0AF787DE">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14:paraId="27C9C7E6">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14:paraId="2BEA25AD">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14:paraId="764A5287">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14:paraId="3DEAC533">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14:paraId="3076B3AA">
      <w:pPr>
        <w:pStyle w:val="9"/>
        <w:numPr>
          <w:ilvl w:val="0"/>
          <w:numId w:val="3"/>
        </w:numPr>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14:paraId="35E0FD5D">
      <w:pPr>
        <w:pStyle w:val="5"/>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3" w:name="_Toc482188640"/>
      <w:bookmarkStart w:id="4" w:name="_Toc11396"/>
      <w:r>
        <w:rPr>
          <w:rFonts w:hint="eastAsia" w:asciiTheme="minorEastAsia" w:hAnsiTheme="minorEastAsia" w:eastAsiaTheme="minorEastAsia" w:cstheme="minorEastAsia"/>
          <w:i w:val="0"/>
          <w:iCs/>
          <w:color w:val="auto"/>
          <w:sz w:val="24"/>
          <w:szCs w:val="24"/>
          <w:highlight w:val="none"/>
          <w:lang w:eastAsia="zh-CN"/>
        </w:rPr>
        <w:t>三、</w:t>
      </w:r>
      <w:bookmarkEnd w:id="3"/>
      <w:r>
        <w:rPr>
          <w:rFonts w:hint="eastAsia" w:asciiTheme="minorEastAsia" w:hAnsiTheme="minorEastAsia" w:eastAsiaTheme="minorEastAsia" w:cstheme="minorEastAsia"/>
          <w:i w:val="0"/>
          <w:iCs/>
          <w:color w:val="auto"/>
          <w:sz w:val="24"/>
          <w:szCs w:val="24"/>
          <w:highlight w:val="none"/>
          <w:lang w:eastAsia="zh-CN"/>
        </w:rPr>
        <w:t>图纸</w:t>
      </w:r>
      <w:bookmarkEnd w:id="4"/>
    </w:p>
    <w:p w14:paraId="63CEA029">
      <w:pPr>
        <w:spacing w:line="360" w:lineRule="auto"/>
        <w:ind w:firstLine="480" w:firstLineChars="200"/>
        <w:rPr>
          <w:rFonts w:hint="eastAsia"/>
          <w:color w:val="auto"/>
          <w:sz w:val="24"/>
          <w:szCs w:val="24"/>
          <w:highlight w:val="none"/>
        </w:rPr>
      </w:pPr>
      <w:bookmarkStart w:id="5" w:name="_Toc482188644"/>
      <w:r>
        <w:rPr>
          <w:rFonts w:hint="eastAsia"/>
          <w:sz w:val="24"/>
          <w:szCs w:val="24"/>
        </w:rPr>
        <w:t>无</w:t>
      </w:r>
      <w:r>
        <w:rPr>
          <w:rFonts w:hint="eastAsia"/>
          <w:color w:val="auto"/>
          <w:sz w:val="24"/>
          <w:szCs w:val="24"/>
          <w:highlight w:val="none"/>
        </w:rPr>
        <w:t>。</w:t>
      </w:r>
    </w:p>
    <w:p w14:paraId="52E234D8">
      <w:pPr>
        <w:pStyle w:val="5"/>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6" w:name="_Toc30760"/>
      <w:r>
        <w:rPr>
          <w:rFonts w:hint="eastAsia" w:asciiTheme="minorEastAsia" w:hAnsiTheme="minorEastAsia" w:eastAsiaTheme="minorEastAsia" w:cstheme="minorEastAsia"/>
          <w:i w:val="0"/>
          <w:iCs/>
          <w:color w:val="auto"/>
          <w:sz w:val="24"/>
          <w:szCs w:val="24"/>
          <w:highlight w:val="none"/>
          <w:lang w:eastAsia="zh-CN"/>
        </w:rPr>
        <w:t>四、</w:t>
      </w:r>
      <w:bookmarkEnd w:id="5"/>
      <w:bookmarkStart w:id="7" w:name="_Toc482188646"/>
      <w:r>
        <w:rPr>
          <w:rFonts w:hint="eastAsia" w:asciiTheme="minorEastAsia" w:hAnsiTheme="minorEastAsia" w:eastAsiaTheme="minorEastAsia" w:cstheme="minorEastAsia"/>
          <w:i w:val="0"/>
          <w:iCs/>
          <w:color w:val="auto"/>
          <w:sz w:val="24"/>
          <w:szCs w:val="24"/>
          <w:highlight w:val="none"/>
          <w:lang w:eastAsia="zh-CN"/>
        </w:rPr>
        <w:t>其他要求</w:t>
      </w:r>
      <w:bookmarkEnd w:id="6"/>
      <w:bookmarkEnd w:id="7"/>
    </w:p>
    <w:p w14:paraId="0DBE529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招标</w:t>
      </w:r>
      <w:r>
        <w:rPr>
          <w:rFonts w:hint="eastAsia" w:asciiTheme="minorEastAsia" w:hAnsiTheme="minorEastAsia" w:eastAsiaTheme="minorEastAsia" w:cstheme="minorEastAsia"/>
          <w:color w:val="auto"/>
          <w:sz w:val="24"/>
          <w:szCs w:val="24"/>
          <w:highlight w:val="none"/>
        </w:rPr>
        <w:t>人根据委托的监理范围和内容，随招标文件向投标人提供与监理范围和内容有关的以下文件、资料：</w:t>
      </w:r>
    </w:p>
    <w:p w14:paraId="30A71159">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）工程前期有关文件（可研</w:t>
      </w:r>
      <w:r>
        <w:rPr>
          <w:rFonts w:hint="eastAsia" w:asciiTheme="minorEastAsia" w:hAnsiTheme="minorEastAsia" w:eastAsiaTheme="minorEastAsia" w:cstheme="minorEastAsia"/>
          <w:color w:val="auto"/>
          <w:sz w:val="24"/>
          <w:szCs w:val="24"/>
          <w:highlight w:val="none"/>
          <w:lang w:val="en-US" w:eastAsia="zh-CN"/>
        </w:rPr>
        <w:t>批复文件</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w:t>
      </w:r>
    </w:p>
    <w:p w14:paraId="2AEDBBCD">
      <w:pPr>
        <w:spacing w:line="360" w:lineRule="auto"/>
        <w:ind w:firstLine="480" w:firstLineChars="200"/>
        <w:rPr>
          <w:rFonts w:hint="eastAsia" w:ascii="宋体" w:hAnsi="宋体" w:eastAsia="宋体" w:cs="宋体"/>
          <w:color w:val="auto"/>
          <w:sz w:val="24"/>
          <w:szCs w:val="24"/>
          <w:highlight w:val="none"/>
          <w:u w:val="singl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abstractNum w:abstractNumId="2">
    <w:nsid w:val="4122DDE1"/>
    <w:multiLevelType w:val="singleLevel"/>
    <w:tmpl w:val="4122DDE1"/>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7A4AD7"/>
    <w:rsid w:val="034C42F7"/>
    <w:rsid w:val="03F1316B"/>
    <w:rsid w:val="04A24F71"/>
    <w:rsid w:val="076F3B3B"/>
    <w:rsid w:val="07CA37DF"/>
    <w:rsid w:val="07CC3833"/>
    <w:rsid w:val="0BAF37FE"/>
    <w:rsid w:val="0BC07002"/>
    <w:rsid w:val="0BD30473"/>
    <w:rsid w:val="0BF27A6B"/>
    <w:rsid w:val="0E2F4C02"/>
    <w:rsid w:val="0E3616E0"/>
    <w:rsid w:val="0E937FF7"/>
    <w:rsid w:val="0F81532F"/>
    <w:rsid w:val="107144D2"/>
    <w:rsid w:val="116419AD"/>
    <w:rsid w:val="11794537"/>
    <w:rsid w:val="11DF6CFE"/>
    <w:rsid w:val="13383335"/>
    <w:rsid w:val="14440D4B"/>
    <w:rsid w:val="14B666F3"/>
    <w:rsid w:val="15056A61"/>
    <w:rsid w:val="182633AB"/>
    <w:rsid w:val="18E57496"/>
    <w:rsid w:val="1A2D5CFF"/>
    <w:rsid w:val="1A386933"/>
    <w:rsid w:val="1A4F176B"/>
    <w:rsid w:val="1A912F72"/>
    <w:rsid w:val="1B663F82"/>
    <w:rsid w:val="1C2D4629"/>
    <w:rsid w:val="1C43636C"/>
    <w:rsid w:val="1D904223"/>
    <w:rsid w:val="1F653C49"/>
    <w:rsid w:val="1F6C0D31"/>
    <w:rsid w:val="1FF914D4"/>
    <w:rsid w:val="20735046"/>
    <w:rsid w:val="20EC0C4F"/>
    <w:rsid w:val="216F4D5B"/>
    <w:rsid w:val="23B738BA"/>
    <w:rsid w:val="24E67795"/>
    <w:rsid w:val="24F737D8"/>
    <w:rsid w:val="25100685"/>
    <w:rsid w:val="26A73075"/>
    <w:rsid w:val="2CA17C08"/>
    <w:rsid w:val="2DDF66E3"/>
    <w:rsid w:val="2FF65FF8"/>
    <w:rsid w:val="300D195C"/>
    <w:rsid w:val="30BF37B5"/>
    <w:rsid w:val="31C955A9"/>
    <w:rsid w:val="330A2B69"/>
    <w:rsid w:val="33B200AF"/>
    <w:rsid w:val="33E61BE2"/>
    <w:rsid w:val="349D6A5F"/>
    <w:rsid w:val="361736AD"/>
    <w:rsid w:val="36D200CF"/>
    <w:rsid w:val="379951F8"/>
    <w:rsid w:val="38382DC3"/>
    <w:rsid w:val="38DE045C"/>
    <w:rsid w:val="39C86C78"/>
    <w:rsid w:val="3A531F85"/>
    <w:rsid w:val="3A546240"/>
    <w:rsid w:val="3BF24D81"/>
    <w:rsid w:val="3BFE7BEA"/>
    <w:rsid w:val="3C4750A3"/>
    <w:rsid w:val="3C4A35F1"/>
    <w:rsid w:val="3E664B6D"/>
    <w:rsid w:val="3ED7087B"/>
    <w:rsid w:val="3F141BFC"/>
    <w:rsid w:val="3FCE232A"/>
    <w:rsid w:val="41A071F1"/>
    <w:rsid w:val="444D481C"/>
    <w:rsid w:val="44982260"/>
    <w:rsid w:val="44D414C9"/>
    <w:rsid w:val="46472D5E"/>
    <w:rsid w:val="496A657E"/>
    <w:rsid w:val="49843C09"/>
    <w:rsid w:val="4B3A1BDA"/>
    <w:rsid w:val="4BF83760"/>
    <w:rsid w:val="4C8349B8"/>
    <w:rsid w:val="520D6E5F"/>
    <w:rsid w:val="53115540"/>
    <w:rsid w:val="54176625"/>
    <w:rsid w:val="55C3156A"/>
    <w:rsid w:val="5782183A"/>
    <w:rsid w:val="57BD355E"/>
    <w:rsid w:val="59A5419F"/>
    <w:rsid w:val="5B0320E2"/>
    <w:rsid w:val="5B054473"/>
    <w:rsid w:val="5B8B11A7"/>
    <w:rsid w:val="5B9E2EC4"/>
    <w:rsid w:val="608606DE"/>
    <w:rsid w:val="610E324A"/>
    <w:rsid w:val="61F31EFD"/>
    <w:rsid w:val="63066BC7"/>
    <w:rsid w:val="63D0487B"/>
    <w:rsid w:val="64672037"/>
    <w:rsid w:val="64911DA0"/>
    <w:rsid w:val="65945D8D"/>
    <w:rsid w:val="66C35559"/>
    <w:rsid w:val="67D57489"/>
    <w:rsid w:val="68570F93"/>
    <w:rsid w:val="687500AE"/>
    <w:rsid w:val="6897480E"/>
    <w:rsid w:val="6A287B5E"/>
    <w:rsid w:val="6B303A1A"/>
    <w:rsid w:val="6DAA2FDF"/>
    <w:rsid w:val="6E121228"/>
    <w:rsid w:val="6F5C4B5C"/>
    <w:rsid w:val="6FC971BF"/>
    <w:rsid w:val="70D1495F"/>
    <w:rsid w:val="70ED510D"/>
    <w:rsid w:val="74695E39"/>
    <w:rsid w:val="753F6275"/>
    <w:rsid w:val="754C6F3B"/>
    <w:rsid w:val="75B11AFF"/>
    <w:rsid w:val="75D32619"/>
    <w:rsid w:val="765369C1"/>
    <w:rsid w:val="767D6887"/>
    <w:rsid w:val="780B6A75"/>
    <w:rsid w:val="79F83E18"/>
    <w:rsid w:val="7A262145"/>
    <w:rsid w:val="7BEC3F2B"/>
    <w:rsid w:val="7D0F76D8"/>
    <w:rsid w:val="7E3420E0"/>
    <w:rsid w:val="7E535DCD"/>
    <w:rsid w:val="7F7B4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paragraph" w:styleId="3">
    <w:name w:val="Body Text"/>
    <w:basedOn w:val="1"/>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6">
    <w:name w:val="Normal Indent"/>
    <w:basedOn w:val="1"/>
    <w:qFormat/>
    <w:uiPriority w:val="0"/>
    <w:pPr>
      <w:ind w:firstLine="420"/>
    </w:pPr>
    <w:rPr>
      <w:rFonts w:ascii="Times New Roman" w:hAnsi="Times New Roman" w:cs="Times New Roman"/>
      <w:kern w:val="0"/>
      <w:sz w:val="20"/>
      <w:szCs w:val="20"/>
    </w:rPr>
  </w:style>
  <w:style w:type="paragraph" w:styleId="7">
    <w:name w:val="annotation text"/>
    <w:basedOn w:val="1"/>
    <w:qFormat/>
    <w:uiPriority w:val="0"/>
    <w:pPr>
      <w:jc w:val="left"/>
    </w:pPr>
  </w:style>
  <w:style w:type="paragraph" w:styleId="8">
    <w:name w:val="Body Text Indent"/>
    <w:basedOn w:val="1"/>
    <w:qFormat/>
    <w:uiPriority w:val="0"/>
    <w:pPr>
      <w:spacing w:after="120"/>
      <w:ind w:left="420" w:leftChars="200"/>
    </w:p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1504</Words>
  <Characters>1587</Characters>
  <Lines>0</Lines>
  <Paragraphs>0</Paragraphs>
  <TotalTime>0</TotalTime>
  <ScaleCrop>false</ScaleCrop>
  <LinksUpToDate>false</LinksUpToDate>
  <CharactersWithSpaces>1677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2025-12-26T03:59:17Z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D242679BEF804561A0DAB6C6D6DDE98C_13</vt:lpwstr>
  </property>
  <property fmtid="{D5CDD505-2E9C-101B-9397-08002B2CF9AE}" pid="4" name="KSOTemplateDocerSaveRecord">
    <vt:lpwstr>eyJoZGlkIjoiNGQxZGUyZmQ5MDU5MjhiNzUxNWY4N2Q0ZGU2Y2VhOTgiLCJ1c2VySWQiOiI3MDM5OTYzMzMifQ==</vt:lpwstr>
  </property>
</Properties>
</file>