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8CB482">
      <w:pPr>
        <w:keepNext w:val="0"/>
        <w:keepLines w:val="0"/>
        <w:pageBreakBefore w:val="0"/>
        <w:kinsoku/>
        <w:wordWrap/>
        <w:overflowPunct/>
        <w:topLinePunct w:val="0"/>
        <w:bidi w:val="0"/>
        <w:spacing w:line="360" w:lineRule="auto"/>
        <w:jc w:val="left"/>
        <w:outlineLvl w:val="9"/>
        <w:rPr>
          <w:rFonts w:hint="eastAsia" w:ascii="宋体" w:hAnsi="宋体" w:eastAsia="宋体" w:cs="宋体"/>
          <w:b/>
          <w:i w:val="0"/>
          <w:iCs/>
          <w:color w:val="auto"/>
          <w:kern w:val="0"/>
          <w:sz w:val="28"/>
          <w:szCs w:val="28"/>
          <w:highlight w:val="none"/>
          <w:shd w:val="clear" w:color="auto" w:fill="auto"/>
          <w:lang w:val="en-US" w:eastAsia="zh-CN" w:bidi="ar-SA"/>
        </w:rPr>
      </w:pPr>
      <w:r>
        <w:rPr>
          <w:rFonts w:hint="eastAsia" w:ascii="宋体" w:hAnsi="宋体" w:cs="宋体"/>
          <w:b/>
          <w:i w:val="0"/>
          <w:iCs/>
          <w:color w:val="auto"/>
          <w:kern w:val="0"/>
          <w:sz w:val="32"/>
          <w:szCs w:val="32"/>
          <w:highlight w:val="none"/>
          <w:shd w:val="clear" w:color="auto" w:fill="auto"/>
          <w:lang w:val="en-US" w:eastAsia="zh-CN"/>
        </w:rPr>
        <w:t>附件B.合同标准文本条款差异说明</w:t>
      </w:r>
    </w:p>
    <w:p w14:paraId="3C72FA67">
      <w:pPr>
        <w:rPr>
          <w:rFonts w:hint="eastAsia"/>
          <w:lang w:val="en-US" w:eastAsia="zh-CN"/>
        </w:rPr>
      </w:pPr>
    </w:p>
    <w:p w14:paraId="00779ADC">
      <w:pPr>
        <w:pStyle w:val="5"/>
        <w:keepNext w:val="0"/>
        <w:keepLines w:val="0"/>
        <w:pageBreakBefore w:val="0"/>
        <w:widowControl w:val="0"/>
        <w:numPr>
          <w:ilvl w:val="0"/>
          <w:numId w:val="0"/>
        </w:numPr>
        <w:kinsoku/>
        <w:wordWrap/>
        <w:overflowPunct/>
        <w:topLinePunct w:val="0"/>
        <w:autoSpaceDE w:val="0"/>
        <w:autoSpaceDN w:val="0"/>
        <w:bidi w:val="0"/>
        <w:adjustRightInd w:val="0"/>
        <w:snapToGrid/>
        <w:spacing w:after="157" w:afterLines="50" w:line="360" w:lineRule="auto"/>
        <w:textAlignment w:val="auto"/>
        <w:rPr>
          <w:rFonts w:hint="default" w:ascii="宋体" w:hAnsi="宋体" w:eastAsia="宋体" w:cs="Times New Roman"/>
          <w:b w:val="0"/>
          <w:bCs/>
          <w:i w:val="0"/>
          <w:iCs/>
          <w:color w:val="auto"/>
          <w:kern w:val="0"/>
          <w:sz w:val="24"/>
          <w:szCs w:val="24"/>
          <w:highlight w:val="none"/>
          <w:u w:val="single"/>
          <w:shd w:val="clear" w:color="auto" w:fill="auto"/>
          <w:lang w:val="en-US" w:eastAsia="zh-CN" w:bidi="ar-SA"/>
        </w:rPr>
      </w:pPr>
      <w:r>
        <w:rPr>
          <w:rFonts w:hint="eastAsia" w:ascii="宋体" w:hAnsi="宋体" w:eastAsia="宋体" w:cs="Times New Roman"/>
          <w:b w:val="0"/>
          <w:bCs/>
          <w:i w:val="0"/>
          <w:iCs/>
          <w:color w:val="auto"/>
          <w:kern w:val="0"/>
          <w:sz w:val="24"/>
          <w:szCs w:val="24"/>
          <w:highlight w:val="none"/>
          <w:shd w:val="clear" w:color="auto" w:fill="auto"/>
          <w:lang w:val="en-US" w:eastAsia="zh-CN" w:bidi="ar-SA"/>
        </w:rPr>
        <w:t>本标的/标段使用标准合同文本名称：</w:t>
      </w:r>
      <w:bookmarkStart w:id="2" w:name="_GoBack"/>
      <w:r>
        <w:rPr>
          <w:rFonts w:hint="eastAsia" w:ascii="宋体" w:hAnsi="宋体" w:eastAsia="宋体" w:cs="Times New Roman"/>
          <w:b w:val="0"/>
          <w:bCs/>
          <w:i w:val="0"/>
          <w:iCs/>
          <w:color w:val="auto"/>
          <w:kern w:val="0"/>
          <w:sz w:val="24"/>
          <w:szCs w:val="24"/>
          <w:highlight w:val="none"/>
          <w:shd w:val="clear" w:color="auto" w:fill="auto"/>
          <w:lang w:val="en-US" w:eastAsia="zh-CN" w:bidi="ar-SA"/>
        </w:rPr>
        <w:t xml:space="preserve"> </w:t>
      </w:r>
      <w:r>
        <w:rPr>
          <w:rFonts w:hint="eastAsia" w:ascii="宋体" w:hAnsi="宋体" w:cs="Times New Roman"/>
          <w:b w:val="0"/>
          <w:bCs/>
          <w:i w:val="0"/>
          <w:iCs/>
          <w:color w:val="auto"/>
          <w:kern w:val="0"/>
          <w:sz w:val="24"/>
          <w:szCs w:val="24"/>
          <w:highlight w:val="none"/>
          <w:shd w:val="clear" w:color="auto" w:fill="auto"/>
          <w:lang w:val="en-US" w:eastAsia="zh-CN" w:bidi="ar-SA"/>
        </w:rPr>
        <w:t>《</w:t>
      </w:r>
      <w:r>
        <w:rPr>
          <w:rFonts w:hint="eastAsia" w:ascii="宋体" w:hAnsi="宋体" w:eastAsia="宋体" w:cs="Times New Roman"/>
          <w:b w:val="0"/>
          <w:bCs/>
          <w:i w:val="0"/>
          <w:iCs/>
          <w:color w:val="auto"/>
          <w:kern w:val="0"/>
          <w:sz w:val="24"/>
          <w:szCs w:val="24"/>
          <w:highlight w:val="none"/>
          <w:u w:val="single"/>
          <w:shd w:val="clear" w:color="auto" w:fill="auto"/>
          <w:lang w:val="en-US" w:eastAsia="zh-CN" w:bidi="ar-SA"/>
        </w:rPr>
        <w:t>中国南方电网有限责任公司基建输变电工程</w:t>
      </w:r>
      <w:r>
        <w:rPr>
          <w:rFonts w:hint="eastAsia" w:ascii="宋体" w:hAnsi="宋体" w:cs="Times New Roman"/>
          <w:b w:val="0"/>
          <w:bCs/>
          <w:i w:val="0"/>
          <w:iCs/>
          <w:color w:val="auto"/>
          <w:kern w:val="0"/>
          <w:sz w:val="24"/>
          <w:szCs w:val="24"/>
          <w:highlight w:val="none"/>
          <w:u w:val="single"/>
          <w:shd w:val="clear" w:color="auto" w:fill="auto"/>
          <w:lang w:val="en-US" w:eastAsia="zh-CN" w:bidi="ar-SA"/>
        </w:rPr>
        <w:t>监理</w:t>
      </w:r>
      <w:r>
        <w:rPr>
          <w:rFonts w:hint="eastAsia" w:ascii="宋体" w:hAnsi="宋体" w:eastAsia="宋体" w:cs="Times New Roman"/>
          <w:b w:val="0"/>
          <w:bCs/>
          <w:i w:val="0"/>
          <w:iCs/>
          <w:color w:val="auto"/>
          <w:kern w:val="0"/>
          <w:sz w:val="24"/>
          <w:szCs w:val="24"/>
          <w:highlight w:val="none"/>
          <w:u w:val="single"/>
          <w:shd w:val="clear" w:color="auto" w:fill="auto"/>
          <w:lang w:val="en-US" w:eastAsia="zh-CN" w:bidi="ar-SA"/>
        </w:rPr>
        <w:t>合同（202</w:t>
      </w:r>
      <w:r>
        <w:rPr>
          <w:rFonts w:hint="eastAsia" w:ascii="宋体" w:hAnsi="宋体" w:cs="Times New Roman"/>
          <w:b w:val="0"/>
          <w:bCs/>
          <w:i w:val="0"/>
          <w:iCs/>
          <w:color w:val="auto"/>
          <w:kern w:val="0"/>
          <w:sz w:val="24"/>
          <w:szCs w:val="24"/>
          <w:highlight w:val="none"/>
          <w:u w:val="single"/>
          <w:shd w:val="clear" w:color="auto" w:fill="auto"/>
          <w:lang w:val="en-US" w:eastAsia="zh-CN" w:bidi="ar-SA"/>
        </w:rPr>
        <w:t>4</w:t>
      </w:r>
      <w:r>
        <w:rPr>
          <w:rFonts w:hint="eastAsia" w:ascii="宋体" w:hAnsi="宋体" w:eastAsia="宋体" w:cs="Times New Roman"/>
          <w:b w:val="0"/>
          <w:bCs/>
          <w:i w:val="0"/>
          <w:iCs/>
          <w:color w:val="auto"/>
          <w:kern w:val="0"/>
          <w:sz w:val="24"/>
          <w:szCs w:val="24"/>
          <w:highlight w:val="none"/>
          <w:u w:val="single"/>
          <w:shd w:val="clear" w:color="auto" w:fill="auto"/>
          <w:lang w:val="en-US" w:eastAsia="zh-CN" w:bidi="ar-SA"/>
        </w:rPr>
        <w:t>年版）</w:t>
      </w:r>
      <w:r>
        <w:rPr>
          <w:rFonts w:hint="eastAsia" w:ascii="宋体" w:hAnsi="宋体" w:cs="Times New Roman"/>
          <w:b w:val="0"/>
          <w:bCs/>
          <w:i w:val="0"/>
          <w:iCs/>
          <w:color w:val="auto"/>
          <w:kern w:val="0"/>
          <w:sz w:val="24"/>
          <w:szCs w:val="24"/>
          <w:highlight w:val="none"/>
          <w:u w:val="single"/>
          <w:shd w:val="clear" w:color="auto" w:fill="auto"/>
          <w:lang w:val="en-US" w:eastAsia="zh-CN" w:bidi="ar-SA"/>
        </w:rPr>
        <w:t>》</w:t>
      </w:r>
      <w:bookmarkEnd w:id="2"/>
      <w:r>
        <w:rPr>
          <w:rFonts w:hint="eastAsia" w:ascii="宋体" w:hAnsi="宋体" w:eastAsia="宋体" w:cs="Times New Roman"/>
          <w:b w:val="0"/>
          <w:bCs/>
          <w:i w:val="0"/>
          <w:iCs/>
          <w:color w:val="auto"/>
          <w:kern w:val="0"/>
          <w:sz w:val="24"/>
          <w:szCs w:val="24"/>
          <w:highlight w:val="none"/>
          <w:u w:val="single"/>
          <w:shd w:val="clear" w:color="auto" w:fill="auto"/>
          <w:lang w:val="en-US" w:eastAsia="zh-CN" w:bidi="ar-SA"/>
        </w:rPr>
        <w:t xml:space="preserve"> </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8"/>
        <w:gridCol w:w="3313"/>
        <w:gridCol w:w="5832"/>
      </w:tblGrid>
      <w:tr w14:paraId="39B03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14:paraId="36ECF706">
            <w:pPr>
              <w:jc w:val="center"/>
              <w:rPr>
                <w:rFonts w:hint="default"/>
                <w:b/>
                <w:bCs/>
                <w:highlight w:val="none"/>
                <w:vertAlign w:val="baseline"/>
                <w:lang w:val="en-US" w:eastAsia="zh-CN"/>
              </w:rPr>
            </w:pPr>
            <w:r>
              <w:rPr>
                <w:rFonts w:hint="eastAsia"/>
                <w:b/>
                <w:bCs/>
                <w:highlight w:val="none"/>
                <w:vertAlign w:val="baseline"/>
                <w:lang w:val="en-US" w:eastAsia="zh-CN"/>
              </w:rPr>
              <w:t>序号</w:t>
            </w:r>
          </w:p>
        </w:tc>
        <w:tc>
          <w:tcPr>
            <w:tcW w:w="3313" w:type="dxa"/>
            <w:noWrap w:val="0"/>
            <w:vAlign w:val="top"/>
          </w:tcPr>
          <w:p w14:paraId="58B25074">
            <w:pPr>
              <w:jc w:val="center"/>
              <w:rPr>
                <w:rFonts w:hint="default"/>
                <w:b/>
                <w:bCs/>
                <w:highlight w:val="none"/>
                <w:vertAlign w:val="baseline"/>
                <w:lang w:val="en-US" w:eastAsia="zh-CN"/>
              </w:rPr>
            </w:pPr>
            <w:r>
              <w:rPr>
                <w:rFonts w:hint="eastAsia"/>
                <w:b/>
                <w:bCs/>
                <w:highlight w:val="none"/>
                <w:vertAlign w:val="baseline"/>
                <w:lang w:val="en-US" w:eastAsia="zh-CN"/>
              </w:rPr>
              <w:t>合同标准文本条款</w:t>
            </w:r>
          </w:p>
        </w:tc>
        <w:tc>
          <w:tcPr>
            <w:tcW w:w="5832" w:type="dxa"/>
            <w:noWrap w:val="0"/>
            <w:vAlign w:val="top"/>
          </w:tcPr>
          <w:p w14:paraId="268838F1">
            <w:pPr>
              <w:jc w:val="center"/>
              <w:rPr>
                <w:rFonts w:hint="default"/>
                <w:b/>
                <w:bCs/>
                <w:highlight w:val="none"/>
                <w:vertAlign w:val="baseline"/>
                <w:lang w:val="en-US" w:eastAsia="zh-CN"/>
              </w:rPr>
            </w:pPr>
            <w:r>
              <w:rPr>
                <w:rFonts w:hint="eastAsia"/>
                <w:b/>
                <w:bCs/>
                <w:highlight w:val="none"/>
                <w:vertAlign w:val="baseline"/>
                <w:lang w:val="en-US" w:eastAsia="zh-CN"/>
              </w:rPr>
              <w:t>本</w:t>
            </w:r>
            <w:r>
              <w:rPr>
                <w:rFonts w:hint="eastAsia" w:eastAsia="宋体"/>
                <w:b/>
                <w:bCs/>
                <w:highlight w:val="none"/>
                <w:vertAlign w:val="baseline"/>
                <w:lang w:val="en-US" w:eastAsia="zh-CN"/>
              </w:rPr>
              <w:t>标的/标段</w:t>
            </w:r>
            <w:r>
              <w:rPr>
                <w:rFonts w:hint="eastAsia"/>
                <w:b/>
                <w:bCs/>
                <w:highlight w:val="none"/>
                <w:vertAlign w:val="baseline"/>
                <w:lang w:val="en-US" w:eastAsia="zh-CN"/>
              </w:rPr>
              <w:t>合同执行条款</w:t>
            </w:r>
          </w:p>
        </w:tc>
      </w:tr>
      <w:tr w14:paraId="35F7E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14:paraId="45F9CE41">
            <w:pPr>
              <w:jc w:val="center"/>
              <w:rPr>
                <w:rFonts w:hint="eastAsia" w:ascii="Calibri" w:hAnsi="Calibri" w:eastAsia="宋体" w:cs="Times New Roman"/>
                <w:kern w:val="2"/>
                <w:sz w:val="21"/>
                <w:szCs w:val="22"/>
                <w:highlight w:val="none"/>
                <w:vertAlign w:val="baseline"/>
                <w:lang w:val="en-US" w:eastAsia="zh-CN" w:bidi="ar-SA"/>
              </w:rPr>
            </w:pPr>
            <w:r>
              <w:rPr>
                <w:rFonts w:hint="eastAsia"/>
                <w:highlight w:val="none"/>
                <w:vertAlign w:val="baseline"/>
                <w:lang w:val="en-US" w:eastAsia="zh-CN"/>
              </w:rPr>
              <w:t>1</w:t>
            </w:r>
          </w:p>
        </w:tc>
        <w:tc>
          <w:tcPr>
            <w:tcW w:w="3313" w:type="dxa"/>
            <w:noWrap w:val="0"/>
            <w:vAlign w:val="top"/>
          </w:tcPr>
          <w:p w14:paraId="2EB0AA37">
            <w:pPr>
              <w:jc w:val="left"/>
              <w:rPr>
                <w:rFonts w:hint="eastAsia"/>
                <w:highlight w:val="none"/>
                <w:lang w:val="en-US" w:eastAsia="zh-CN"/>
              </w:rPr>
            </w:pPr>
            <w:r>
              <w:rPr>
                <w:rFonts w:hint="eastAsia"/>
                <w:highlight w:val="none"/>
                <w:lang w:val="en-US" w:eastAsia="zh-CN"/>
              </w:rPr>
              <w:t>第一节专用合同条款1.1</w:t>
            </w:r>
            <w:r>
              <w:rPr>
                <w:rFonts w:hint="eastAsia" w:ascii="Times New Roman"/>
                <w:highlight w:val="none"/>
              </w:rPr>
              <w:t>词语定义</w:t>
            </w:r>
          </w:p>
          <w:p w14:paraId="6DC3EDCC">
            <w:pPr>
              <w:pStyle w:val="2"/>
              <w:ind w:left="0" w:leftChars="0" w:firstLine="0" w:firstLineChars="0"/>
              <w:rPr>
                <w:rFonts w:hint="eastAsia" w:ascii="Calibri" w:hAnsi="Calibri" w:eastAsia="宋体" w:cs="Times New Roman"/>
                <w:kern w:val="2"/>
                <w:sz w:val="21"/>
                <w:szCs w:val="24"/>
                <w:highlight w:val="none"/>
                <w:lang w:val="en-US" w:eastAsia="zh-CN" w:bidi="ar-SA"/>
              </w:rPr>
            </w:pPr>
            <w:r>
              <w:rPr>
                <w:rFonts w:hint="eastAsia"/>
                <w:szCs w:val="21"/>
                <w:highlight w:val="none"/>
              </w:rPr>
              <w:t>1.1.6.4 全过程：指勘察设计、施工准备（含三通一平）、施工、竣工结算、缺陷责任期、达标投产创优。</w:t>
            </w:r>
          </w:p>
        </w:tc>
        <w:tc>
          <w:tcPr>
            <w:tcW w:w="5832" w:type="dxa"/>
            <w:noWrap w:val="0"/>
            <w:vAlign w:val="top"/>
          </w:tcPr>
          <w:p w14:paraId="08FAB465">
            <w:pPr>
              <w:jc w:val="left"/>
              <w:rPr>
                <w:rFonts w:hint="eastAsia"/>
                <w:highlight w:val="none"/>
                <w:lang w:val="en-US" w:eastAsia="zh-CN"/>
              </w:rPr>
            </w:pPr>
            <w:r>
              <w:rPr>
                <w:rFonts w:hint="eastAsia"/>
                <w:highlight w:val="none"/>
                <w:lang w:val="en-US" w:eastAsia="zh-CN"/>
              </w:rPr>
              <w:t>第一节专用合同条款1.1</w:t>
            </w:r>
            <w:r>
              <w:rPr>
                <w:rFonts w:hint="eastAsia" w:ascii="Times New Roman"/>
                <w:highlight w:val="none"/>
              </w:rPr>
              <w:t>词语定义</w:t>
            </w:r>
          </w:p>
          <w:p w14:paraId="328A0330">
            <w:pPr>
              <w:pStyle w:val="2"/>
              <w:ind w:left="0" w:leftChars="0" w:firstLine="0" w:firstLineChars="0"/>
              <w:rPr>
                <w:rFonts w:hint="default" w:ascii="Calibri" w:hAnsi="Calibri" w:eastAsia="宋体" w:cs="Times New Roman"/>
                <w:kern w:val="2"/>
                <w:sz w:val="21"/>
                <w:szCs w:val="24"/>
                <w:highlight w:val="none"/>
                <w:lang w:val="en-US" w:eastAsia="zh-CN" w:bidi="ar-SA"/>
              </w:rPr>
            </w:pPr>
            <w:r>
              <w:rPr>
                <w:rFonts w:hint="eastAsia"/>
                <w:szCs w:val="21"/>
                <w:highlight w:val="none"/>
              </w:rPr>
              <w:t>1.1.6.4  全过程：指勘察设计、施工准备（含三通一平）、施工（含工程本体建设以及除本体建设外发生的相关施工活动，除本体建设外相关施工包括但不限于路面修复（含市政路面、公路等）、交通疏解、跨（穿）越铁路/公路、管线迁移、绿化迁移、林木砍伐等）、竣工结算、缺陷责任期、达标投产创优。</w:t>
            </w:r>
          </w:p>
        </w:tc>
      </w:tr>
      <w:tr w14:paraId="654A3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14:paraId="0C6A7318">
            <w:pPr>
              <w:jc w:val="center"/>
              <w:rPr>
                <w:rFonts w:hint="default"/>
                <w:highlight w:val="none"/>
                <w:vertAlign w:val="baseline"/>
                <w:lang w:val="en-US" w:eastAsia="zh-CN"/>
              </w:rPr>
            </w:pPr>
            <w:r>
              <w:rPr>
                <w:rFonts w:hint="eastAsia"/>
                <w:highlight w:val="none"/>
                <w:vertAlign w:val="baseline"/>
                <w:lang w:val="en-US" w:eastAsia="zh-CN"/>
              </w:rPr>
              <w:t>1</w:t>
            </w:r>
          </w:p>
        </w:tc>
        <w:tc>
          <w:tcPr>
            <w:tcW w:w="3313" w:type="dxa"/>
            <w:noWrap w:val="0"/>
            <w:vAlign w:val="top"/>
          </w:tcPr>
          <w:p w14:paraId="57A2ADB8">
            <w:pPr>
              <w:jc w:val="left"/>
              <w:rPr>
                <w:rFonts w:hint="eastAsia"/>
                <w:highlight w:val="none"/>
                <w:lang w:val="en-US" w:eastAsia="zh-CN"/>
              </w:rPr>
            </w:pPr>
            <w:r>
              <w:rPr>
                <w:rFonts w:hint="eastAsia"/>
                <w:highlight w:val="none"/>
                <w:lang w:val="en-US" w:eastAsia="zh-CN"/>
              </w:rPr>
              <w:t>第二节专用合同条款9.1合同价格</w:t>
            </w:r>
          </w:p>
          <w:p w14:paraId="3A71777E">
            <w:pPr>
              <w:spacing w:line="360" w:lineRule="auto"/>
              <w:rPr>
                <w:szCs w:val="21"/>
                <w:highlight w:val="none"/>
              </w:rPr>
            </w:pPr>
            <w:r>
              <w:rPr>
                <w:rFonts w:hint="eastAsia"/>
                <w:szCs w:val="21"/>
                <w:highlight w:val="none"/>
              </w:rPr>
              <w:t>（2）合同价格形式</w:t>
            </w:r>
          </w:p>
          <w:p w14:paraId="1AF59E2A">
            <w:pPr>
              <w:spacing w:line="360" w:lineRule="auto"/>
              <w:rPr>
                <w:szCs w:val="21"/>
                <w:highlight w:val="none"/>
              </w:rPr>
            </w:pPr>
            <w:r>
              <w:rPr>
                <w:rFonts w:hint="eastAsia"/>
                <w:szCs w:val="21"/>
                <w:highlight w:val="none"/>
              </w:rPr>
              <w:t>本合同采用以下第</w:t>
            </w:r>
            <w:permStart w:id="0" w:edGrp="everyone"/>
            <w:r>
              <w:rPr>
                <w:rFonts w:hint="eastAsia"/>
                <w:szCs w:val="21"/>
                <w:highlight w:val="none"/>
                <w:u w:val="single"/>
              </w:rPr>
              <w:t xml:space="preserve">   </w:t>
            </w:r>
            <w:permEnd w:id="0"/>
            <w:r>
              <w:rPr>
                <w:rFonts w:hint="eastAsia"/>
                <w:szCs w:val="21"/>
                <w:highlight w:val="none"/>
              </w:rPr>
              <w:t>种方式定价。</w:t>
            </w:r>
          </w:p>
          <w:p w14:paraId="1A371271">
            <w:pPr>
              <w:spacing w:line="360" w:lineRule="auto"/>
              <w:rPr>
                <w:szCs w:val="21"/>
                <w:highlight w:val="none"/>
              </w:rPr>
            </w:pPr>
            <w:r>
              <w:rPr>
                <w:rFonts w:hint="eastAsia"/>
                <w:szCs w:val="21"/>
                <w:highlight w:val="none"/>
              </w:rPr>
              <w:t>（b）暂定价</w:t>
            </w:r>
          </w:p>
          <w:p w14:paraId="7C76FAE0">
            <w:pPr>
              <w:pStyle w:val="2"/>
              <w:ind w:left="0" w:leftChars="0" w:firstLine="0" w:firstLineChars="0"/>
              <w:rPr>
                <w:rFonts w:hint="default"/>
                <w:highlight w:val="none"/>
                <w:lang w:val="en-US" w:eastAsia="zh-CN"/>
              </w:rPr>
            </w:pPr>
            <w:r>
              <w:rPr>
                <w:rFonts w:hint="eastAsia"/>
                <w:szCs w:val="21"/>
                <w:highlight w:val="none"/>
              </w:rPr>
              <w:t>合同采用暂定价，监理费结算价款=</w:t>
            </w:r>
            <w:permStart w:id="1" w:edGrp="everyone"/>
            <w:r>
              <w:rPr>
                <w:rFonts w:hint="eastAsia"/>
                <w:szCs w:val="21"/>
                <w:highlight w:val="none"/>
                <w:u w:val="single"/>
              </w:rPr>
              <w:t>审定的初步设计概算（或施工图设计预算）</w:t>
            </w:r>
            <w:permEnd w:id="1"/>
            <w:r>
              <w:rPr>
                <w:rFonts w:hint="eastAsia"/>
                <w:szCs w:val="21"/>
                <w:highlight w:val="none"/>
              </w:rPr>
              <w:t>为基数计算出的监理费×（1-投标下浮率</w:t>
            </w:r>
            <w:permStart w:id="2" w:edGrp="everyone"/>
            <w:r>
              <w:rPr>
                <w:rFonts w:hint="eastAsia"/>
                <w:szCs w:val="21"/>
                <w:highlight w:val="none"/>
                <w:u w:val="single"/>
              </w:rPr>
              <w:t xml:space="preserve">   </w:t>
            </w:r>
            <w:permEnd w:id="2"/>
            <w:r>
              <w:rPr>
                <w:rFonts w:hint="eastAsia"/>
                <w:szCs w:val="21"/>
                <w:highlight w:val="none"/>
              </w:rPr>
              <w:t>%）。</w:t>
            </w:r>
          </w:p>
        </w:tc>
        <w:tc>
          <w:tcPr>
            <w:tcW w:w="5832" w:type="dxa"/>
            <w:noWrap w:val="0"/>
            <w:vAlign w:val="top"/>
          </w:tcPr>
          <w:p w14:paraId="21E4B37B">
            <w:pPr>
              <w:spacing w:line="360" w:lineRule="auto"/>
              <w:rPr>
                <w:rFonts w:hint="eastAsia"/>
                <w:highlight w:val="none"/>
                <w:lang w:val="en-US" w:eastAsia="zh-CN"/>
              </w:rPr>
            </w:pPr>
            <w:r>
              <w:rPr>
                <w:rFonts w:hint="eastAsia"/>
                <w:highlight w:val="none"/>
                <w:lang w:val="en-US" w:eastAsia="zh-CN"/>
              </w:rPr>
              <w:t>第二节专用合同条款9.1合同价格</w:t>
            </w:r>
          </w:p>
          <w:p w14:paraId="675585E3">
            <w:pPr>
              <w:spacing w:line="360" w:lineRule="auto"/>
              <w:rPr>
                <w:szCs w:val="21"/>
                <w:highlight w:val="none"/>
              </w:rPr>
            </w:pPr>
            <w:r>
              <w:rPr>
                <w:rFonts w:hint="eastAsia"/>
                <w:szCs w:val="21"/>
                <w:highlight w:val="none"/>
              </w:rPr>
              <w:t>（2）合同价格形式</w:t>
            </w:r>
          </w:p>
          <w:p w14:paraId="551E4916">
            <w:pPr>
              <w:spacing w:line="360" w:lineRule="auto"/>
              <w:rPr>
                <w:szCs w:val="21"/>
                <w:highlight w:val="none"/>
              </w:rPr>
            </w:pPr>
            <w:r>
              <w:rPr>
                <w:rFonts w:hint="eastAsia"/>
                <w:szCs w:val="21"/>
                <w:highlight w:val="none"/>
              </w:rPr>
              <w:t>本合同采用以下第</w:t>
            </w:r>
            <w:permStart w:id="3" w:edGrp="everyone"/>
            <w:r>
              <w:rPr>
                <w:rFonts w:hint="eastAsia"/>
                <w:szCs w:val="21"/>
                <w:highlight w:val="none"/>
                <w:u w:val="single"/>
              </w:rPr>
              <w:t xml:space="preserve"> </w:t>
            </w:r>
            <w:r>
              <w:rPr>
                <w:rFonts w:hint="eastAsia"/>
                <w:color w:val="auto"/>
                <w:szCs w:val="21"/>
                <w:highlight w:val="none"/>
                <w:u w:val="single"/>
              </w:rPr>
              <w:t>（b）</w:t>
            </w:r>
            <w:r>
              <w:rPr>
                <w:rFonts w:hint="eastAsia"/>
                <w:szCs w:val="21"/>
                <w:highlight w:val="none"/>
                <w:u w:val="single"/>
              </w:rPr>
              <w:t xml:space="preserve">  </w:t>
            </w:r>
            <w:permEnd w:id="3"/>
            <w:r>
              <w:rPr>
                <w:rFonts w:hint="eastAsia"/>
                <w:szCs w:val="21"/>
                <w:highlight w:val="none"/>
              </w:rPr>
              <w:t>种方式定价。</w:t>
            </w:r>
          </w:p>
          <w:p w14:paraId="51591860">
            <w:pPr>
              <w:spacing w:line="360" w:lineRule="auto"/>
              <w:rPr>
                <w:b/>
                <w:color w:val="auto"/>
                <w:szCs w:val="21"/>
                <w:highlight w:val="none"/>
              </w:rPr>
            </w:pPr>
            <w:r>
              <w:rPr>
                <w:rFonts w:hint="eastAsia"/>
                <w:b/>
                <w:color w:val="auto"/>
                <w:szCs w:val="21"/>
                <w:highlight w:val="none"/>
              </w:rPr>
              <w:t>（b）暂定价</w:t>
            </w:r>
          </w:p>
          <w:p w14:paraId="27C42881">
            <w:pPr>
              <w:spacing w:line="360" w:lineRule="auto"/>
              <w:rPr>
                <w:color w:val="auto"/>
                <w:szCs w:val="21"/>
                <w:highlight w:val="none"/>
              </w:rPr>
            </w:pPr>
            <w:r>
              <w:rPr>
                <w:rFonts w:hint="eastAsia"/>
                <w:color w:val="auto"/>
                <w:szCs w:val="21"/>
                <w:highlight w:val="none"/>
              </w:rPr>
              <w:t>合同采用暂定价，监理费结算价款</w:t>
            </w:r>
            <w:r>
              <w:rPr>
                <w:rFonts w:hint="eastAsia"/>
                <w:color w:val="auto"/>
                <w:szCs w:val="21"/>
                <w:highlight w:val="none"/>
                <w:u w:val="single"/>
              </w:rPr>
              <w:t>详见9.4 费用结算</w:t>
            </w:r>
            <w:r>
              <w:rPr>
                <w:rFonts w:hint="eastAsia"/>
                <w:color w:val="auto"/>
                <w:szCs w:val="21"/>
                <w:highlight w:val="none"/>
              </w:rPr>
              <w:t>。</w:t>
            </w:r>
          </w:p>
          <w:p w14:paraId="15651BE7">
            <w:pPr>
              <w:pStyle w:val="2"/>
              <w:ind w:left="0" w:leftChars="0" w:firstLine="0" w:firstLineChars="0"/>
              <w:rPr>
                <w:rFonts w:hint="default"/>
                <w:highlight w:val="none"/>
                <w:lang w:val="en-US" w:eastAsia="zh-CN"/>
              </w:rPr>
            </w:pPr>
          </w:p>
        </w:tc>
      </w:tr>
      <w:tr w14:paraId="4DF63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14:paraId="5ACC64DF">
            <w:pPr>
              <w:jc w:val="center"/>
              <w:rPr>
                <w:rFonts w:hint="default"/>
                <w:highlight w:val="none"/>
                <w:vertAlign w:val="baseline"/>
                <w:lang w:val="en-US" w:eastAsia="zh-CN"/>
              </w:rPr>
            </w:pPr>
            <w:r>
              <w:rPr>
                <w:rFonts w:hint="eastAsia"/>
                <w:highlight w:val="none"/>
                <w:vertAlign w:val="baseline"/>
                <w:lang w:val="en-US" w:eastAsia="zh-CN"/>
              </w:rPr>
              <w:t>2</w:t>
            </w:r>
          </w:p>
        </w:tc>
        <w:tc>
          <w:tcPr>
            <w:tcW w:w="3313" w:type="dxa"/>
            <w:noWrap w:val="0"/>
            <w:vAlign w:val="top"/>
          </w:tcPr>
          <w:p w14:paraId="50A48113">
            <w:pPr>
              <w:jc w:val="left"/>
              <w:rPr>
                <w:rFonts w:hint="eastAsia"/>
                <w:highlight w:val="none"/>
              </w:rPr>
            </w:pPr>
            <w:r>
              <w:rPr>
                <w:rFonts w:hint="eastAsia"/>
                <w:highlight w:val="none"/>
                <w:lang w:val="en-US" w:eastAsia="zh-CN"/>
              </w:rPr>
              <w:t xml:space="preserve">第二节专用合同条款 </w:t>
            </w:r>
            <w:bookmarkStart w:id="0" w:name="_Toc28518"/>
            <w:r>
              <w:rPr>
                <w:rFonts w:hint="eastAsia"/>
                <w:highlight w:val="none"/>
              </w:rPr>
              <w:t>9</w:t>
            </w:r>
            <w:r>
              <w:rPr>
                <w:highlight w:val="none"/>
              </w:rPr>
              <w:t xml:space="preserve">.2 </w:t>
            </w:r>
            <w:r>
              <w:rPr>
                <w:rFonts w:hint="eastAsia"/>
                <w:highlight w:val="none"/>
              </w:rPr>
              <w:t>预付款</w:t>
            </w:r>
            <w:bookmarkEnd w:id="0"/>
          </w:p>
          <w:p w14:paraId="60C4B385">
            <w:pPr>
              <w:pStyle w:val="3"/>
              <w:spacing w:line="360" w:lineRule="auto"/>
              <w:ind w:left="0" w:leftChars="0" w:firstLine="0" w:firstLineChars="0"/>
              <w:rPr>
                <w:rFonts w:hAnsi="宋体"/>
                <w:szCs w:val="21"/>
                <w:highlight w:val="none"/>
                <w:u w:val="single"/>
              </w:rPr>
            </w:pPr>
            <w:r>
              <w:rPr>
                <w:rFonts w:hint="eastAsia"/>
                <w:szCs w:val="21"/>
                <w:highlight w:val="none"/>
              </w:rPr>
              <w:t>预付款的额度</w:t>
            </w:r>
            <w:r>
              <w:rPr>
                <w:rFonts w:hint="eastAsia" w:hAnsi="宋体"/>
                <w:szCs w:val="21"/>
                <w:highlight w:val="none"/>
              </w:rPr>
              <w:t>：</w:t>
            </w:r>
            <w:permStart w:id="4" w:edGrp="everyone"/>
            <w:r>
              <w:rPr>
                <w:rFonts w:hint="eastAsia" w:hAnsi="宋体"/>
                <w:szCs w:val="21"/>
                <w:highlight w:val="none"/>
                <w:u w:val="single"/>
              </w:rPr>
              <w:t>合同价</w:t>
            </w:r>
            <w:r>
              <w:rPr>
                <w:rFonts w:hAnsi="宋体"/>
                <w:szCs w:val="21"/>
                <w:highlight w:val="none"/>
                <w:u w:val="single"/>
              </w:rPr>
              <w:t>的</w:t>
            </w:r>
            <w:r>
              <w:rPr>
                <w:rFonts w:hint="eastAsia" w:hAnsi="宋体"/>
                <w:szCs w:val="21"/>
                <w:highlight w:val="none"/>
                <w:u w:val="single"/>
              </w:rPr>
              <w:t>10</w:t>
            </w:r>
            <w:r>
              <w:rPr>
                <w:rFonts w:hAnsi="宋体"/>
                <w:szCs w:val="21"/>
                <w:highlight w:val="none"/>
                <w:u w:val="single"/>
              </w:rPr>
              <w:t>%</w:t>
            </w:r>
            <w:r>
              <w:rPr>
                <w:rFonts w:hint="eastAsia" w:hAnsi="宋体"/>
                <w:szCs w:val="21"/>
                <w:highlight w:val="none"/>
                <w:u w:val="single"/>
              </w:rPr>
              <w:t>，监理人需要提供履约担保和付款申请。</w:t>
            </w:r>
            <w:permEnd w:id="4"/>
          </w:p>
          <w:p w14:paraId="20FCEEE5">
            <w:pPr>
              <w:spacing w:line="360" w:lineRule="auto"/>
              <w:rPr>
                <w:highlight w:val="none"/>
              </w:rPr>
            </w:pPr>
            <w:r>
              <w:rPr>
                <w:rFonts w:hint="eastAsia"/>
                <w:highlight w:val="none"/>
              </w:rPr>
              <w:t>在合同生效且监理人提供履约担保</w:t>
            </w:r>
            <w:r>
              <w:rPr>
                <w:rFonts w:hint="eastAsia" w:ascii="宋体" w:hAnsi="宋体"/>
                <w:szCs w:val="21"/>
                <w:highlight w:val="none"/>
              </w:rPr>
              <w:t>和付款申请</w:t>
            </w:r>
            <w:r>
              <w:rPr>
                <w:rFonts w:hint="eastAsia"/>
                <w:highlight w:val="none"/>
              </w:rPr>
              <w:t>后</w:t>
            </w:r>
            <w:permStart w:id="5" w:edGrp="everyone"/>
            <w:r>
              <w:rPr>
                <w:rFonts w:hint="eastAsia"/>
                <w:highlight w:val="none"/>
                <w:u w:val="single"/>
              </w:rPr>
              <w:t>28</w:t>
            </w:r>
            <w:permEnd w:id="5"/>
            <w:r>
              <w:rPr>
                <w:rFonts w:hint="eastAsia"/>
                <w:highlight w:val="none"/>
              </w:rPr>
              <w:t>日内，委托人向监理人支付合同总价的</w:t>
            </w:r>
            <w:permStart w:id="6" w:edGrp="everyone"/>
            <w:r>
              <w:rPr>
                <w:rFonts w:hint="eastAsia"/>
                <w:highlight w:val="none"/>
                <w:u w:val="single"/>
              </w:rPr>
              <w:t>10%</w:t>
            </w:r>
            <w:permEnd w:id="6"/>
            <w:r>
              <w:rPr>
                <w:rFonts w:hint="eastAsia"/>
                <w:highlight w:val="none"/>
              </w:rPr>
              <w:t>作为预付款。</w:t>
            </w:r>
          </w:p>
          <w:p w14:paraId="0DF1C3E4">
            <w:pPr>
              <w:pStyle w:val="3"/>
              <w:spacing w:line="360" w:lineRule="auto"/>
              <w:ind w:left="0" w:leftChars="0" w:firstLine="0" w:firstLineChars="0"/>
              <w:rPr>
                <w:rFonts w:hAnsi="宋体"/>
                <w:szCs w:val="21"/>
                <w:highlight w:val="none"/>
                <w:u w:val="single"/>
              </w:rPr>
            </w:pPr>
            <w:r>
              <w:rPr>
                <w:rFonts w:hint="eastAsia"/>
                <w:szCs w:val="21"/>
                <w:highlight w:val="none"/>
              </w:rPr>
              <w:t>预付款的抵扣方式</w:t>
            </w:r>
            <w:r>
              <w:rPr>
                <w:rFonts w:hint="eastAsia" w:hAnsi="宋体"/>
                <w:szCs w:val="21"/>
                <w:highlight w:val="none"/>
              </w:rPr>
              <w:t>：</w:t>
            </w:r>
            <w:permStart w:id="7" w:edGrp="everyone"/>
            <w:r>
              <w:rPr>
                <w:rFonts w:hint="eastAsia" w:hAnsi="宋体"/>
                <w:szCs w:val="21"/>
                <w:highlight w:val="none"/>
                <w:u w:val="single"/>
              </w:rPr>
              <w:t xml:space="preserve">            。</w:t>
            </w:r>
          </w:p>
          <w:permEnd w:id="7"/>
          <w:p w14:paraId="53B6C051">
            <w:pPr>
              <w:pStyle w:val="2"/>
              <w:rPr>
                <w:rFonts w:hint="default"/>
                <w:highlight w:val="none"/>
                <w:lang w:val="en-US" w:eastAsia="zh-CN"/>
              </w:rPr>
            </w:pPr>
          </w:p>
        </w:tc>
        <w:tc>
          <w:tcPr>
            <w:tcW w:w="5832" w:type="dxa"/>
            <w:noWrap w:val="0"/>
            <w:vAlign w:val="top"/>
          </w:tcPr>
          <w:p w14:paraId="5FE38C5A">
            <w:pPr>
              <w:shd w:val="clear" w:color="auto" w:fill="auto"/>
              <w:spacing w:line="360" w:lineRule="auto"/>
              <w:rPr>
                <w:rFonts w:hint="eastAsia"/>
                <w:highlight w:val="none"/>
              </w:rPr>
            </w:pPr>
            <w:r>
              <w:rPr>
                <w:rFonts w:hint="eastAsia"/>
                <w:highlight w:val="none"/>
                <w:lang w:val="en-US" w:eastAsia="zh-CN"/>
              </w:rPr>
              <w:t xml:space="preserve">第二节专用合同条款 </w:t>
            </w:r>
            <w:r>
              <w:rPr>
                <w:rFonts w:hint="eastAsia"/>
                <w:highlight w:val="none"/>
              </w:rPr>
              <w:t>9</w:t>
            </w:r>
            <w:r>
              <w:rPr>
                <w:highlight w:val="none"/>
              </w:rPr>
              <w:t xml:space="preserve">.2 </w:t>
            </w:r>
            <w:r>
              <w:rPr>
                <w:rFonts w:hint="eastAsia"/>
                <w:highlight w:val="none"/>
              </w:rPr>
              <w:t>预付款</w:t>
            </w:r>
          </w:p>
          <w:p w14:paraId="6643B7D5">
            <w:pPr>
              <w:pStyle w:val="3"/>
              <w:spacing w:line="360" w:lineRule="auto"/>
              <w:ind w:left="0" w:leftChars="0" w:firstLine="0" w:firstLineChars="0"/>
              <w:rPr>
                <w:rFonts w:hint="eastAsia" w:hAnsi="宋体" w:eastAsia="宋体"/>
                <w:color w:val="auto"/>
                <w:szCs w:val="21"/>
                <w:highlight w:val="none"/>
                <w:u w:val="single"/>
                <w:lang w:val="en-US" w:eastAsia="zh-CN"/>
              </w:rPr>
            </w:pPr>
            <w:r>
              <w:rPr>
                <w:rFonts w:hint="eastAsia"/>
                <w:color w:val="auto"/>
                <w:szCs w:val="21"/>
                <w:highlight w:val="none"/>
              </w:rPr>
              <w:t>预付款的额度</w:t>
            </w:r>
            <w:r>
              <w:rPr>
                <w:rFonts w:hint="eastAsia" w:hAnsi="宋体"/>
                <w:color w:val="auto"/>
                <w:szCs w:val="21"/>
                <w:highlight w:val="none"/>
              </w:rPr>
              <w:t>：</w:t>
            </w:r>
            <w:r>
              <w:rPr>
                <w:rFonts w:hint="eastAsia" w:hAnsi="宋体"/>
                <w:color w:val="auto"/>
                <w:szCs w:val="21"/>
                <w:highlight w:val="none"/>
                <w:u w:val="single"/>
                <w:lang w:val="en-US" w:eastAsia="zh-CN"/>
              </w:rPr>
              <w:t xml:space="preserve">        /         。</w:t>
            </w:r>
          </w:p>
          <w:p w14:paraId="6BE71BC1">
            <w:pPr>
              <w:spacing w:line="360" w:lineRule="auto"/>
              <w:rPr>
                <w:rFonts w:ascii="Times New Roman" w:hAnsi="Times New Roman"/>
                <w:color w:val="auto"/>
                <w:highlight w:val="none"/>
              </w:rPr>
            </w:pPr>
            <w:r>
              <w:rPr>
                <w:rFonts w:hint="eastAsia" w:ascii="Times New Roman" w:hAnsi="Times New Roman"/>
                <w:color w:val="auto"/>
                <w:highlight w:val="none"/>
              </w:rPr>
              <w:t>在合同生效且监理人提供履约担保</w:t>
            </w:r>
            <w:r>
              <w:rPr>
                <w:rFonts w:hint="eastAsia" w:ascii="宋体" w:hAnsi="宋体"/>
                <w:color w:val="auto"/>
                <w:szCs w:val="21"/>
                <w:highlight w:val="none"/>
              </w:rPr>
              <w:t>和付款申请</w:t>
            </w:r>
            <w:r>
              <w:rPr>
                <w:rFonts w:hint="eastAsia" w:ascii="Times New Roman" w:hAnsi="Times New Roman"/>
                <w:color w:val="auto"/>
                <w:highlight w:val="none"/>
              </w:rPr>
              <w:t>后</w:t>
            </w:r>
            <w:r>
              <w:rPr>
                <w:rFonts w:hint="eastAsia" w:ascii="Times New Roman" w:hAnsi="Times New Roman"/>
                <w:color w:val="auto"/>
                <w:highlight w:val="none"/>
                <w:u w:val="single"/>
                <w:lang w:val="en-US" w:eastAsia="zh-CN"/>
              </w:rPr>
              <w:t xml:space="preserve">   /   </w:t>
            </w:r>
            <w:r>
              <w:rPr>
                <w:rFonts w:hint="eastAsia" w:ascii="Times New Roman" w:hAnsi="Times New Roman"/>
                <w:color w:val="auto"/>
                <w:highlight w:val="none"/>
              </w:rPr>
              <w:t>日内，委托人向监理人支付合同总价的</w:t>
            </w:r>
            <w:r>
              <w:rPr>
                <w:rFonts w:hint="eastAsia" w:ascii="Times New Roman" w:hAnsi="Times New Roman"/>
                <w:color w:val="auto"/>
                <w:highlight w:val="none"/>
                <w:u w:val="single"/>
                <w:lang w:val="en-US" w:eastAsia="zh-CN"/>
              </w:rPr>
              <w:t xml:space="preserve">   /     </w:t>
            </w:r>
            <w:r>
              <w:rPr>
                <w:rFonts w:hint="eastAsia" w:ascii="Times New Roman" w:hAnsi="Times New Roman"/>
                <w:color w:val="auto"/>
                <w:highlight w:val="none"/>
              </w:rPr>
              <w:t>作为预付款。</w:t>
            </w:r>
          </w:p>
          <w:p w14:paraId="0265263E">
            <w:pPr>
              <w:pStyle w:val="3"/>
              <w:spacing w:line="360" w:lineRule="auto"/>
              <w:ind w:left="0" w:leftChars="0" w:firstLine="0" w:firstLineChars="0"/>
              <w:rPr>
                <w:rFonts w:hAnsi="宋体"/>
                <w:color w:val="auto"/>
                <w:szCs w:val="21"/>
                <w:highlight w:val="none"/>
                <w:u w:val="single"/>
              </w:rPr>
            </w:pPr>
            <w:r>
              <w:rPr>
                <w:rFonts w:hint="eastAsia"/>
                <w:color w:val="auto"/>
                <w:szCs w:val="21"/>
                <w:highlight w:val="none"/>
              </w:rPr>
              <w:t>预付款的抵扣方式</w:t>
            </w:r>
            <w:r>
              <w:rPr>
                <w:rFonts w:hint="eastAsia" w:hAnsi="宋体"/>
                <w:color w:val="auto"/>
                <w:szCs w:val="21"/>
                <w:highlight w:val="none"/>
              </w:rPr>
              <w:t>：</w:t>
            </w:r>
            <w:r>
              <w:rPr>
                <w:rFonts w:hint="eastAsia" w:hAnsi="宋体"/>
                <w:color w:val="auto"/>
                <w:szCs w:val="21"/>
                <w:highlight w:val="none"/>
                <w:u w:val="single"/>
              </w:rPr>
              <w:t xml:space="preserve">        </w:t>
            </w:r>
            <w:r>
              <w:rPr>
                <w:rFonts w:hint="eastAsia" w:hAnsi="宋体"/>
                <w:color w:val="auto"/>
                <w:szCs w:val="21"/>
                <w:highlight w:val="none"/>
                <w:u w:val="single"/>
                <w:lang w:val="en-US" w:eastAsia="zh-CN"/>
              </w:rPr>
              <w:t>/</w:t>
            </w:r>
            <w:r>
              <w:rPr>
                <w:rFonts w:hint="eastAsia" w:hAnsi="宋体"/>
                <w:color w:val="auto"/>
                <w:szCs w:val="21"/>
                <w:highlight w:val="none"/>
                <w:u w:val="single"/>
              </w:rPr>
              <w:t xml:space="preserve">    。</w:t>
            </w:r>
          </w:p>
          <w:p w14:paraId="125FFB26">
            <w:pPr>
              <w:pStyle w:val="2"/>
              <w:rPr>
                <w:rFonts w:hint="default"/>
                <w:highlight w:val="none"/>
                <w:lang w:val="en-US" w:eastAsia="zh-CN"/>
              </w:rPr>
            </w:pPr>
          </w:p>
        </w:tc>
      </w:tr>
      <w:tr w14:paraId="6F580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14:paraId="7903837D">
            <w:pPr>
              <w:jc w:val="center"/>
              <w:rPr>
                <w:rFonts w:hint="default"/>
                <w:highlight w:val="none"/>
                <w:vertAlign w:val="baseline"/>
                <w:lang w:val="en-US" w:eastAsia="zh-CN"/>
              </w:rPr>
            </w:pPr>
            <w:r>
              <w:rPr>
                <w:rFonts w:hint="eastAsia"/>
                <w:highlight w:val="none"/>
                <w:vertAlign w:val="baseline"/>
                <w:lang w:val="en-US" w:eastAsia="zh-CN"/>
              </w:rPr>
              <w:t>3</w:t>
            </w:r>
          </w:p>
        </w:tc>
        <w:tc>
          <w:tcPr>
            <w:tcW w:w="3313" w:type="dxa"/>
            <w:noWrap w:val="0"/>
            <w:vAlign w:val="top"/>
          </w:tcPr>
          <w:p w14:paraId="6330C4D6">
            <w:pPr>
              <w:pStyle w:val="2"/>
              <w:ind w:left="0" w:leftChars="0" w:firstLine="0" w:firstLineChars="0"/>
              <w:jc w:val="left"/>
              <w:rPr>
                <w:rFonts w:hint="eastAsia"/>
                <w:highlight w:val="none"/>
                <w:lang w:eastAsia="zh-CN"/>
              </w:rPr>
            </w:pPr>
            <w:r>
              <w:rPr>
                <w:rFonts w:hint="eastAsia"/>
                <w:highlight w:val="none"/>
                <w:lang w:val="en-US" w:eastAsia="zh-CN"/>
              </w:rPr>
              <w:t xml:space="preserve">第二节专用合同条款 </w:t>
            </w:r>
            <w:r>
              <w:rPr>
                <w:rFonts w:hint="eastAsia"/>
                <w:highlight w:val="none"/>
              </w:rPr>
              <w:t>9</w:t>
            </w:r>
            <w:r>
              <w:rPr>
                <w:highlight w:val="none"/>
              </w:rPr>
              <w:t>.</w:t>
            </w:r>
            <w:r>
              <w:rPr>
                <w:rFonts w:hint="eastAsia"/>
                <w:highlight w:val="none"/>
                <w:lang w:val="en-US" w:eastAsia="zh-CN"/>
              </w:rPr>
              <w:t>3</w:t>
            </w:r>
            <w:r>
              <w:rPr>
                <w:highlight w:val="none"/>
              </w:rPr>
              <w:t xml:space="preserve"> </w:t>
            </w:r>
            <w:r>
              <w:rPr>
                <w:rFonts w:hint="eastAsia"/>
                <w:highlight w:val="none"/>
                <w:lang w:eastAsia="zh-CN"/>
              </w:rPr>
              <w:t>中期支付</w:t>
            </w:r>
          </w:p>
          <w:p w14:paraId="234255BA">
            <w:pPr>
              <w:spacing w:line="360" w:lineRule="auto"/>
              <w:jc w:val="left"/>
              <w:rPr>
                <w:rFonts w:hint="eastAsia"/>
                <w:highlight w:val="none"/>
              </w:rPr>
            </w:pPr>
            <w:r>
              <w:rPr>
                <w:rFonts w:hint="eastAsia"/>
                <w:b/>
                <w:bCs/>
                <w:highlight w:val="none"/>
              </w:rPr>
              <w:t>电缆工程：</w:t>
            </w:r>
          </w:p>
          <w:p w14:paraId="42729BFB">
            <w:pPr>
              <w:spacing w:line="360" w:lineRule="auto"/>
              <w:jc w:val="left"/>
              <w:rPr>
                <w:highlight w:val="none"/>
              </w:rPr>
            </w:pPr>
            <w:r>
              <w:rPr>
                <w:rFonts w:hint="eastAsia"/>
                <w:highlight w:val="none"/>
              </w:rPr>
              <w:t>c. 竣工验收投运并交清相关资料，支付合同监理费（电缆部分）的</w:t>
            </w:r>
            <w:r>
              <w:rPr>
                <w:rFonts w:hint="eastAsia"/>
                <w:highlight w:val="none"/>
                <w:u w:val="single"/>
              </w:rPr>
              <w:t>35</w:t>
            </w:r>
            <w:r>
              <w:rPr>
                <w:rFonts w:hint="eastAsia"/>
                <w:highlight w:val="none"/>
              </w:rPr>
              <w:t>%；</w:t>
            </w:r>
          </w:p>
          <w:p w14:paraId="59681CBB">
            <w:pPr>
              <w:spacing w:line="360" w:lineRule="auto"/>
              <w:jc w:val="left"/>
              <w:rPr>
                <w:rFonts w:hint="eastAsia"/>
                <w:highlight w:val="none"/>
              </w:rPr>
            </w:pPr>
            <w:r>
              <w:rPr>
                <w:rFonts w:hint="eastAsia"/>
                <w:highlight w:val="none"/>
              </w:rPr>
              <w:t>进度款支付时限为完成项目阶段性工作、并收到等额增值税专用发票后</w:t>
            </w:r>
            <w:r>
              <w:rPr>
                <w:rFonts w:hint="eastAsia"/>
                <w:highlight w:val="none"/>
                <w:u w:val="single"/>
              </w:rPr>
              <w:t>45</w:t>
            </w:r>
            <w:r>
              <w:rPr>
                <w:rFonts w:hint="eastAsia"/>
                <w:highlight w:val="none"/>
              </w:rPr>
              <w:t>日内；付至合同监理费的</w:t>
            </w:r>
            <w:r>
              <w:rPr>
                <w:rFonts w:hint="eastAsia"/>
                <w:highlight w:val="none"/>
                <w:u w:val="single"/>
              </w:rPr>
              <w:t>97</w:t>
            </w:r>
            <w:r>
              <w:rPr>
                <w:rFonts w:hint="eastAsia"/>
                <w:highlight w:val="none"/>
              </w:rPr>
              <w:t>％（10万元及以下合同支付完总结算监理报酬）。</w:t>
            </w:r>
          </w:p>
          <w:p w14:paraId="07E24D30">
            <w:pPr>
              <w:spacing w:line="360" w:lineRule="auto"/>
              <w:jc w:val="left"/>
              <w:rPr>
                <w:rFonts w:hint="eastAsia"/>
                <w:highlight w:val="none"/>
                <w:lang w:val="en-US" w:eastAsia="zh-CN"/>
              </w:rPr>
            </w:pPr>
            <w:r>
              <w:rPr>
                <w:rFonts w:hint="eastAsia"/>
                <w:highlight w:val="none"/>
              </w:rPr>
              <w:t>d.</w:t>
            </w:r>
            <w:r>
              <w:rPr>
                <w:rFonts w:hint="eastAsia"/>
                <w:szCs w:val="21"/>
                <w:highlight w:val="none"/>
                <w:u w:val="single"/>
              </w:rPr>
              <w:t xml:space="preserve">            </w:t>
            </w:r>
            <w:r>
              <w:rPr>
                <w:szCs w:val="21"/>
                <w:highlight w:val="none"/>
              </w:rPr>
              <w:t>。</w:t>
            </w:r>
            <w:r>
              <w:rPr>
                <w:rFonts w:hint="eastAsia"/>
                <w:highlight w:val="none"/>
              </w:rPr>
              <w:t xml:space="preserve"> </w:t>
            </w:r>
          </w:p>
        </w:tc>
        <w:tc>
          <w:tcPr>
            <w:tcW w:w="5832" w:type="dxa"/>
            <w:noWrap w:val="0"/>
            <w:vAlign w:val="top"/>
          </w:tcPr>
          <w:p w14:paraId="2C9EAC91">
            <w:pPr>
              <w:pStyle w:val="2"/>
              <w:ind w:left="0" w:leftChars="0" w:firstLine="0" w:firstLineChars="0"/>
              <w:rPr>
                <w:rFonts w:hint="eastAsia"/>
                <w:highlight w:val="none"/>
                <w:lang w:val="en-US" w:eastAsia="zh-CN"/>
              </w:rPr>
            </w:pPr>
            <w:r>
              <w:rPr>
                <w:rFonts w:hint="eastAsia"/>
                <w:highlight w:val="none"/>
                <w:lang w:val="en-US" w:eastAsia="zh-CN"/>
              </w:rPr>
              <w:t>修改为：</w:t>
            </w:r>
          </w:p>
          <w:p w14:paraId="1D6E14D3">
            <w:pPr>
              <w:pStyle w:val="2"/>
              <w:ind w:left="0" w:leftChars="0" w:firstLine="0" w:firstLineChars="0"/>
              <w:jc w:val="left"/>
              <w:rPr>
                <w:rFonts w:hint="eastAsia"/>
                <w:highlight w:val="none"/>
                <w:lang w:eastAsia="zh-CN"/>
              </w:rPr>
            </w:pPr>
            <w:r>
              <w:rPr>
                <w:rFonts w:hint="eastAsia"/>
                <w:highlight w:val="none"/>
                <w:lang w:val="en-US" w:eastAsia="zh-CN"/>
              </w:rPr>
              <w:t xml:space="preserve">第二节专用合同条款 </w:t>
            </w:r>
            <w:r>
              <w:rPr>
                <w:rFonts w:hint="eastAsia"/>
                <w:highlight w:val="none"/>
              </w:rPr>
              <w:t>9</w:t>
            </w:r>
            <w:r>
              <w:rPr>
                <w:highlight w:val="none"/>
              </w:rPr>
              <w:t>.</w:t>
            </w:r>
            <w:r>
              <w:rPr>
                <w:rFonts w:hint="eastAsia"/>
                <w:highlight w:val="none"/>
                <w:lang w:val="en-US" w:eastAsia="zh-CN"/>
              </w:rPr>
              <w:t>3</w:t>
            </w:r>
            <w:r>
              <w:rPr>
                <w:highlight w:val="none"/>
              </w:rPr>
              <w:t xml:space="preserve"> </w:t>
            </w:r>
            <w:r>
              <w:rPr>
                <w:rFonts w:hint="eastAsia"/>
                <w:highlight w:val="none"/>
                <w:lang w:eastAsia="zh-CN"/>
              </w:rPr>
              <w:t>中期支付</w:t>
            </w:r>
          </w:p>
          <w:p w14:paraId="7162F719">
            <w:pPr>
              <w:spacing w:line="360" w:lineRule="auto"/>
              <w:jc w:val="left"/>
              <w:rPr>
                <w:rFonts w:hint="eastAsia"/>
                <w:highlight w:val="none"/>
              </w:rPr>
            </w:pPr>
            <w:r>
              <w:rPr>
                <w:rFonts w:hint="eastAsia"/>
                <w:b/>
                <w:bCs/>
                <w:highlight w:val="none"/>
              </w:rPr>
              <w:t>电缆工程：</w:t>
            </w:r>
          </w:p>
          <w:p w14:paraId="41CC73A7">
            <w:pPr>
              <w:spacing w:line="360" w:lineRule="auto"/>
              <w:jc w:val="left"/>
              <w:rPr>
                <w:highlight w:val="none"/>
              </w:rPr>
            </w:pPr>
            <w:r>
              <w:rPr>
                <w:rFonts w:hint="eastAsia"/>
                <w:highlight w:val="none"/>
              </w:rPr>
              <w:t>c. 竣工验收投运并交清相关资料，支付合同监理费（电缆部分）的35%；</w:t>
            </w:r>
          </w:p>
          <w:p w14:paraId="45854D81">
            <w:pPr>
              <w:spacing w:line="360" w:lineRule="auto"/>
              <w:jc w:val="left"/>
              <w:rPr>
                <w:rFonts w:hint="eastAsia"/>
                <w:strike/>
                <w:dstrike w:val="0"/>
                <w:highlight w:val="none"/>
              </w:rPr>
            </w:pPr>
            <w:r>
              <w:rPr>
                <w:rFonts w:hint="eastAsia"/>
                <w:strike/>
                <w:dstrike w:val="0"/>
                <w:highlight w:val="none"/>
              </w:rPr>
              <w:t>进度款支付时限为完成项目阶段性工作、并收到等额增值税专用发票后45日内；付至合同监理费的97％（10万元及以下合同支付完总结算监理报酬）。</w:t>
            </w:r>
          </w:p>
          <w:p w14:paraId="2E69F932">
            <w:pPr>
              <w:pStyle w:val="2"/>
              <w:ind w:left="0" w:leftChars="0" w:firstLine="0" w:firstLineChars="0"/>
              <w:rPr>
                <w:rFonts w:hint="default"/>
                <w:highlight w:val="none"/>
                <w:lang w:val="en-US" w:eastAsia="zh-CN"/>
              </w:rPr>
            </w:pPr>
            <w:r>
              <w:rPr>
                <w:rFonts w:hint="eastAsia"/>
                <w:highlight w:val="none"/>
              </w:rPr>
              <w:t>d.</w:t>
            </w:r>
            <w:r>
              <w:rPr>
                <w:rFonts w:hint="eastAsia"/>
                <w:szCs w:val="21"/>
                <w:highlight w:val="none"/>
                <w:u w:val="single"/>
              </w:rPr>
              <w:t xml:space="preserve">            </w:t>
            </w:r>
            <w:r>
              <w:rPr>
                <w:szCs w:val="21"/>
                <w:highlight w:val="none"/>
              </w:rPr>
              <w:t>。</w:t>
            </w:r>
            <w:r>
              <w:rPr>
                <w:rFonts w:hint="eastAsia"/>
                <w:highlight w:val="none"/>
              </w:rPr>
              <w:t xml:space="preserve"> </w:t>
            </w:r>
          </w:p>
        </w:tc>
      </w:tr>
      <w:tr w14:paraId="3361A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14:paraId="109A7596">
            <w:pPr>
              <w:jc w:val="center"/>
              <w:rPr>
                <w:rFonts w:hint="default"/>
                <w:highlight w:val="none"/>
                <w:vertAlign w:val="baseline"/>
                <w:lang w:val="en-US" w:eastAsia="zh-CN"/>
              </w:rPr>
            </w:pPr>
            <w:r>
              <w:rPr>
                <w:rFonts w:hint="eastAsia"/>
                <w:highlight w:val="none"/>
                <w:vertAlign w:val="baseline"/>
                <w:lang w:val="en-US" w:eastAsia="zh-CN"/>
              </w:rPr>
              <w:t>4</w:t>
            </w:r>
          </w:p>
        </w:tc>
        <w:tc>
          <w:tcPr>
            <w:tcW w:w="3313" w:type="dxa"/>
            <w:noWrap w:val="0"/>
            <w:vAlign w:val="top"/>
          </w:tcPr>
          <w:p w14:paraId="18321152">
            <w:pPr>
              <w:jc w:val="left"/>
              <w:rPr>
                <w:rFonts w:hint="eastAsia" w:ascii="Times New Roman"/>
                <w:highlight w:val="none"/>
              </w:rPr>
            </w:pPr>
            <w:r>
              <w:rPr>
                <w:rFonts w:hint="eastAsia"/>
                <w:highlight w:val="none"/>
                <w:lang w:val="en-US" w:eastAsia="zh-CN"/>
              </w:rPr>
              <w:t xml:space="preserve">第二节专用合同条款 </w:t>
            </w:r>
            <w:bookmarkStart w:id="1" w:name="_Toc4164"/>
            <w:r>
              <w:rPr>
                <w:rFonts w:hint="eastAsia" w:ascii="Times New Roman"/>
                <w:highlight w:val="none"/>
              </w:rPr>
              <w:t>9</w:t>
            </w:r>
            <w:r>
              <w:rPr>
                <w:rFonts w:ascii="Times New Roman"/>
                <w:highlight w:val="none"/>
              </w:rPr>
              <w:t xml:space="preserve">.4 </w:t>
            </w:r>
            <w:r>
              <w:rPr>
                <w:rFonts w:hint="eastAsia" w:ascii="Times New Roman"/>
                <w:highlight w:val="none"/>
              </w:rPr>
              <w:t>费用结算</w:t>
            </w:r>
            <w:bookmarkEnd w:id="1"/>
          </w:p>
          <w:p w14:paraId="742CE914">
            <w:pPr>
              <w:spacing w:line="360" w:lineRule="auto"/>
              <w:rPr>
                <w:szCs w:val="21"/>
                <w:highlight w:val="none"/>
              </w:rPr>
            </w:pPr>
            <w:r>
              <w:rPr>
                <w:rFonts w:hint="eastAsia"/>
                <w:highlight w:val="none"/>
              </w:rPr>
              <w:t>增加以下内容到第9.4款：</w:t>
            </w:r>
          </w:p>
          <w:p w14:paraId="361F4773">
            <w:pPr>
              <w:pStyle w:val="3"/>
              <w:spacing w:line="360" w:lineRule="auto"/>
              <w:ind w:left="0" w:leftChars="0" w:firstLine="0" w:firstLineChars="0"/>
              <w:rPr>
                <w:rFonts w:hAnsi="宋体"/>
                <w:szCs w:val="21"/>
                <w:highlight w:val="none"/>
                <w:u w:val="single"/>
              </w:rPr>
            </w:pPr>
            <w:r>
              <w:rPr>
                <w:rFonts w:hint="eastAsia" w:hAnsi="宋体"/>
                <w:szCs w:val="21"/>
                <w:highlight w:val="none"/>
              </w:rPr>
              <w:t>12.4.5 本合同</w:t>
            </w:r>
            <w:r>
              <w:rPr>
                <w:rFonts w:hAnsi="宋体"/>
                <w:szCs w:val="21"/>
                <w:highlight w:val="none"/>
              </w:rPr>
              <w:t>采用</w:t>
            </w:r>
            <w:permStart w:id="8" w:edGrp="everyone"/>
            <w:r>
              <w:rPr>
                <w:rFonts w:hint="eastAsia" w:hAnsi="宋体"/>
                <w:szCs w:val="21"/>
                <w:highlight w:val="none"/>
                <w:u w:val="single"/>
              </w:rPr>
              <w:t xml:space="preserve">  </w:t>
            </w:r>
            <w:r>
              <w:rPr>
                <w:rFonts w:hAnsi="宋体"/>
                <w:szCs w:val="21"/>
                <w:highlight w:val="none"/>
                <w:u w:val="single"/>
              </w:rPr>
              <w:t>总价</w:t>
            </w:r>
            <w:r>
              <w:rPr>
                <w:rFonts w:hint="eastAsia" w:hAnsi="宋体"/>
                <w:szCs w:val="21"/>
                <w:highlight w:val="none"/>
                <w:u w:val="single"/>
              </w:rPr>
              <w:t xml:space="preserve"> </w:t>
            </w:r>
            <w:permEnd w:id="8"/>
            <w:r>
              <w:rPr>
                <w:rFonts w:hint="eastAsia" w:hAnsi="宋体"/>
                <w:szCs w:val="21"/>
                <w:highlight w:val="none"/>
                <w:u w:val="single"/>
              </w:rPr>
              <w:t xml:space="preserve"> </w:t>
            </w:r>
            <w:r>
              <w:rPr>
                <w:rFonts w:hAnsi="宋体"/>
                <w:szCs w:val="21"/>
                <w:highlight w:val="none"/>
              </w:rPr>
              <w:t>形式，</w:t>
            </w:r>
            <w:r>
              <w:rPr>
                <w:rFonts w:hint="eastAsia" w:hAnsi="宋体"/>
                <w:szCs w:val="21"/>
                <w:highlight w:val="none"/>
              </w:rPr>
              <w:t>最终合同结算价为：</w:t>
            </w:r>
            <w:permStart w:id="9" w:edGrp="everyone"/>
            <w:r>
              <w:rPr>
                <w:rFonts w:hint="eastAsia" w:hAnsi="宋体"/>
                <w:szCs w:val="21"/>
                <w:highlight w:val="none"/>
                <w:u w:val="single"/>
              </w:rPr>
              <w:t>审定的初步设计概算</w:t>
            </w:r>
            <w:r>
              <w:rPr>
                <w:rFonts w:hint="eastAsia"/>
                <w:szCs w:val="21"/>
                <w:highlight w:val="none"/>
                <w:u w:val="single"/>
              </w:rPr>
              <w:t>（或施工图设计预算）</w:t>
            </w:r>
            <w:r>
              <w:rPr>
                <w:rFonts w:hint="eastAsia" w:hAnsi="宋体"/>
                <w:szCs w:val="21"/>
                <w:highlight w:val="none"/>
                <w:u w:val="single"/>
              </w:rPr>
              <w:t>为基数计算出的监理费×（1-投标下浮率 ）。</w:t>
            </w:r>
          </w:p>
          <w:p w14:paraId="6405FE32">
            <w:pPr>
              <w:pStyle w:val="3"/>
              <w:spacing w:line="360" w:lineRule="auto"/>
              <w:ind w:left="0" w:leftChars="0" w:firstLine="420" w:firstLineChars="200"/>
              <w:rPr>
                <w:rFonts w:hint="eastAsia" w:hAnsi="宋体"/>
                <w:szCs w:val="21"/>
                <w:highlight w:val="none"/>
              </w:rPr>
            </w:pPr>
            <w:r>
              <w:rPr>
                <w:rFonts w:hint="eastAsia" w:hAnsi="宋体"/>
                <w:szCs w:val="21"/>
                <w:highlight w:val="none"/>
                <w:u w:val="single"/>
              </w:rPr>
              <w:t>因规模变化需要调整可研、初设、施工图的，结算价按调整后批复的初设概算</w:t>
            </w:r>
            <w:r>
              <w:rPr>
                <w:rFonts w:hint="eastAsia"/>
                <w:szCs w:val="21"/>
                <w:highlight w:val="none"/>
                <w:u w:val="single"/>
              </w:rPr>
              <w:t>（或施工图设计预算）</w:t>
            </w:r>
            <w:r>
              <w:rPr>
                <w:rFonts w:hint="eastAsia" w:hAnsi="宋体"/>
                <w:szCs w:val="21"/>
                <w:highlight w:val="none"/>
                <w:u w:val="single"/>
              </w:rPr>
              <w:t>对应的监理费用×（1-投标下浮率）进行结算</w:t>
            </w:r>
            <w:r>
              <w:rPr>
                <w:rFonts w:hint="eastAsia" w:hAnsi="宋体"/>
                <w:szCs w:val="21"/>
                <w:highlight w:val="none"/>
              </w:rPr>
              <w:t>。</w:t>
            </w:r>
          </w:p>
          <w:permEnd w:id="9"/>
          <w:p w14:paraId="26B95F3E">
            <w:pPr>
              <w:pStyle w:val="2"/>
              <w:ind w:left="0" w:leftChars="0" w:firstLine="0" w:firstLineChars="0"/>
              <w:rPr>
                <w:rFonts w:hint="eastAsia"/>
                <w:highlight w:val="none"/>
              </w:rPr>
            </w:pPr>
          </w:p>
          <w:p w14:paraId="0E8C99EB">
            <w:pPr>
              <w:pStyle w:val="2"/>
              <w:rPr>
                <w:rFonts w:hint="default"/>
                <w:highlight w:val="none"/>
                <w:lang w:val="en-US" w:eastAsia="zh-CN"/>
              </w:rPr>
            </w:pPr>
          </w:p>
        </w:tc>
        <w:tc>
          <w:tcPr>
            <w:tcW w:w="5832" w:type="dxa"/>
            <w:noWrap w:val="0"/>
            <w:vAlign w:val="top"/>
          </w:tcPr>
          <w:p w14:paraId="51DED509">
            <w:pPr>
              <w:jc w:val="left"/>
              <w:rPr>
                <w:rFonts w:hint="eastAsia" w:ascii="Times New Roman"/>
                <w:highlight w:val="none"/>
              </w:rPr>
            </w:pPr>
            <w:r>
              <w:rPr>
                <w:rFonts w:hint="eastAsia"/>
                <w:highlight w:val="none"/>
                <w:lang w:val="en-US" w:eastAsia="zh-CN"/>
              </w:rPr>
              <w:t xml:space="preserve">第二节专用合同条款 </w:t>
            </w:r>
            <w:r>
              <w:rPr>
                <w:rFonts w:hint="eastAsia" w:ascii="Times New Roman"/>
                <w:highlight w:val="none"/>
              </w:rPr>
              <w:t>9</w:t>
            </w:r>
            <w:r>
              <w:rPr>
                <w:rFonts w:ascii="Times New Roman"/>
                <w:highlight w:val="none"/>
              </w:rPr>
              <w:t xml:space="preserve">.4 </w:t>
            </w:r>
            <w:r>
              <w:rPr>
                <w:rFonts w:hint="eastAsia" w:ascii="Times New Roman"/>
                <w:highlight w:val="none"/>
              </w:rPr>
              <w:t>费用结算</w:t>
            </w:r>
          </w:p>
          <w:p w14:paraId="02D43299">
            <w:pPr>
              <w:spacing w:line="360" w:lineRule="auto"/>
              <w:rPr>
                <w:color w:val="auto"/>
                <w:szCs w:val="21"/>
                <w:highlight w:val="none"/>
              </w:rPr>
            </w:pPr>
            <w:r>
              <w:rPr>
                <w:rFonts w:hint="eastAsia"/>
                <w:color w:val="auto"/>
                <w:highlight w:val="none"/>
              </w:rPr>
              <w:t>增加以下内容到第9.4款：</w:t>
            </w:r>
          </w:p>
          <w:p w14:paraId="25D8E23D">
            <w:pPr>
              <w:pStyle w:val="3"/>
              <w:spacing w:line="360" w:lineRule="auto"/>
              <w:ind w:left="0" w:leftChars="0" w:firstLine="0" w:firstLineChars="0"/>
              <w:rPr>
                <w:rFonts w:hint="eastAsia" w:hAnsi="宋体"/>
                <w:color w:val="auto"/>
                <w:szCs w:val="21"/>
                <w:highlight w:val="none"/>
                <w:u w:val="single"/>
              </w:rPr>
            </w:pPr>
            <w:r>
              <w:rPr>
                <w:rFonts w:hint="eastAsia" w:hAnsi="宋体"/>
                <w:color w:val="auto"/>
                <w:szCs w:val="21"/>
                <w:highlight w:val="none"/>
              </w:rPr>
              <w:t>12.4.5 本合同</w:t>
            </w:r>
            <w:r>
              <w:rPr>
                <w:rFonts w:hAnsi="宋体"/>
                <w:color w:val="auto"/>
                <w:szCs w:val="21"/>
                <w:highlight w:val="none"/>
              </w:rPr>
              <w:t>采用</w:t>
            </w:r>
            <w:r>
              <w:rPr>
                <w:rFonts w:hint="eastAsia" w:hAnsi="宋体"/>
                <w:color w:val="auto"/>
                <w:szCs w:val="21"/>
                <w:highlight w:val="none"/>
                <w:u w:val="single"/>
              </w:rPr>
              <w:t xml:space="preserve">  </w:t>
            </w:r>
            <w:r>
              <w:rPr>
                <w:rFonts w:hAnsi="宋体"/>
                <w:color w:val="auto"/>
                <w:szCs w:val="21"/>
                <w:highlight w:val="none"/>
                <w:u w:val="single"/>
              </w:rPr>
              <w:t>总价</w:t>
            </w:r>
            <w:r>
              <w:rPr>
                <w:rFonts w:hint="eastAsia" w:hAnsi="宋体"/>
                <w:color w:val="auto"/>
                <w:szCs w:val="21"/>
                <w:highlight w:val="none"/>
                <w:u w:val="single"/>
              </w:rPr>
              <w:t xml:space="preserve">  </w:t>
            </w:r>
            <w:r>
              <w:rPr>
                <w:rFonts w:hAnsi="宋体"/>
                <w:color w:val="auto"/>
                <w:szCs w:val="21"/>
                <w:highlight w:val="none"/>
              </w:rPr>
              <w:t>形式，</w:t>
            </w:r>
            <w:r>
              <w:rPr>
                <w:rFonts w:hint="eastAsia" w:hAnsi="宋体"/>
                <w:color w:val="auto"/>
                <w:szCs w:val="21"/>
                <w:highlight w:val="none"/>
              </w:rPr>
              <w:t>最终合同结算价为：</w:t>
            </w:r>
            <w:r>
              <w:rPr>
                <w:rFonts w:hint="eastAsia" w:ascii="宋体" w:hAnsi="宋体" w:cs="Arial"/>
                <w:color w:val="auto"/>
                <w:highlight w:val="none"/>
                <w:u w:val="single"/>
              </w:rPr>
              <w:t>（审定初步设计概算监理费+ 初设概算监理计费范围以外的监理工作费用）×（1-投标下浮率）±合同内约定且实际发生的相关奖罚费用 + 招标代理服务费</w:t>
            </w:r>
            <w:r>
              <w:rPr>
                <w:rFonts w:hint="eastAsia" w:hAnsi="宋体"/>
                <w:color w:val="auto"/>
                <w:szCs w:val="21"/>
                <w:highlight w:val="none"/>
                <w:u w:val="single"/>
              </w:rPr>
              <w:t>。</w:t>
            </w:r>
          </w:p>
          <w:p w14:paraId="6D4FCD2C">
            <w:pPr>
              <w:pStyle w:val="3"/>
              <w:spacing w:line="360" w:lineRule="auto"/>
              <w:ind w:left="0" w:leftChars="0" w:firstLine="0" w:firstLineChars="0"/>
              <w:rPr>
                <w:rFonts w:hint="eastAsia" w:hAnsi="宋体"/>
                <w:color w:val="auto"/>
                <w:szCs w:val="21"/>
                <w:highlight w:val="none"/>
              </w:rPr>
            </w:pPr>
            <w:r>
              <w:rPr>
                <w:rFonts w:hint="eastAsia" w:hAnsi="宋体"/>
                <w:color w:val="auto"/>
                <w:szCs w:val="21"/>
                <w:highlight w:val="none"/>
              </w:rPr>
              <w:t>其中：</w:t>
            </w:r>
          </w:p>
          <w:p w14:paraId="41C02817">
            <w:pPr>
              <w:pStyle w:val="3"/>
              <w:spacing w:line="360" w:lineRule="auto"/>
              <w:ind w:left="0" w:leftChars="0" w:firstLine="0" w:firstLineChars="0"/>
              <w:rPr>
                <w:rFonts w:hint="eastAsia" w:ascii="宋体" w:hAnsi="宋体" w:cs="Arial"/>
                <w:color w:val="auto"/>
                <w:highlight w:val="none"/>
              </w:rPr>
            </w:pPr>
            <w:r>
              <w:rPr>
                <w:rFonts w:hint="eastAsia" w:ascii="宋体" w:hAnsi="宋体" w:cs="Arial"/>
                <w:color w:val="auto"/>
                <w:highlight w:val="none"/>
              </w:rPr>
              <w:t>（1）审定初步设计概算监理费：须与中标单位在本项目中参与的项目实施阶段对应，结算时由业主项目部进行复核确认。如中标单位未参与勘察设计阶段的监理工作，需扣除13%的监理费；如中标单位参与勘察设计阶段的监理工作，则按其所参与的阶段分别计取：勘察阶段按3%，初步设计阶段按4%、施工图设计阶段按6%。</w:t>
            </w:r>
          </w:p>
          <w:p w14:paraId="3800D15D">
            <w:pPr>
              <w:pStyle w:val="3"/>
              <w:spacing w:line="360" w:lineRule="auto"/>
              <w:ind w:left="0" w:leftChars="0" w:firstLine="0" w:firstLineChars="0"/>
              <w:rPr>
                <w:rFonts w:hint="eastAsia" w:ascii="宋体" w:hAnsi="宋体" w:cs="Arial"/>
                <w:color w:val="auto"/>
                <w:highlight w:val="none"/>
              </w:rPr>
            </w:pPr>
            <w:r>
              <w:rPr>
                <w:rFonts w:hint="eastAsia" w:ascii="宋体" w:hAnsi="宋体" w:cs="Arial"/>
                <w:color w:val="auto"/>
                <w:highlight w:val="none"/>
              </w:rPr>
              <w:t>因规模变化需要调整可研、初设、施工图的，结算价按</w:t>
            </w:r>
            <w:r>
              <w:rPr>
                <w:rFonts w:hint="eastAsia" w:ascii="宋体" w:hAnsi="宋体" w:cs="Arial"/>
                <w:color w:val="auto"/>
                <w:highlight w:val="none"/>
                <w:u w:val="single"/>
              </w:rPr>
              <w:t>调整后批复的初设概算对应参与阶段的监理费用×（1-投标下浮率）</w:t>
            </w:r>
            <w:r>
              <w:rPr>
                <w:rFonts w:hint="eastAsia" w:ascii="宋体" w:hAnsi="宋体" w:cs="Arial"/>
                <w:color w:val="auto"/>
                <w:highlight w:val="none"/>
              </w:rPr>
              <w:t>进行结算。</w:t>
            </w:r>
          </w:p>
          <w:p w14:paraId="674E3370">
            <w:pPr>
              <w:pStyle w:val="3"/>
              <w:spacing w:line="360" w:lineRule="auto"/>
              <w:ind w:left="0" w:leftChars="0" w:firstLine="0" w:firstLineChars="0"/>
              <w:rPr>
                <w:rFonts w:hint="eastAsia" w:ascii="宋体" w:hAnsi="宋体" w:cs="Arial"/>
                <w:color w:val="auto"/>
                <w:highlight w:val="none"/>
              </w:rPr>
            </w:pPr>
            <w:r>
              <w:rPr>
                <w:rFonts w:hint="eastAsia" w:ascii="宋体" w:hAnsi="宋体" w:cs="Arial"/>
                <w:color w:val="auto"/>
                <w:highlight w:val="none"/>
              </w:rPr>
              <w:t>（2）“初设概算监理计费范围以外的监理工作”包括但不限于：监理单位对路面修复（含市政路面、公路等）、交通疏解、跨（穿）越铁路/公路、管线迁移、绿化迁移、林木砍伐等各项取费基数不包含在初设概算监理费计费基数中的非本体工程的监理见证工作。其监理费用取费基数为初设概算监理计费范围以外实际发生、且经由监理人见证确认部分的工程费用，该工程费用以业主项目部或第三方审核机构审定的为准；取费费率按照《关于落实《国家发展改革委关于进一步放开建设项目专业服务价格的通知》(发改价格[2015]299号)的指导意见（中电联定额[2015]162号文）》相关规定执行，不足部分参照相关行业费用计算规定执行。项目实施过程中如有最新规定，按新的政策性文件执行。</w:t>
            </w:r>
          </w:p>
          <w:p w14:paraId="1FFD2AA5">
            <w:pPr>
              <w:pStyle w:val="3"/>
              <w:spacing w:line="360" w:lineRule="auto"/>
              <w:ind w:left="0" w:leftChars="0" w:firstLine="0" w:firstLineChars="0"/>
              <w:rPr>
                <w:rFonts w:hint="eastAsia" w:ascii="宋体" w:hAnsi="宋体" w:cs="Arial"/>
                <w:color w:val="auto"/>
                <w:highlight w:val="none"/>
              </w:rPr>
            </w:pPr>
            <w:r>
              <w:rPr>
                <w:rFonts w:hint="eastAsia" w:ascii="宋体" w:hAnsi="宋体" w:cs="Arial"/>
                <w:color w:val="auto"/>
                <w:highlight w:val="none"/>
              </w:rPr>
              <w:t>（3）招标代理服务费按实际支付给招标代理的费用为准，监理人可在预付款申请或进度款申请时同时申请支付。</w:t>
            </w:r>
          </w:p>
          <w:p w14:paraId="301CEE67">
            <w:pPr>
              <w:pStyle w:val="3"/>
              <w:spacing w:line="360" w:lineRule="auto"/>
              <w:ind w:left="0" w:leftChars="0" w:firstLine="0" w:firstLineChars="0"/>
              <w:rPr>
                <w:rFonts w:hint="default" w:ascii="Calibri" w:hAnsi="Calibri" w:eastAsia="宋体" w:cs="Times New Roman"/>
                <w:kern w:val="2"/>
                <w:sz w:val="21"/>
                <w:szCs w:val="24"/>
                <w:highlight w:val="none"/>
                <w:lang w:val="en-US" w:eastAsia="zh-CN" w:bidi="ar-SA"/>
              </w:rPr>
            </w:pPr>
            <w:r>
              <w:rPr>
                <w:rFonts w:hint="eastAsia" w:ascii="宋体" w:hAnsi="宋体" w:cs="Arial"/>
                <w:color w:val="auto"/>
                <w:highlight w:val="none"/>
              </w:rPr>
              <w:t>（4）投标下浮率（%）＝（1-投标报价/最高投标限价）×100%</w:t>
            </w:r>
          </w:p>
        </w:tc>
      </w:tr>
      <w:tr w14:paraId="2979C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14:paraId="1DFCB570">
            <w:pPr>
              <w:jc w:val="center"/>
              <w:rPr>
                <w:rFonts w:hint="default"/>
                <w:highlight w:val="none"/>
                <w:vertAlign w:val="baseline"/>
                <w:lang w:val="en-US" w:eastAsia="zh-CN"/>
              </w:rPr>
            </w:pPr>
            <w:r>
              <w:rPr>
                <w:rFonts w:hint="eastAsia"/>
                <w:highlight w:val="none"/>
                <w:vertAlign w:val="baseline"/>
                <w:lang w:val="en-US" w:eastAsia="zh-CN"/>
              </w:rPr>
              <w:t>5</w:t>
            </w:r>
          </w:p>
        </w:tc>
        <w:tc>
          <w:tcPr>
            <w:tcW w:w="3313" w:type="dxa"/>
            <w:noWrap w:val="0"/>
            <w:vAlign w:val="top"/>
          </w:tcPr>
          <w:p w14:paraId="106EECF1">
            <w:pPr>
              <w:pStyle w:val="2"/>
              <w:ind w:left="0" w:leftChars="0" w:firstLine="0" w:firstLineChars="0"/>
              <w:rPr>
                <w:rFonts w:ascii="Times New Roman" w:hAnsi="Times New Roman"/>
                <w:highlight w:val="none"/>
              </w:rPr>
            </w:pPr>
            <w:r>
              <w:rPr>
                <w:rFonts w:hint="eastAsia"/>
                <w:highlight w:val="none"/>
                <w:lang w:val="en-US" w:eastAsia="zh-CN"/>
              </w:rPr>
              <w:t>第二节专用合同条款</w:t>
            </w:r>
          </w:p>
          <w:p w14:paraId="4448B6FA">
            <w:pPr>
              <w:pStyle w:val="2"/>
              <w:ind w:left="0" w:leftChars="0" w:firstLine="0" w:firstLineChars="0"/>
              <w:rPr>
                <w:rFonts w:hint="default" w:ascii="Times New Roman" w:hAnsi="Times New Roman"/>
                <w:highlight w:val="none"/>
                <w:lang w:val="en-US" w:eastAsia="zh-CN"/>
              </w:rPr>
            </w:pPr>
          </w:p>
        </w:tc>
        <w:tc>
          <w:tcPr>
            <w:tcW w:w="5832" w:type="dxa"/>
            <w:noWrap w:val="0"/>
            <w:vAlign w:val="top"/>
          </w:tcPr>
          <w:p w14:paraId="09CEBF00">
            <w:pPr>
              <w:pStyle w:val="2"/>
              <w:ind w:left="0" w:leftChars="0" w:firstLine="0" w:firstLineChars="0"/>
              <w:rPr>
                <w:rFonts w:hint="eastAsia"/>
                <w:highlight w:val="none"/>
                <w:lang w:val="en-US" w:eastAsia="zh-CN"/>
              </w:rPr>
            </w:pPr>
            <w:r>
              <w:rPr>
                <w:rFonts w:hint="eastAsia"/>
                <w:highlight w:val="none"/>
                <w:lang w:val="en-US" w:eastAsia="zh-CN"/>
              </w:rPr>
              <w:t>第二节专用合同条款</w:t>
            </w:r>
          </w:p>
          <w:p w14:paraId="2A52ADE9">
            <w:pPr>
              <w:pStyle w:val="2"/>
              <w:ind w:left="0" w:leftChars="0" w:firstLine="0" w:firstLineChars="0"/>
              <w:rPr>
                <w:rFonts w:ascii="Times New Roman" w:hAnsi="Times New Roman"/>
                <w:highlight w:val="none"/>
              </w:rPr>
            </w:pPr>
            <w:r>
              <w:rPr>
                <w:rFonts w:hint="eastAsia"/>
                <w:highlight w:val="none"/>
                <w:lang w:val="en-US" w:eastAsia="zh-CN"/>
              </w:rPr>
              <w:t>增加</w:t>
            </w:r>
            <w:r>
              <w:rPr>
                <w:rFonts w:ascii="Times New Roman" w:hAnsi="Times New Roman"/>
                <w:highlight w:val="none"/>
              </w:rPr>
              <w:t>1</w:t>
            </w:r>
            <w:r>
              <w:rPr>
                <w:rFonts w:hint="eastAsia" w:ascii="Times New Roman" w:hAnsi="Times New Roman"/>
                <w:highlight w:val="none"/>
              </w:rPr>
              <w:t>2</w:t>
            </w:r>
            <w:r>
              <w:rPr>
                <w:rFonts w:ascii="Times New Roman" w:hAnsi="Times New Roman"/>
                <w:highlight w:val="none"/>
              </w:rPr>
              <w:t>. 争议的解决</w:t>
            </w:r>
          </w:p>
          <w:p w14:paraId="254D2786">
            <w:pPr>
              <w:spacing w:line="360" w:lineRule="auto"/>
              <w:rPr>
                <w:color w:val="auto"/>
                <w:szCs w:val="21"/>
                <w:highlight w:val="none"/>
              </w:rPr>
            </w:pPr>
            <w:r>
              <w:rPr>
                <w:color w:val="auto"/>
                <w:szCs w:val="21"/>
                <w:highlight w:val="none"/>
              </w:rPr>
              <w:t>委托人和</w:t>
            </w:r>
            <w:r>
              <w:rPr>
                <w:rFonts w:hint="eastAsia"/>
                <w:color w:val="auto"/>
                <w:highlight w:val="none"/>
              </w:rPr>
              <w:t>监理</w:t>
            </w:r>
            <w:r>
              <w:rPr>
                <w:color w:val="auto"/>
                <w:szCs w:val="21"/>
                <w:highlight w:val="none"/>
              </w:rPr>
              <w:t>人在履行合同中发生争议的，可以友好协商解决。合同当事人友好协商解决不成的，</w:t>
            </w:r>
            <w:r>
              <w:rPr>
                <w:rFonts w:hint="eastAsia"/>
                <w:color w:val="auto"/>
                <w:szCs w:val="21"/>
                <w:highlight w:val="none"/>
              </w:rPr>
              <w:t>按</w:t>
            </w:r>
            <w:r>
              <w:rPr>
                <w:color w:val="auto"/>
                <w:szCs w:val="21"/>
                <w:highlight w:val="none"/>
              </w:rPr>
              <w:t>下列方式</w:t>
            </w:r>
            <w:r>
              <w:rPr>
                <w:rFonts w:hint="eastAsia"/>
                <w:color w:val="auto"/>
                <w:szCs w:val="21"/>
                <w:highlight w:val="none"/>
                <w:u w:val="single"/>
              </w:rPr>
              <w:t xml:space="preserve">  （2）  </w:t>
            </w:r>
            <w:r>
              <w:rPr>
                <w:color w:val="auto"/>
                <w:szCs w:val="21"/>
                <w:highlight w:val="none"/>
              </w:rPr>
              <w:t>解决：</w:t>
            </w:r>
          </w:p>
          <w:p w14:paraId="49ED11FD">
            <w:pPr>
              <w:spacing w:line="360" w:lineRule="auto"/>
              <w:rPr>
                <w:color w:val="auto"/>
                <w:szCs w:val="21"/>
                <w:highlight w:val="none"/>
              </w:rPr>
            </w:pPr>
            <w:r>
              <w:rPr>
                <w:rFonts w:hint="eastAsia"/>
                <w:color w:val="auto"/>
                <w:szCs w:val="21"/>
                <w:highlight w:val="none"/>
              </w:rPr>
              <w:t>（1）向</w:t>
            </w:r>
            <w:r>
              <w:rPr>
                <w:rFonts w:hint="eastAsia"/>
                <w:color w:val="auto"/>
                <w:szCs w:val="21"/>
                <w:highlight w:val="none"/>
                <w:u w:val="single"/>
              </w:rPr>
              <w:t xml:space="preserve">     </w:t>
            </w:r>
            <w:r>
              <w:rPr>
                <w:rFonts w:hint="eastAsia"/>
                <w:color w:val="auto"/>
                <w:szCs w:val="21"/>
                <w:highlight w:val="none"/>
                <w:u w:val="single"/>
                <w:lang w:val="en-US" w:eastAsia="zh-CN"/>
              </w:rPr>
              <w:t>/</w:t>
            </w:r>
            <w:r>
              <w:rPr>
                <w:rFonts w:hint="eastAsia"/>
                <w:color w:val="auto"/>
                <w:szCs w:val="21"/>
                <w:highlight w:val="none"/>
                <w:u w:val="single"/>
              </w:rPr>
              <w:t xml:space="preserve">       </w:t>
            </w:r>
            <w:r>
              <w:rPr>
                <w:rFonts w:hint="eastAsia"/>
                <w:color w:val="auto"/>
                <w:szCs w:val="21"/>
                <w:highlight w:val="none"/>
              </w:rPr>
              <w:t>仲裁委员会申请仲裁；</w:t>
            </w:r>
          </w:p>
          <w:p w14:paraId="74BE754E">
            <w:pPr>
              <w:spacing w:line="360" w:lineRule="auto"/>
              <w:rPr>
                <w:color w:val="auto"/>
                <w:szCs w:val="21"/>
                <w:highlight w:val="none"/>
              </w:rPr>
            </w:pPr>
            <w:r>
              <w:rPr>
                <w:rFonts w:hint="eastAsia"/>
                <w:color w:val="auto"/>
                <w:szCs w:val="21"/>
                <w:highlight w:val="none"/>
              </w:rPr>
              <w:t>（2）向</w:t>
            </w:r>
            <w:r>
              <w:rPr>
                <w:rFonts w:hint="eastAsia"/>
                <w:color w:val="auto"/>
                <w:szCs w:val="21"/>
                <w:highlight w:val="none"/>
                <w:u w:val="single"/>
              </w:rPr>
              <w:t>建设单位所在地</w:t>
            </w:r>
            <w:r>
              <w:rPr>
                <w:rFonts w:hint="eastAsia"/>
                <w:color w:val="auto"/>
                <w:szCs w:val="21"/>
                <w:highlight w:val="none"/>
              </w:rPr>
              <w:t>人民法院</w:t>
            </w:r>
            <w:r>
              <w:rPr>
                <w:color w:val="auto"/>
                <w:szCs w:val="21"/>
                <w:highlight w:val="none"/>
              </w:rPr>
              <w:t>提起诉讼</w:t>
            </w:r>
            <w:r>
              <w:rPr>
                <w:rFonts w:hint="eastAsia"/>
                <w:color w:val="auto"/>
                <w:szCs w:val="21"/>
                <w:highlight w:val="none"/>
              </w:rPr>
              <w:t>。</w:t>
            </w:r>
          </w:p>
          <w:p w14:paraId="7CE262A8">
            <w:pPr>
              <w:pStyle w:val="2"/>
              <w:rPr>
                <w:rFonts w:hint="default"/>
                <w:highlight w:val="none"/>
                <w:lang w:val="en-US" w:eastAsia="zh-CN"/>
              </w:rPr>
            </w:pPr>
          </w:p>
        </w:tc>
      </w:tr>
      <w:tr w14:paraId="7D8E9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14:paraId="1444FBB6">
            <w:pPr>
              <w:jc w:val="center"/>
              <w:rPr>
                <w:rFonts w:hint="default" w:ascii="Calibri" w:hAnsi="Calibri" w:eastAsia="宋体" w:cs="Times New Roman"/>
                <w:kern w:val="2"/>
                <w:sz w:val="21"/>
                <w:szCs w:val="22"/>
                <w:highlight w:val="none"/>
                <w:vertAlign w:val="baseline"/>
                <w:lang w:val="en-US" w:eastAsia="zh-CN" w:bidi="ar-SA"/>
              </w:rPr>
            </w:pPr>
            <w:r>
              <w:rPr>
                <w:rFonts w:hint="eastAsia" w:cs="Times New Roman"/>
                <w:kern w:val="2"/>
                <w:sz w:val="21"/>
                <w:szCs w:val="22"/>
                <w:highlight w:val="none"/>
                <w:vertAlign w:val="baseline"/>
                <w:lang w:val="en-US" w:eastAsia="zh-CN" w:bidi="ar-SA"/>
              </w:rPr>
              <w:t>6</w:t>
            </w:r>
          </w:p>
        </w:tc>
        <w:tc>
          <w:tcPr>
            <w:tcW w:w="3313" w:type="dxa"/>
            <w:noWrap w:val="0"/>
            <w:vAlign w:val="top"/>
          </w:tcPr>
          <w:p w14:paraId="2800E2D9">
            <w:pPr>
              <w:jc w:val="center"/>
              <w:rPr>
                <w:rFonts w:hint="default" w:ascii="Times New Roman" w:hAnsi="Times New Roman" w:eastAsia="宋体" w:cs="Times New Roman"/>
                <w:kern w:val="2"/>
                <w:sz w:val="21"/>
                <w:szCs w:val="22"/>
                <w:highlight w:val="none"/>
                <w:lang w:val="en-US" w:eastAsia="zh-CN" w:bidi="ar-SA"/>
              </w:rPr>
            </w:pPr>
            <w:r>
              <w:rPr>
                <w:rFonts w:hint="eastAsia" w:ascii="宋体" w:hAnsi="宋体" w:eastAsia="宋体" w:cs="宋体"/>
                <w:b w:val="0"/>
                <w:bCs w:val="0"/>
                <w:color w:val="000000" w:themeColor="text1"/>
                <w:sz w:val="21"/>
                <w:szCs w:val="21"/>
                <w:vertAlign w:val="baseline"/>
                <w:lang w:val="en-US" w:eastAsia="zh-CN"/>
                <w14:textFill>
                  <w14:solidFill>
                    <w14:schemeClr w14:val="tx1"/>
                  </w14:solidFill>
                </w14:textFill>
              </w:rPr>
              <w:t>附件</w:t>
            </w:r>
          </w:p>
        </w:tc>
        <w:tc>
          <w:tcPr>
            <w:tcW w:w="5832" w:type="dxa"/>
            <w:noWrap w:val="0"/>
            <w:vAlign w:val="top"/>
          </w:tcPr>
          <w:p w14:paraId="7186E2C9">
            <w:pPr>
              <w:jc w:val="left"/>
              <w:rPr>
                <w:rFonts w:hint="default" w:ascii="Calibri" w:hAnsi="Calibri" w:eastAsia="宋体" w:cs="Times New Roman"/>
                <w:kern w:val="2"/>
                <w:sz w:val="21"/>
                <w:szCs w:val="22"/>
                <w:highlight w:val="none"/>
                <w:lang w:val="en-US" w:eastAsia="zh-CN" w:bidi="ar-SA"/>
              </w:rPr>
            </w:pPr>
            <w:r>
              <w:rPr>
                <w:rFonts w:hint="eastAsia" w:ascii="宋体" w:hAnsi="宋体" w:cs="宋体"/>
                <w:color w:val="000000" w:themeColor="text1"/>
                <w:sz w:val="21"/>
                <w:szCs w:val="21"/>
                <w:lang w:val="en-US" w:eastAsia="zh-CN"/>
                <w14:textFill>
                  <w14:solidFill>
                    <w14:schemeClr w14:val="tx1"/>
                  </w14:solidFill>
                </w14:textFill>
              </w:rPr>
              <w:t>增加附件十一为</w:t>
            </w:r>
            <w:r>
              <w:rPr>
                <w:rFonts w:hint="eastAsia" w:ascii="宋体" w:hAnsi="宋体" w:eastAsia="宋体" w:cs="宋体"/>
                <w:color w:val="000000" w:themeColor="text1"/>
                <w:sz w:val="21"/>
                <w:szCs w:val="21"/>
                <w14:textFill>
                  <w14:solidFill>
                    <w14:schemeClr w14:val="tx1"/>
                  </w14:solidFill>
                </w14:textFill>
              </w:rPr>
              <w:t>广州局保密协议（2022版）</w:t>
            </w:r>
          </w:p>
        </w:tc>
      </w:tr>
      <w:tr w14:paraId="239DF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14:paraId="07BCD42A">
            <w:pPr>
              <w:jc w:val="center"/>
              <w:rPr>
                <w:rFonts w:hint="default"/>
                <w:highlight w:val="none"/>
                <w:vertAlign w:val="baseline"/>
                <w:lang w:val="en-US" w:eastAsia="zh-CN"/>
              </w:rPr>
            </w:pPr>
            <w:r>
              <w:rPr>
                <w:rFonts w:hint="eastAsia"/>
                <w:highlight w:val="none"/>
                <w:vertAlign w:val="baseline"/>
                <w:lang w:val="en-US" w:eastAsia="zh-CN"/>
              </w:rPr>
              <w:t>7</w:t>
            </w:r>
          </w:p>
        </w:tc>
        <w:tc>
          <w:tcPr>
            <w:tcW w:w="3313" w:type="dxa"/>
            <w:noWrap w:val="0"/>
            <w:vAlign w:val="top"/>
          </w:tcPr>
          <w:p w14:paraId="046071A6">
            <w:pPr>
              <w:jc w:val="center"/>
              <w:rPr>
                <w:rFonts w:hint="default"/>
                <w:highlight w:val="none"/>
                <w:lang w:val="en-US" w:eastAsia="zh-CN"/>
              </w:rPr>
            </w:pPr>
            <w:r>
              <w:rPr>
                <w:rFonts w:hint="eastAsia" w:ascii="宋体" w:hAnsi="宋体" w:eastAsia="宋体" w:cs="宋体"/>
                <w:b w:val="0"/>
                <w:bCs w:val="0"/>
                <w:color w:val="000000" w:themeColor="text1"/>
                <w:sz w:val="21"/>
                <w:szCs w:val="21"/>
                <w:vertAlign w:val="baseline"/>
                <w:lang w:val="en-US" w:eastAsia="zh-CN"/>
                <w14:textFill>
                  <w14:solidFill>
                    <w14:schemeClr w14:val="tx1"/>
                  </w14:solidFill>
                </w14:textFill>
              </w:rPr>
              <w:t>附件</w:t>
            </w:r>
            <w:r>
              <w:rPr>
                <w:rFonts w:hint="eastAsia" w:ascii="宋体" w:hAnsi="宋体" w:cs="宋体"/>
                <w:b w:val="0"/>
                <w:bCs w:val="0"/>
                <w:color w:val="000000" w:themeColor="text1"/>
                <w:sz w:val="21"/>
                <w:szCs w:val="21"/>
                <w:vertAlign w:val="baseline"/>
                <w:lang w:val="en-US" w:eastAsia="zh-CN"/>
                <w14:textFill>
                  <w14:solidFill>
                    <w14:schemeClr w14:val="tx1"/>
                  </w14:solidFill>
                </w14:textFill>
              </w:rPr>
              <w:t>五</w:t>
            </w:r>
            <w:r>
              <w:rPr>
                <w:rFonts w:hint="eastAsia" w:ascii="宋体" w:hAnsi="宋体" w:eastAsia="宋体" w:cs="宋体"/>
                <w:b w:val="0"/>
                <w:bCs w:val="0"/>
                <w:color w:val="000000" w:themeColor="text1"/>
                <w:sz w:val="21"/>
                <w:szCs w:val="21"/>
                <w:vertAlign w:val="baseline"/>
                <w:lang w:val="en-US" w:eastAsia="zh-CN"/>
                <w14:textFill>
                  <w14:solidFill>
                    <w14:schemeClr w14:val="tx1"/>
                  </w14:solidFill>
                </w14:textFill>
              </w:rPr>
              <w:t>：廉洁协议书</w:t>
            </w:r>
          </w:p>
        </w:tc>
        <w:tc>
          <w:tcPr>
            <w:tcW w:w="5832" w:type="dxa"/>
            <w:noWrap w:val="0"/>
            <w:vAlign w:val="top"/>
          </w:tcPr>
          <w:p w14:paraId="60AF44F3">
            <w:pPr>
              <w:jc w:val="left"/>
              <w:rPr>
                <w:rFonts w:hint="default"/>
                <w:highlight w:val="none"/>
                <w:lang w:val="en-US" w:eastAsia="zh-CN"/>
              </w:rPr>
            </w:pPr>
            <w:r>
              <w:rPr>
                <w:rFonts w:hint="eastAsia" w:ascii="宋体" w:hAnsi="宋体" w:cs="宋体"/>
                <w:color w:val="000000" w:themeColor="text1"/>
                <w:sz w:val="21"/>
                <w:szCs w:val="21"/>
                <w:lang w:val="en-US" w:eastAsia="zh-CN"/>
                <w14:textFill>
                  <w14:solidFill>
                    <w14:schemeClr w14:val="tx1"/>
                  </w14:solidFill>
                </w14:textFill>
              </w:rPr>
              <w:t>替换附件五为</w:t>
            </w:r>
            <w:r>
              <w:rPr>
                <w:rFonts w:hint="eastAsia" w:ascii="宋体" w:hAnsi="宋体" w:eastAsia="宋体" w:cs="宋体"/>
                <w:color w:val="000000" w:themeColor="text1"/>
                <w:sz w:val="21"/>
                <w:szCs w:val="21"/>
                <w14:textFill>
                  <w14:solidFill>
                    <w14:schemeClr w14:val="tx1"/>
                  </w14:solidFill>
                </w14:textFill>
              </w:rPr>
              <w:t>廉洁协议书（2022版）</w:t>
            </w:r>
          </w:p>
        </w:tc>
      </w:tr>
      <w:tr w14:paraId="6761E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14:paraId="36FE5F7D">
            <w:pPr>
              <w:jc w:val="center"/>
              <w:rPr>
                <w:rFonts w:hint="eastAsia"/>
                <w:highlight w:val="none"/>
                <w:vertAlign w:val="baseline"/>
                <w:lang w:val="en-US" w:eastAsia="zh-CN"/>
              </w:rPr>
            </w:pPr>
          </w:p>
        </w:tc>
        <w:tc>
          <w:tcPr>
            <w:tcW w:w="3313" w:type="dxa"/>
            <w:noWrap w:val="0"/>
            <w:vAlign w:val="top"/>
          </w:tcPr>
          <w:p w14:paraId="2EF34B32">
            <w:pPr>
              <w:pStyle w:val="2"/>
              <w:rPr>
                <w:rFonts w:hint="default"/>
                <w:highlight w:val="none"/>
                <w:lang w:val="en-US" w:eastAsia="zh-CN"/>
              </w:rPr>
            </w:pPr>
          </w:p>
        </w:tc>
        <w:tc>
          <w:tcPr>
            <w:tcW w:w="5832" w:type="dxa"/>
            <w:noWrap w:val="0"/>
            <w:vAlign w:val="top"/>
          </w:tcPr>
          <w:p w14:paraId="6054B375">
            <w:pPr>
              <w:pStyle w:val="2"/>
              <w:rPr>
                <w:rFonts w:hint="default"/>
                <w:highlight w:val="none"/>
                <w:lang w:val="en-US" w:eastAsia="zh-CN"/>
              </w:rPr>
            </w:pPr>
          </w:p>
        </w:tc>
      </w:tr>
    </w:tbl>
    <w:p w14:paraId="2231801C">
      <w:pPr>
        <w:rPr>
          <w:rFonts w:hint="eastAsia"/>
          <w:lang w:val="en-US" w:eastAsia="zh-CN"/>
        </w:rPr>
      </w:pPr>
    </w:p>
    <w:sectPr>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F737D8"/>
    <w:rsid w:val="007A0FD6"/>
    <w:rsid w:val="02265F72"/>
    <w:rsid w:val="02292AB1"/>
    <w:rsid w:val="04A24F71"/>
    <w:rsid w:val="06B27E8C"/>
    <w:rsid w:val="06FB60E3"/>
    <w:rsid w:val="076F3B3B"/>
    <w:rsid w:val="08A86B77"/>
    <w:rsid w:val="0AC402B6"/>
    <w:rsid w:val="0BC07002"/>
    <w:rsid w:val="0BC649E1"/>
    <w:rsid w:val="0E2F4C02"/>
    <w:rsid w:val="0F6B0902"/>
    <w:rsid w:val="0F81532F"/>
    <w:rsid w:val="107144D2"/>
    <w:rsid w:val="116419AD"/>
    <w:rsid w:val="11DF6CFE"/>
    <w:rsid w:val="13383335"/>
    <w:rsid w:val="14440D4B"/>
    <w:rsid w:val="15056A61"/>
    <w:rsid w:val="15892AE3"/>
    <w:rsid w:val="18E57496"/>
    <w:rsid w:val="1A386933"/>
    <w:rsid w:val="1B663F82"/>
    <w:rsid w:val="1C2D4629"/>
    <w:rsid w:val="1C43636C"/>
    <w:rsid w:val="1DF8571A"/>
    <w:rsid w:val="1F653C49"/>
    <w:rsid w:val="20735046"/>
    <w:rsid w:val="216F4D5B"/>
    <w:rsid w:val="22C211E9"/>
    <w:rsid w:val="22C864DC"/>
    <w:rsid w:val="23B738BA"/>
    <w:rsid w:val="24AF377B"/>
    <w:rsid w:val="24EE2E3B"/>
    <w:rsid w:val="24F737D8"/>
    <w:rsid w:val="27DF65F5"/>
    <w:rsid w:val="291E47B0"/>
    <w:rsid w:val="2CA17C08"/>
    <w:rsid w:val="2E41443F"/>
    <w:rsid w:val="2EEF36B4"/>
    <w:rsid w:val="2FF65FF8"/>
    <w:rsid w:val="300D195C"/>
    <w:rsid w:val="30BF37B5"/>
    <w:rsid w:val="33B200AF"/>
    <w:rsid w:val="33E61BE2"/>
    <w:rsid w:val="34AE71C3"/>
    <w:rsid w:val="361736AD"/>
    <w:rsid w:val="36D200CF"/>
    <w:rsid w:val="379951F8"/>
    <w:rsid w:val="38382DC3"/>
    <w:rsid w:val="38DE045C"/>
    <w:rsid w:val="3B3955B9"/>
    <w:rsid w:val="3BF24D81"/>
    <w:rsid w:val="3BFE7BEA"/>
    <w:rsid w:val="3C4A35F1"/>
    <w:rsid w:val="44982260"/>
    <w:rsid w:val="44D414C9"/>
    <w:rsid w:val="46472D5E"/>
    <w:rsid w:val="48C05C32"/>
    <w:rsid w:val="496A657E"/>
    <w:rsid w:val="49843C09"/>
    <w:rsid w:val="4A3D3BE3"/>
    <w:rsid w:val="4B3A1BDA"/>
    <w:rsid w:val="4B4250B2"/>
    <w:rsid w:val="4BF83760"/>
    <w:rsid w:val="4C8349B8"/>
    <w:rsid w:val="52F07F1E"/>
    <w:rsid w:val="52FF2BE9"/>
    <w:rsid w:val="54320741"/>
    <w:rsid w:val="55C3156A"/>
    <w:rsid w:val="58AE4D2A"/>
    <w:rsid w:val="58B0490A"/>
    <w:rsid w:val="5B0320E2"/>
    <w:rsid w:val="5B9E2EC4"/>
    <w:rsid w:val="608606DE"/>
    <w:rsid w:val="610E324A"/>
    <w:rsid w:val="61F31EFD"/>
    <w:rsid w:val="62A96B26"/>
    <w:rsid w:val="63066BC7"/>
    <w:rsid w:val="642A5BE2"/>
    <w:rsid w:val="64672037"/>
    <w:rsid w:val="65945D8D"/>
    <w:rsid w:val="66C35559"/>
    <w:rsid w:val="68570F93"/>
    <w:rsid w:val="6885745C"/>
    <w:rsid w:val="6A287B5E"/>
    <w:rsid w:val="6B303A1A"/>
    <w:rsid w:val="6C584AFC"/>
    <w:rsid w:val="6DAA2FDF"/>
    <w:rsid w:val="6E121228"/>
    <w:rsid w:val="6EC13A41"/>
    <w:rsid w:val="70D1495F"/>
    <w:rsid w:val="70ED510D"/>
    <w:rsid w:val="744C523A"/>
    <w:rsid w:val="754C6F3B"/>
    <w:rsid w:val="75B11AFF"/>
    <w:rsid w:val="75D32619"/>
    <w:rsid w:val="77B91397"/>
    <w:rsid w:val="780B6A75"/>
    <w:rsid w:val="78A06277"/>
    <w:rsid w:val="79DC24D9"/>
    <w:rsid w:val="7CB33C3B"/>
    <w:rsid w:val="7CF6779E"/>
    <w:rsid w:val="7D0F76D8"/>
    <w:rsid w:val="7E3420E0"/>
    <w:rsid w:val="7FC465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Calibri" w:hAnsi="Calibri" w:eastAsia="宋体" w:cs="Times New Roman"/>
      <w:kern w:val="2"/>
      <w:sz w:val="21"/>
      <w:szCs w:val="22"/>
      <w:lang w:val="en-US" w:eastAsia="zh-CN" w:bidi="ar-SA"/>
    </w:rPr>
  </w:style>
  <w:style w:type="paragraph" w:styleId="4">
    <w:name w:val="heading 1"/>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color w:val="000000"/>
      <w:sz w:val="32"/>
    </w:rPr>
  </w:style>
  <w:style w:type="paragraph" w:styleId="5">
    <w:name w:val="heading 2"/>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i/>
      <w:color w:val="000000"/>
      <w:sz w:val="28"/>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unhideWhenUsed/>
    <w:qFormat/>
    <w:uiPriority w:val="0"/>
    <w:pPr>
      <w:ind w:firstLine="420" w:firstLineChars="200"/>
    </w:pPr>
    <w:rPr>
      <w:szCs w:val="24"/>
    </w:rPr>
  </w:style>
  <w:style w:type="paragraph" w:styleId="3">
    <w:name w:val="Body Text Indent"/>
    <w:basedOn w:val="1"/>
    <w:qFormat/>
    <w:uiPriority w:val="0"/>
    <w:pPr>
      <w:spacing w:after="120"/>
      <w:ind w:left="420" w:leftChars="200"/>
    </w:pPr>
  </w:style>
  <w:style w:type="paragraph" w:styleId="6">
    <w:name w:val="Normal Indent"/>
    <w:basedOn w:val="1"/>
    <w:qFormat/>
    <w:uiPriority w:val="0"/>
    <w:pPr>
      <w:ind w:firstLine="420"/>
    </w:pPr>
    <w:rPr>
      <w:rFonts w:ascii="Times New Roman" w:hAnsi="Times New Roman" w:cs="Times New Roman"/>
      <w:kern w:val="0"/>
      <w:sz w:val="20"/>
      <w:szCs w:val="20"/>
    </w:rPr>
  </w:style>
  <w:style w:type="paragraph" w:styleId="7">
    <w:name w:val="annotation text"/>
    <w:basedOn w:val="1"/>
    <w:qFormat/>
    <w:uiPriority w:val="0"/>
    <w:pPr>
      <w:jc w:val="left"/>
    </w:pPr>
  </w:style>
  <w:style w:type="paragraph" w:styleId="8">
    <w:name w:val="Body Text"/>
    <w:basedOn w:val="9"/>
    <w:next w:val="9"/>
    <w:unhideWhenUsed/>
    <w:qFormat/>
    <w:uiPriority w:val="99"/>
    <w:pPr>
      <w:pBdr>
        <w:top w:val="none" w:color="auto" w:sz="0" w:space="0"/>
        <w:left w:val="none" w:color="auto" w:sz="0" w:space="0"/>
        <w:bottom w:val="none" w:color="auto" w:sz="0" w:space="0"/>
        <w:right w:val="none" w:color="auto" w:sz="0" w:space="0"/>
        <w:between w:val="none" w:color="auto" w:sz="0" w:space="0"/>
      </w:pBdr>
      <w:spacing w:after="120"/>
      <w:jc w:val="both"/>
    </w:pPr>
    <w:rPr>
      <w:lang w:val="en-US" w:eastAsia="zh-CN"/>
    </w:rPr>
  </w:style>
  <w:style w:type="paragraph" w:styleId="9">
    <w:name w:val="Title"/>
    <w:basedOn w:val="1"/>
    <w:next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paragraph" w:styleId="10">
    <w:name w:val="Plain Text"/>
    <w:basedOn w:val="1"/>
    <w:qFormat/>
    <w:uiPriority w:val="0"/>
    <w:pPr>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宋体" w:hAnsi="Courier New"/>
      <w:kern w:val="0"/>
      <w:sz w:val="20"/>
      <w:szCs w:val="20"/>
      <w:lang w:val="en-US" w:eastAsia="zh-CN"/>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目录 21"/>
    <w:basedOn w:val="1"/>
    <w:next w:val="1"/>
    <w:qFormat/>
    <w:uiPriority w:val="0"/>
    <w:pPr>
      <w:spacing w:before="100" w:beforeAutospacing="1" w:after="100" w:afterAutospacing="1"/>
      <w:ind w:left="420" w:leftChars="200"/>
    </w:pPr>
  </w:style>
  <w:style w:type="paragraph" w:customStyle="1" w:styleId="15">
    <w:name w:val="正文首行缩进1"/>
    <w:basedOn w:val="1"/>
    <w:qFormat/>
    <w:uiPriority w:val="0"/>
    <w:pPr>
      <w:spacing w:line="360" w:lineRule="auto"/>
      <w:ind w:firstLine="200" w:firstLineChars="200"/>
    </w:pPr>
    <w:rPr>
      <w:kern w:val="2"/>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1890</Words>
  <Characters>1999</Characters>
  <Lines>0</Lines>
  <Paragraphs>0</Paragraphs>
  <TotalTime>15</TotalTime>
  <ScaleCrop>false</ScaleCrop>
  <LinksUpToDate>false</LinksUpToDate>
  <CharactersWithSpaces>2140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2021-02-24T07:45:00Z</dcterms:created>
  <dc:creator>maja</dc:creator>
  <cp:lastModifiedBy>马骏安</cp:lastModifiedBy>
  <dcterms:modified xsi:type="dcterms:W3CDTF">2025-12-26T04:02:23Z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1AD0F0627D83439ABFE37ACE87E35775_13</vt:lpwstr>
  </property>
</Properties>
</file>