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98188">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14:paraId="2639C611">
      <w:pPr>
        <w:rPr>
          <w:rFonts w:hint="eastAsia"/>
          <w:highlight w:val="none"/>
          <w:lang w:val="en-US" w:eastAsia="zh-CN"/>
        </w:rPr>
      </w:pPr>
    </w:p>
    <w:p w14:paraId="12F324A7">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cs="Times New Roman"/>
          <w:b w:val="0"/>
          <w:bCs/>
          <w:i w:val="0"/>
          <w:iCs/>
          <w:color w:val="auto"/>
          <w:kern w:val="0"/>
          <w:sz w:val="24"/>
          <w:szCs w:val="24"/>
          <w:highlight w:val="non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中国南方电网有限责任公司基建输变电工程</w:t>
      </w:r>
      <w:r>
        <w:rPr>
          <w:rFonts w:hint="eastAsia" w:ascii="宋体" w:hAnsi="宋体" w:cs="Times New Roman"/>
          <w:b w:val="0"/>
          <w:bCs/>
          <w:i w:val="0"/>
          <w:iCs/>
          <w:color w:val="auto"/>
          <w:kern w:val="0"/>
          <w:sz w:val="24"/>
          <w:szCs w:val="24"/>
          <w:highlight w:val="none"/>
          <w:u w:val="single"/>
          <w:shd w:val="clear" w:color="auto" w:fill="auto"/>
          <w:lang w:val="en-US" w:eastAsia="zh-CN" w:bidi="ar-SA"/>
        </w:rPr>
        <w:t>监理</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4</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年版）</w:t>
      </w:r>
      <w:r>
        <w:rPr>
          <w:rFonts w:hint="eastAsia" w:ascii="宋体" w:hAnsi="宋体" w:cs="Times New Roman"/>
          <w:b w:val="0"/>
          <w:bCs/>
          <w:i w:val="0"/>
          <w:iCs/>
          <w:color w:val="auto"/>
          <w:kern w:val="0"/>
          <w:sz w:val="24"/>
          <w:szCs w:val="24"/>
          <w:highlight w:val="none"/>
          <w:u w:val="single"/>
          <w:shd w:val="clear" w:color="auto" w:fill="auto"/>
          <w:lang w:val="en-US" w:eastAsia="zh-CN" w:bidi="ar-SA"/>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14:paraId="20AF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23815F07">
            <w:pPr>
              <w:jc w:val="center"/>
              <w:rPr>
                <w:rFonts w:hint="default"/>
                <w:b/>
                <w:bCs/>
                <w:highlight w:val="none"/>
                <w:vertAlign w:val="baseline"/>
                <w:lang w:val="en-US" w:eastAsia="zh-CN"/>
              </w:rPr>
            </w:pPr>
            <w:bookmarkStart w:id="3" w:name="_GoBack"/>
            <w:bookmarkEnd w:id="3"/>
            <w:r>
              <w:rPr>
                <w:rFonts w:hint="eastAsia"/>
                <w:b/>
                <w:bCs/>
                <w:highlight w:val="none"/>
                <w:vertAlign w:val="baseline"/>
                <w:lang w:val="en-US" w:eastAsia="zh-CN"/>
              </w:rPr>
              <w:t>序号</w:t>
            </w:r>
          </w:p>
        </w:tc>
        <w:tc>
          <w:tcPr>
            <w:tcW w:w="3313" w:type="dxa"/>
            <w:noWrap w:val="0"/>
            <w:vAlign w:val="top"/>
          </w:tcPr>
          <w:p w14:paraId="3683C2BB">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832" w:type="dxa"/>
            <w:noWrap w:val="0"/>
            <w:vAlign w:val="top"/>
          </w:tcPr>
          <w:p w14:paraId="35BB08EC">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14:paraId="1AF6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6A4A1712">
            <w:pPr>
              <w:jc w:val="center"/>
              <w:rPr>
                <w:rFonts w:hint="eastAsia"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1</w:t>
            </w:r>
          </w:p>
        </w:tc>
        <w:tc>
          <w:tcPr>
            <w:tcW w:w="3313" w:type="dxa"/>
            <w:noWrap w:val="0"/>
            <w:vAlign w:val="top"/>
          </w:tcPr>
          <w:p w14:paraId="714E4E4A">
            <w:pPr>
              <w:jc w:val="left"/>
              <w:rPr>
                <w:rFonts w:hint="eastAsia"/>
                <w:highlight w:val="none"/>
                <w:lang w:val="en-US" w:eastAsia="zh-CN"/>
              </w:rPr>
            </w:pPr>
            <w:r>
              <w:rPr>
                <w:rFonts w:hint="eastAsia"/>
                <w:highlight w:val="none"/>
                <w:lang w:val="en-US" w:eastAsia="zh-CN"/>
              </w:rPr>
              <w:t>第三节专用合同条款1.1</w:t>
            </w:r>
            <w:r>
              <w:rPr>
                <w:rFonts w:hint="eastAsia" w:ascii="Times New Roman"/>
                <w:highlight w:val="none"/>
              </w:rPr>
              <w:t>词语定义</w:t>
            </w:r>
          </w:p>
          <w:p w14:paraId="4C7B38E3">
            <w:pPr>
              <w:pStyle w:val="2"/>
              <w:ind w:left="0" w:leftChars="0" w:firstLine="0" w:firstLineChars="0"/>
              <w:rPr>
                <w:rFonts w:hint="eastAsia"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全过程：指勘察设计、施工准备（含三通一平）、施工、竣工结算、缺陷责任期、达标投产创优。</w:t>
            </w:r>
          </w:p>
        </w:tc>
        <w:tc>
          <w:tcPr>
            <w:tcW w:w="5832" w:type="dxa"/>
            <w:noWrap w:val="0"/>
            <w:vAlign w:val="top"/>
          </w:tcPr>
          <w:p w14:paraId="353D2F51">
            <w:pPr>
              <w:jc w:val="left"/>
              <w:rPr>
                <w:rFonts w:hint="eastAsia"/>
                <w:highlight w:val="none"/>
                <w:lang w:val="en-US" w:eastAsia="zh-CN"/>
              </w:rPr>
            </w:pPr>
            <w:r>
              <w:rPr>
                <w:rFonts w:hint="eastAsia"/>
                <w:highlight w:val="none"/>
                <w:lang w:val="en-US" w:eastAsia="zh-CN"/>
              </w:rPr>
              <w:t>第三节专用合同条款1.1</w:t>
            </w:r>
            <w:r>
              <w:rPr>
                <w:rFonts w:hint="eastAsia" w:ascii="Times New Roman"/>
                <w:highlight w:val="none"/>
              </w:rPr>
              <w:t>词语定义</w:t>
            </w:r>
          </w:p>
          <w:p w14:paraId="51521915">
            <w:pPr>
              <w:pStyle w:val="2"/>
              <w:ind w:left="0" w:leftChars="0" w:firstLine="0" w:firstLineChars="0"/>
              <w:rPr>
                <w:rFonts w:hint="default"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含工程本体建设以及除本体建设外发生的相关施工活动，除本体建设外相关施工包括但不限于路面修复（含市政路面、公路等）、交通疏解、跨（穿）越铁路/公路、管线迁移、绿化迁移、林木砍伐等）、竣工结算、缺陷责任期、达标投产创优。</w:t>
            </w:r>
          </w:p>
        </w:tc>
      </w:tr>
      <w:tr w14:paraId="642E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10EE6A38">
            <w:pPr>
              <w:jc w:val="center"/>
              <w:rPr>
                <w:rFonts w:hint="default"/>
                <w:highlight w:val="none"/>
                <w:vertAlign w:val="baseline"/>
                <w:lang w:val="en-US" w:eastAsia="zh-CN"/>
              </w:rPr>
            </w:pPr>
            <w:r>
              <w:rPr>
                <w:rFonts w:hint="eastAsia"/>
                <w:highlight w:val="none"/>
                <w:vertAlign w:val="baseline"/>
                <w:lang w:val="en-US" w:eastAsia="zh-CN"/>
              </w:rPr>
              <w:t>1</w:t>
            </w:r>
          </w:p>
        </w:tc>
        <w:tc>
          <w:tcPr>
            <w:tcW w:w="3313" w:type="dxa"/>
            <w:noWrap w:val="0"/>
            <w:vAlign w:val="top"/>
          </w:tcPr>
          <w:p w14:paraId="6F232E3A">
            <w:pPr>
              <w:jc w:val="left"/>
              <w:rPr>
                <w:rFonts w:hint="eastAsia"/>
                <w:highlight w:val="none"/>
                <w:lang w:val="en-US" w:eastAsia="zh-CN"/>
              </w:rPr>
            </w:pPr>
            <w:r>
              <w:rPr>
                <w:rFonts w:hint="eastAsia"/>
                <w:highlight w:val="none"/>
                <w:lang w:val="en-US" w:eastAsia="zh-CN"/>
              </w:rPr>
              <w:t>第三节专用合同条款9.1合同价格</w:t>
            </w:r>
          </w:p>
          <w:p w14:paraId="256ABFAE">
            <w:pPr>
              <w:spacing w:line="360" w:lineRule="auto"/>
              <w:rPr>
                <w:szCs w:val="21"/>
                <w:highlight w:val="none"/>
              </w:rPr>
            </w:pPr>
            <w:r>
              <w:rPr>
                <w:rFonts w:hint="eastAsia"/>
                <w:szCs w:val="21"/>
                <w:highlight w:val="none"/>
              </w:rPr>
              <w:t>（2）合同价格形式</w:t>
            </w:r>
          </w:p>
          <w:p w14:paraId="00B00170">
            <w:pPr>
              <w:spacing w:line="360" w:lineRule="auto"/>
              <w:rPr>
                <w:szCs w:val="21"/>
                <w:highlight w:val="none"/>
              </w:rPr>
            </w:pPr>
            <w:r>
              <w:rPr>
                <w:rFonts w:hint="eastAsia"/>
                <w:szCs w:val="21"/>
                <w:highlight w:val="none"/>
              </w:rPr>
              <w:t>本合同采用以下第</w:t>
            </w:r>
            <w:permStart w:id="0" w:edGrp="everyone"/>
            <w:r>
              <w:rPr>
                <w:rFonts w:hint="eastAsia"/>
                <w:szCs w:val="21"/>
                <w:highlight w:val="none"/>
                <w:u w:val="single"/>
              </w:rPr>
              <w:t xml:space="preserve">   </w:t>
            </w:r>
            <w:permEnd w:id="0"/>
            <w:r>
              <w:rPr>
                <w:rFonts w:hint="eastAsia"/>
                <w:szCs w:val="21"/>
                <w:highlight w:val="none"/>
              </w:rPr>
              <w:t>种方式定价。</w:t>
            </w:r>
          </w:p>
          <w:p w14:paraId="55021169">
            <w:pPr>
              <w:spacing w:line="360" w:lineRule="auto"/>
              <w:rPr>
                <w:szCs w:val="21"/>
                <w:highlight w:val="none"/>
              </w:rPr>
            </w:pPr>
            <w:r>
              <w:rPr>
                <w:rFonts w:hint="eastAsia"/>
                <w:szCs w:val="21"/>
                <w:highlight w:val="none"/>
              </w:rPr>
              <w:t>（b）暂定价</w:t>
            </w:r>
          </w:p>
          <w:p w14:paraId="174F6F98">
            <w:pPr>
              <w:pStyle w:val="2"/>
              <w:ind w:left="0" w:leftChars="0" w:firstLine="0" w:firstLineChars="0"/>
              <w:rPr>
                <w:rFonts w:hint="default"/>
                <w:highlight w:val="none"/>
                <w:lang w:val="en-US" w:eastAsia="zh-CN"/>
              </w:rPr>
            </w:pPr>
            <w:r>
              <w:rPr>
                <w:rFonts w:hint="eastAsia"/>
                <w:szCs w:val="21"/>
                <w:highlight w:val="none"/>
              </w:rPr>
              <w:t>合同采用暂定价，监理费结算价款=</w:t>
            </w:r>
            <w:permStart w:id="1" w:edGrp="everyone"/>
            <w:r>
              <w:rPr>
                <w:rFonts w:hint="eastAsia"/>
                <w:szCs w:val="21"/>
                <w:highlight w:val="none"/>
                <w:u w:val="single"/>
              </w:rPr>
              <w:t>审定的初步设计概算（或施工图设计预算）</w:t>
            </w:r>
            <w:permEnd w:id="1"/>
            <w:r>
              <w:rPr>
                <w:rFonts w:hint="eastAsia"/>
                <w:szCs w:val="21"/>
                <w:highlight w:val="none"/>
              </w:rPr>
              <w:t>为基数计算出的监理费×（1-投标下浮率</w:t>
            </w:r>
            <w:permStart w:id="2" w:edGrp="everyone"/>
            <w:r>
              <w:rPr>
                <w:rFonts w:hint="eastAsia"/>
                <w:szCs w:val="21"/>
                <w:highlight w:val="none"/>
                <w:u w:val="single"/>
              </w:rPr>
              <w:t xml:space="preserve">   </w:t>
            </w:r>
            <w:permEnd w:id="2"/>
            <w:r>
              <w:rPr>
                <w:rFonts w:hint="eastAsia"/>
                <w:szCs w:val="21"/>
                <w:highlight w:val="none"/>
              </w:rPr>
              <w:t>%）。</w:t>
            </w:r>
          </w:p>
        </w:tc>
        <w:tc>
          <w:tcPr>
            <w:tcW w:w="5832" w:type="dxa"/>
            <w:noWrap w:val="0"/>
            <w:vAlign w:val="top"/>
          </w:tcPr>
          <w:p w14:paraId="431D0B83">
            <w:pPr>
              <w:spacing w:line="360" w:lineRule="auto"/>
              <w:rPr>
                <w:rFonts w:hint="eastAsia"/>
                <w:highlight w:val="none"/>
                <w:lang w:val="en-US" w:eastAsia="zh-CN"/>
              </w:rPr>
            </w:pPr>
            <w:r>
              <w:rPr>
                <w:rFonts w:hint="eastAsia"/>
                <w:highlight w:val="none"/>
                <w:lang w:val="en-US" w:eastAsia="zh-CN"/>
              </w:rPr>
              <w:t>第三节专用合同条款9.1合同价格</w:t>
            </w:r>
          </w:p>
          <w:p w14:paraId="207E90E1">
            <w:pPr>
              <w:spacing w:line="360" w:lineRule="auto"/>
              <w:rPr>
                <w:szCs w:val="21"/>
                <w:highlight w:val="none"/>
              </w:rPr>
            </w:pPr>
            <w:r>
              <w:rPr>
                <w:rFonts w:hint="eastAsia"/>
                <w:szCs w:val="21"/>
                <w:highlight w:val="none"/>
              </w:rPr>
              <w:t>（2）合同价格形式</w:t>
            </w:r>
          </w:p>
          <w:p w14:paraId="2918622A">
            <w:pPr>
              <w:spacing w:line="360" w:lineRule="auto"/>
              <w:rPr>
                <w:szCs w:val="21"/>
                <w:highlight w:val="none"/>
              </w:rPr>
            </w:pPr>
            <w:r>
              <w:rPr>
                <w:rFonts w:hint="eastAsia"/>
                <w:szCs w:val="21"/>
                <w:highlight w:val="none"/>
              </w:rPr>
              <w:t>本合同采用以下第</w:t>
            </w:r>
            <w:permStart w:id="3" w:edGrp="everyone"/>
            <w:r>
              <w:rPr>
                <w:rFonts w:hint="eastAsia"/>
                <w:szCs w:val="21"/>
                <w:highlight w:val="none"/>
                <w:u w:val="single"/>
              </w:rPr>
              <w:t xml:space="preserve"> </w:t>
            </w:r>
            <w:r>
              <w:rPr>
                <w:rFonts w:hint="eastAsia"/>
                <w:color w:val="auto"/>
                <w:szCs w:val="21"/>
                <w:highlight w:val="none"/>
                <w:u w:val="single"/>
              </w:rPr>
              <w:t>（b）</w:t>
            </w:r>
            <w:r>
              <w:rPr>
                <w:rFonts w:hint="eastAsia"/>
                <w:szCs w:val="21"/>
                <w:highlight w:val="none"/>
                <w:u w:val="single"/>
              </w:rPr>
              <w:t xml:space="preserve">  </w:t>
            </w:r>
            <w:permEnd w:id="3"/>
            <w:r>
              <w:rPr>
                <w:rFonts w:hint="eastAsia"/>
                <w:szCs w:val="21"/>
                <w:highlight w:val="none"/>
              </w:rPr>
              <w:t>种方式定价。</w:t>
            </w:r>
          </w:p>
          <w:p w14:paraId="19E03C05">
            <w:pPr>
              <w:spacing w:line="360" w:lineRule="auto"/>
              <w:rPr>
                <w:b/>
                <w:color w:val="auto"/>
                <w:szCs w:val="21"/>
                <w:highlight w:val="none"/>
              </w:rPr>
            </w:pPr>
            <w:r>
              <w:rPr>
                <w:rFonts w:hint="eastAsia"/>
                <w:b/>
                <w:color w:val="auto"/>
                <w:szCs w:val="21"/>
                <w:highlight w:val="none"/>
              </w:rPr>
              <w:t>（b）暂定价</w:t>
            </w:r>
          </w:p>
          <w:p w14:paraId="7933865D">
            <w:pPr>
              <w:spacing w:line="360" w:lineRule="auto"/>
              <w:rPr>
                <w:color w:val="auto"/>
                <w:szCs w:val="21"/>
                <w:highlight w:val="none"/>
              </w:rPr>
            </w:pPr>
            <w:r>
              <w:rPr>
                <w:rFonts w:hint="eastAsia"/>
                <w:color w:val="auto"/>
                <w:szCs w:val="21"/>
                <w:highlight w:val="none"/>
              </w:rPr>
              <w:t>合同采用暂定价，监理费结算价款</w:t>
            </w:r>
            <w:r>
              <w:rPr>
                <w:rFonts w:hint="eastAsia"/>
                <w:color w:val="auto"/>
                <w:szCs w:val="21"/>
                <w:highlight w:val="none"/>
                <w:u w:val="single"/>
              </w:rPr>
              <w:t>详见9.4 费用结算</w:t>
            </w:r>
            <w:r>
              <w:rPr>
                <w:rFonts w:hint="eastAsia"/>
                <w:color w:val="auto"/>
                <w:szCs w:val="21"/>
                <w:highlight w:val="none"/>
              </w:rPr>
              <w:t>。</w:t>
            </w:r>
          </w:p>
          <w:p w14:paraId="58B474A9">
            <w:pPr>
              <w:pStyle w:val="2"/>
              <w:ind w:left="0" w:leftChars="0" w:firstLine="0" w:firstLineChars="0"/>
              <w:rPr>
                <w:rFonts w:hint="default"/>
                <w:highlight w:val="none"/>
                <w:lang w:val="en-US" w:eastAsia="zh-CN"/>
              </w:rPr>
            </w:pPr>
          </w:p>
        </w:tc>
      </w:tr>
      <w:tr w14:paraId="0920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73B6B615">
            <w:pPr>
              <w:jc w:val="center"/>
              <w:rPr>
                <w:rFonts w:hint="default"/>
                <w:highlight w:val="none"/>
                <w:vertAlign w:val="baseline"/>
                <w:lang w:val="en-US" w:eastAsia="zh-CN"/>
              </w:rPr>
            </w:pPr>
            <w:r>
              <w:rPr>
                <w:rFonts w:hint="eastAsia"/>
                <w:highlight w:val="none"/>
                <w:vertAlign w:val="baseline"/>
                <w:lang w:val="en-US" w:eastAsia="zh-CN"/>
              </w:rPr>
              <w:t>2</w:t>
            </w:r>
          </w:p>
        </w:tc>
        <w:tc>
          <w:tcPr>
            <w:tcW w:w="3313" w:type="dxa"/>
            <w:noWrap w:val="0"/>
            <w:vAlign w:val="top"/>
          </w:tcPr>
          <w:p w14:paraId="2AA12B31">
            <w:pPr>
              <w:jc w:val="left"/>
              <w:rPr>
                <w:rFonts w:hint="eastAsia"/>
                <w:highlight w:val="none"/>
              </w:rPr>
            </w:pPr>
            <w:r>
              <w:rPr>
                <w:rFonts w:hint="eastAsia"/>
                <w:highlight w:val="none"/>
                <w:lang w:val="en-US" w:eastAsia="zh-CN"/>
              </w:rPr>
              <w:t xml:space="preserve">第三节专用合同条款 </w:t>
            </w:r>
            <w:bookmarkStart w:id="0" w:name="_Toc28518"/>
            <w:r>
              <w:rPr>
                <w:rFonts w:hint="eastAsia"/>
                <w:highlight w:val="none"/>
              </w:rPr>
              <w:t>9</w:t>
            </w:r>
            <w:r>
              <w:rPr>
                <w:highlight w:val="none"/>
              </w:rPr>
              <w:t xml:space="preserve">.2 </w:t>
            </w:r>
            <w:r>
              <w:rPr>
                <w:rFonts w:hint="eastAsia"/>
                <w:highlight w:val="none"/>
              </w:rPr>
              <w:t>预付款</w:t>
            </w:r>
            <w:bookmarkEnd w:id="0"/>
          </w:p>
          <w:p w14:paraId="581E4920">
            <w:pPr>
              <w:pStyle w:val="3"/>
              <w:spacing w:line="360" w:lineRule="auto"/>
              <w:ind w:left="0" w:leftChars="0" w:firstLine="0" w:firstLineChars="0"/>
              <w:rPr>
                <w:rFonts w:hAnsi="宋体"/>
                <w:szCs w:val="21"/>
                <w:highlight w:val="none"/>
                <w:u w:val="single"/>
              </w:rPr>
            </w:pPr>
            <w:r>
              <w:rPr>
                <w:rFonts w:hint="eastAsia"/>
                <w:szCs w:val="21"/>
                <w:highlight w:val="none"/>
              </w:rPr>
              <w:t>预付款的额度</w:t>
            </w:r>
            <w:r>
              <w:rPr>
                <w:rFonts w:hint="eastAsia" w:hAnsi="宋体"/>
                <w:szCs w:val="21"/>
                <w:highlight w:val="none"/>
              </w:rPr>
              <w:t>：</w:t>
            </w:r>
            <w:permStart w:id="4" w:edGrp="everyone"/>
            <w:r>
              <w:rPr>
                <w:rFonts w:hint="eastAsia" w:hAnsi="宋体"/>
                <w:szCs w:val="21"/>
                <w:highlight w:val="none"/>
                <w:u w:val="single"/>
              </w:rPr>
              <w:t>合同价</w:t>
            </w:r>
            <w:r>
              <w:rPr>
                <w:rFonts w:hAnsi="宋体"/>
                <w:szCs w:val="21"/>
                <w:highlight w:val="none"/>
                <w:u w:val="single"/>
              </w:rPr>
              <w:t>的</w:t>
            </w:r>
            <w:r>
              <w:rPr>
                <w:rFonts w:hint="eastAsia" w:hAnsi="宋体"/>
                <w:szCs w:val="21"/>
                <w:highlight w:val="none"/>
                <w:u w:val="single"/>
              </w:rPr>
              <w:t>10</w:t>
            </w:r>
            <w:r>
              <w:rPr>
                <w:rFonts w:hAnsi="宋体"/>
                <w:szCs w:val="21"/>
                <w:highlight w:val="none"/>
                <w:u w:val="single"/>
              </w:rPr>
              <w:t>%</w:t>
            </w:r>
            <w:r>
              <w:rPr>
                <w:rFonts w:hint="eastAsia" w:hAnsi="宋体"/>
                <w:szCs w:val="21"/>
                <w:highlight w:val="none"/>
                <w:u w:val="single"/>
              </w:rPr>
              <w:t>，监理人需要提供履约担保和付款申请。</w:t>
            </w:r>
            <w:permEnd w:id="4"/>
          </w:p>
          <w:p w14:paraId="3DC79D8B">
            <w:pPr>
              <w:spacing w:line="360" w:lineRule="auto"/>
              <w:rPr>
                <w:highlight w:val="none"/>
              </w:rPr>
            </w:pPr>
            <w:r>
              <w:rPr>
                <w:rFonts w:hint="eastAsia"/>
                <w:highlight w:val="none"/>
              </w:rPr>
              <w:t>在合同生效且监理人提供履约担保</w:t>
            </w:r>
            <w:r>
              <w:rPr>
                <w:rFonts w:hint="eastAsia" w:ascii="宋体" w:hAnsi="宋体"/>
                <w:szCs w:val="21"/>
                <w:highlight w:val="none"/>
              </w:rPr>
              <w:t>和付款申请</w:t>
            </w:r>
            <w:r>
              <w:rPr>
                <w:rFonts w:hint="eastAsia"/>
                <w:highlight w:val="none"/>
              </w:rPr>
              <w:t>后</w:t>
            </w:r>
            <w:permStart w:id="5" w:edGrp="everyone"/>
            <w:r>
              <w:rPr>
                <w:rFonts w:hint="eastAsia"/>
                <w:highlight w:val="none"/>
                <w:u w:val="single"/>
              </w:rPr>
              <w:t>28</w:t>
            </w:r>
            <w:permEnd w:id="5"/>
            <w:r>
              <w:rPr>
                <w:rFonts w:hint="eastAsia"/>
                <w:highlight w:val="none"/>
              </w:rPr>
              <w:t>日内，委托人向监理人支付合同总价的</w:t>
            </w:r>
            <w:permStart w:id="6" w:edGrp="everyone"/>
            <w:r>
              <w:rPr>
                <w:rFonts w:hint="eastAsia"/>
                <w:highlight w:val="none"/>
                <w:u w:val="single"/>
              </w:rPr>
              <w:t>10%</w:t>
            </w:r>
            <w:permEnd w:id="6"/>
            <w:r>
              <w:rPr>
                <w:rFonts w:hint="eastAsia"/>
                <w:highlight w:val="none"/>
              </w:rPr>
              <w:t>作为预付款。</w:t>
            </w:r>
          </w:p>
          <w:p w14:paraId="3E93C583">
            <w:pPr>
              <w:pStyle w:val="3"/>
              <w:spacing w:line="360" w:lineRule="auto"/>
              <w:ind w:left="0" w:leftChars="0" w:firstLine="0" w:firstLineChars="0"/>
              <w:rPr>
                <w:rFonts w:hAnsi="宋体"/>
                <w:szCs w:val="21"/>
                <w:highlight w:val="none"/>
                <w:u w:val="single"/>
              </w:rPr>
            </w:pPr>
            <w:r>
              <w:rPr>
                <w:rFonts w:hint="eastAsia"/>
                <w:szCs w:val="21"/>
                <w:highlight w:val="none"/>
              </w:rPr>
              <w:t>预付款的抵扣方式</w:t>
            </w:r>
            <w:r>
              <w:rPr>
                <w:rFonts w:hint="eastAsia" w:hAnsi="宋体"/>
                <w:szCs w:val="21"/>
                <w:highlight w:val="none"/>
              </w:rPr>
              <w:t>：</w:t>
            </w:r>
            <w:permStart w:id="7" w:edGrp="everyone"/>
            <w:r>
              <w:rPr>
                <w:rFonts w:hint="eastAsia" w:hAnsi="宋体"/>
                <w:szCs w:val="21"/>
                <w:highlight w:val="none"/>
                <w:u w:val="single"/>
              </w:rPr>
              <w:t xml:space="preserve">            。</w:t>
            </w:r>
          </w:p>
          <w:permEnd w:id="7"/>
          <w:p w14:paraId="173A77FB">
            <w:pPr>
              <w:pStyle w:val="2"/>
              <w:rPr>
                <w:rFonts w:hint="default"/>
                <w:highlight w:val="none"/>
                <w:lang w:val="en-US" w:eastAsia="zh-CN"/>
              </w:rPr>
            </w:pPr>
          </w:p>
        </w:tc>
        <w:tc>
          <w:tcPr>
            <w:tcW w:w="5832" w:type="dxa"/>
            <w:noWrap w:val="0"/>
            <w:vAlign w:val="top"/>
          </w:tcPr>
          <w:p w14:paraId="4549065E">
            <w:pPr>
              <w:shd w:val="clear" w:color="auto" w:fill="auto"/>
              <w:spacing w:line="360" w:lineRule="auto"/>
              <w:rPr>
                <w:rFonts w:hint="eastAsia"/>
                <w:highlight w:val="none"/>
              </w:rPr>
            </w:pPr>
            <w:r>
              <w:rPr>
                <w:rFonts w:hint="eastAsia"/>
                <w:highlight w:val="none"/>
                <w:lang w:val="en-US" w:eastAsia="zh-CN"/>
              </w:rPr>
              <w:t xml:space="preserve">第三节专用合同条款 </w:t>
            </w:r>
            <w:r>
              <w:rPr>
                <w:rFonts w:hint="eastAsia"/>
                <w:highlight w:val="none"/>
              </w:rPr>
              <w:t>9</w:t>
            </w:r>
            <w:r>
              <w:rPr>
                <w:highlight w:val="none"/>
              </w:rPr>
              <w:t xml:space="preserve">.2 </w:t>
            </w:r>
            <w:r>
              <w:rPr>
                <w:rFonts w:hint="eastAsia"/>
                <w:highlight w:val="none"/>
              </w:rPr>
              <w:t>预付款</w:t>
            </w:r>
          </w:p>
          <w:p w14:paraId="29B34DE7">
            <w:pPr>
              <w:pStyle w:val="3"/>
              <w:spacing w:line="360" w:lineRule="auto"/>
              <w:ind w:left="0" w:leftChars="0" w:firstLine="0" w:firstLineChars="0"/>
              <w:rPr>
                <w:rFonts w:hint="eastAsia" w:hAnsi="宋体" w:eastAsia="宋体"/>
                <w:color w:val="auto"/>
                <w:szCs w:val="21"/>
                <w:highlight w:val="none"/>
                <w:u w:val="single"/>
                <w:lang w:val="en-US" w:eastAsia="zh-CN"/>
              </w:rPr>
            </w:pPr>
            <w:r>
              <w:rPr>
                <w:rFonts w:hint="eastAsia"/>
                <w:color w:val="auto"/>
                <w:szCs w:val="21"/>
                <w:highlight w:val="none"/>
              </w:rPr>
              <w:t>预付款的额度</w:t>
            </w:r>
            <w:r>
              <w:rPr>
                <w:rFonts w:hint="eastAsia" w:hAnsi="宋体"/>
                <w:color w:val="auto"/>
                <w:szCs w:val="21"/>
                <w:highlight w:val="none"/>
              </w:rPr>
              <w:t>：</w:t>
            </w:r>
            <w:r>
              <w:rPr>
                <w:rFonts w:hint="eastAsia" w:hAnsi="宋体"/>
                <w:color w:val="auto"/>
                <w:szCs w:val="21"/>
                <w:highlight w:val="none"/>
                <w:u w:val="single"/>
                <w:lang w:val="en-US" w:eastAsia="zh-CN"/>
              </w:rPr>
              <w:t xml:space="preserve">        /         。</w:t>
            </w:r>
          </w:p>
          <w:p w14:paraId="1D6E81A3">
            <w:pPr>
              <w:spacing w:line="360" w:lineRule="auto"/>
              <w:rPr>
                <w:rFonts w:ascii="Times New Roman" w:hAnsi="Times New Roman"/>
                <w:color w:val="auto"/>
                <w:highlight w:val="none"/>
              </w:rPr>
            </w:pPr>
            <w:r>
              <w:rPr>
                <w:rFonts w:hint="eastAsia" w:ascii="Times New Roman" w:hAnsi="Times New Roman"/>
                <w:color w:val="auto"/>
                <w:highlight w:val="none"/>
              </w:rPr>
              <w:t>在合同生效且监理人提供履约担保</w:t>
            </w:r>
            <w:r>
              <w:rPr>
                <w:rFonts w:hint="eastAsia" w:ascii="宋体" w:hAnsi="宋体"/>
                <w:color w:val="auto"/>
                <w:szCs w:val="21"/>
                <w:highlight w:val="none"/>
              </w:rPr>
              <w:t>和付款申请</w:t>
            </w:r>
            <w:r>
              <w:rPr>
                <w:rFonts w:hint="eastAsia" w:ascii="Times New Roman" w:hAnsi="Times New Roman"/>
                <w:color w:val="auto"/>
                <w:highlight w:val="none"/>
              </w:rPr>
              <w:t>后</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日内，委托人向监理人支付合同总价的</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作为预付款。</w:t>
            </w:r>
          </w:p>
          <w:p w14:paraId="17A1D44D">
            <w:pPr>
              <w:pStyle w:val="3"/>
              <w:spacing w:line="360" w:lineRule="auto"/>
              <w:ind w:left="0" w:leftChars="0" w:firstLine="0" w:firstLineChars="0"/>
              <w:rPr>
                <w:rFonts w:hAnsi="宋体"/>
                <w:color w:val="auto"/>
                <w:szCs w:val="21"/>
                <w:highlight w:val="none"/>
                <w:u w:val="single"/>
              </w:rPr>
            </w:pPr>
            <w:r>
              <w:rPr>
                <w:rFonts w:hint="eastAsia"/>
                <w:color w:val="auto"/>
                <w:szCs w:val="21"/>
                <w:highlight w:val="none"/>
              </w:rPr>
              <w:t>预付款的抵扣方式</w:t>
            </w:r>
            <w:r>
              <w:rPr>
                <w:rFonts w:hint="eastAsia" w:hAnsi="宋体"/>
                <w:color w:val="auto"/>
                <w:szCs w:val="21"/>
                <w:highlight w:val="none"/>
              </w:rPr>
              <w:t>：</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w:t>
            </w:r>
            <w:r>
              <w:rPr>
                <w:rFonts w:hint="eastAsia" w:hAnsi="宋体"/>
                <w:color w:val="auto"/>
                <w:szCs w:val="21"/>
                <w:highlight w:val="none"/>
                <w:u w:val="single"/>
              </w:rPr>
              <w:t xml:space="preserve">    。</w:t>
            </w:r>
          </w:p>
          <w:p w14:paraId="47DE730A">
            <w:pPr>
              <w:pStyle w:val="2"/>
              <w:rPr>
                <w:rFonts w:hint="default"/>
                <w:highlight w:val="none"/>
                <w:lang w:val="en-US" w:eastAsia="zh-CN"/>
              </w:rPr>
            </w:pPr>
          </w:p>
        </w:tc>
      </w:tr>
      <w:tr w14:paraId="39D2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9C456C7">
            <w:pPr>
              <w:jc w:val="center"/>
              <w:rPr>
                <w:rFonts w:hint="default"/>
                <w:highlight w:val="none"/>
                <w:vertAlign w:val="baseline"/>
                <w:lang w:val="en-US" w:eastAsia="zh-CN"/>
              </w:rPr>
            </w:pPr>
            <w:r>
              <w:rPr>
                <w:rFonts w:hint="eastAsia"/>
                <w:highlight w:val="none"/>
                <w:vertAlign w:val="baseline"/>
                <w:lang w:val="en-US" w:eastAsia="zh-CN"/>
              </w:rPr>
              <w:t>3</w:t>
            </w:r>
          </w:p>
        </w:tc>
        <w:tc>
          <w:tcPr>
            <w:tcW w:w="3313" w:type="dxa"/>
            <w:noWrap w:val="0"/>
            <w:vAlign w:val="top"/>
          </w:tcPr>
          <w:p w14:paraId="17225569">
            <w:pPr>
              <w:pStyle w:val="2"/>
              <w:ind w:left="0" w:leftChars="0" w:firstLine="0" w:firstLineChars="0"/>
              <w:jc w:val="left"/>
              <w:rPr>
                <w:rFonts w:hint="eastAsia"/>
                <w:highlight w:val="none"/>
                <w:lang w:eastAsia="zh-CN"/>
              </w:rPr>
            </w:pPr>
            <w:r>
              <w:rPr>
                <w:rFonts w:hint="eastAsia"/>
                <w:highlight w:val="none"/>
                <w:lang w:val="en-US" w:eastAsia="zh-CN"/>
              </w:rPr>
              <w:t xml:space="preserve">第三节专用合同条款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14:paraId="58983E52">
            <w:pPr>
              <w:spacing w:line="360" w:lineRule="auto"/>
              <w:jc w:val="left"/>
              <w:rPr>
                <w:rFonts w:hint="eastAsia"/>
                <w:highlight w:val="none"/>
              </w:rPr>
            </w:pPr>
            <w:r>
              <w:rPr>
                <w:rFonts w:hint="eastAsia"/>
                <w:b/>
                <w:bCs/>
                <w:highlight w:val="none"/>
              </w:rPr>
              <w:t>电缆工程：</w:t>
            </w:r>
          </w:p>
          <w:p w14:paraId="523C2D44">
            <w:pPr>
              <w:spacing w:line="360" w:lineRule="auto"/>
              <w:jc w:val="left"/>
              <w:rPr>
                <w:highlight w:val="none"/>
              </w:rPr>
            </w:pPr>
            <w:r>
              <w:rPr>
                <w:rFonts w:hint="eastAsia"/>
                <w:highlight w:val="none"/>
              </w:rPr>
              <w:t>c. 竣工验收投运并交清相关资料，支付合同监理费（电缆部分）的</w:t>
            </w:r>
            <w:r>
              <w:rPr>
                <w:rFonts w:hint="eastAsia"/>
                <w:highlight w:val="none"/>
                <w:u w:val="single"/>
              </w:rPr>
              <w:t>35</w:t>
            </w:r>
            <w:r>
              <w:rPr>
                <w:rFonts w:hint="eastAsia"/>
                <w:highlight w:val="none"/>
              </w:rPr>
              <w:t>%；</w:t>
            </w:r>
          </w:p>
          <w:p w14:paraId="76151AB1">
            <w:pPr>
              <w:spacing w:line="360" w:lineRule="auto"/>
              <w:jc w:val="left"/>
              <w:rPr>
                <w:rFonts w:hint="eastAsia"/>
                <w:highlight w:val="none"/>
              </w:rPr>
            </w:pPr>
            <w:r>
              <w:rPr>
                <w:rFonts w:hint="eastAsia"/>
                <w:highlight w:val="none"/>
              </w:rPr>
              <w:t>进度款支付时限为完成项目阶段性工作、并收到等额增值税专用发票后</w:t>
            </w:r>
            <w:r>
              <w:rPr>
                <w:rFonts w:hint="eastAsia"/>
                <w:highlight w:val="none"/>
                <w:u w:val="single"/>
              </w:rPr>
              <w:t>45</w:t>
            </w:r>
            <w:r>
              <w:rPr>
                <w:rFonts w:hint="eastAsia"/>
                <w:highlight w:val="none"/>
              </w:rPr>
              <w:t>日内；付至合同监理费的</w:t>
            </w:r>
            <w:r>
              <w:rPr>
                <w:rFonts w:hint="eastAsia"/>
                <w:highlight w:val="none"/>
                <w:u w:val="single"/>
              </w:rPr>
              <w:t>97</w:t>
            </w:r>
            <w:r>
              <w:rPr>
                <w:rFonts w:hint="eastAsia"/>
                <w:highlight w:val="none"/>
              </w:rPr>
              <w:t>％（10万元及以下合同支付完总结算监理报酬）。</w:t>
            </w:r>
          </w:p>
          <w:p w14:paraId="5AE4A5EF">
            <w:pPr>
              <w:spacing w:line="360" w:lineRule="auto"/>
              <w:jc w:val="left"/>
              <w:rPr>
                <w:rFonts w:hint="eastAsia"/>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c>
          <w:tcPr>
            <w:tcW w:w="5832" w:type="dxa"/>
            <w:noWrap w:val="0"/>
            <w:vAlign w:val="top"/>
          </w:tcPr>
          <w:p w14:paraId="4C379407">
            <w:pPr>
              <w:pStyle w:val="2"/>
              <w:ind w:left="0" w:leftChars="0" w:firstLine="0" w:firstLineChars="0"/>
              <w:rPr>
                <w:rFonts w:hint="eastAsia"/>
                <w:highlight w:val="none"/>
                <w:lang w:val="en-US" w:eastAsia="zh-CN"/>
              </w:rPr>
            </w:pPr>
            <w:r>
              <w:rPr>
                <w:rFonts w:hint="eastAsia"/>
                <w:highlight w:val="none"/>
                <w:lang w:val="en-US" w:eastAsia="zh-CN"/>
              </w:rPr>
              <w:t>修改为：</w:t>
            </w:r>
          </w:p>
          <w:p w14:paraId="76BE13EE">
            <w:pPr>
              <w:pStyle w:val="2"/>
              <w:ind w:left="0" w:leftChars="0" w:firstLine="0" w:firstLineChars="0"/>
              <w:jc w:val="left"/>
              <w:rPr>
                <w:rFonts w:hint="eastAsia"/>
                <w:highlight w:val="none"/>
                <w:lang w:eastAsia="zh-CN"/>
              </w:rPr>
            </w:pPr>
            <w:r>
              <w:rPr>
                <w:rFonts w:hint="eastAsia"/>
                <w:highlight w:val="none"/>
                <w:lang w:val="en-US" w:eastAsia="zh-CN"/>
              </w:rPr>
              <w:t xml:space="preserve">第三节专用合同条款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14:paraId="521FBA2C">
            <w:pPr>
              <w:spacing w:line="360" w:lineRule="auto"/>
              <w:jc w:val="left"/>
              <w:rPr>
                <w:rFonts w:hint="eastAsia"/>
                <w:highlight w:val="none"/>
              </w:rPr>
            </w:pPr>
            <w:r>
              <w:rPr>
                <w:rFonts w:hint="eastAsia"/>
                <w:b/>
                <w:bCs/>
                <w:highlight w:val="none"/>
              </w:rPr>
              <w:t>电缆工程：</w:t>
            </w:r>
          </w:p>
          <w:p w14:paraId="7B3D2A30">
            <w:pPr>
              <w:spacing w:line="360" w:lineRule="auto"/>
              <w:jc w:val="left"/>
              <w:rPr>
                <w:highlight w:val="none"/>
              </w:rPr>
            </w:pPr>
            <w:r>
              <w:rPr>
                <w:rFonts w:hint="eastAsia"/>
                <w:highlight w:val="none"/>
              </w:rPr>
              <w:t>c. 竣工验收投运并交清相关资料，支付合同监理费（电缆部分）的35%；</w:t>
            </w:r>
          </w:p>
          <w:p w14:paraId="2FE7E687">
            <w:pPr>
              <w:spacing w:line="360" w:lineRule="auto"/>
              <w:jc w:val="left"/>
              <w:rPr>
                <w:rFonts w:hint="eastAsia"/>
                <w:strike/>
                <w:dstrike w:val="0"/>
                <w:highlight w:val="none"/>
              </w:rPr>
            </w:pPr>
            <w:r>
              <w:rPr>
                <w:rFonts w:hint="eastAsia"/>
                <w:strike/>
                <w:dstrike w:val="0"/>
                <w:highlight w:val="none"/>
              </w:rPr>
              <w:t>进度款支付时限为完成项目阶段性工作、并收到等额增值税专用发票后45日内；付至合同监理费的97％（10万元及以下合同支付完总结算监理报酬）。</w:t>
            </w:r>
          </w:p>
          <w:p w14:paraId="32251AE6">
            <w:pPr>
              <w:pStyle w:val="2"/>
              <w:ind w:left="0" w:leftChars="0" w:firstLine="0" w:firstLineChars="0"/>
              <w:rPr>
                <w:rFonts w:hint="default"/>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r>
      <w:tr w14:paraId="19A8B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1E364FDE">
            <w:pPr>
              <w:jc w:val="center"/>
              <w:rPr>
                <w:rFonts w:hint="default"/>
                <w:highlight w:val="none"/>
                <w:vertAlign w:val="baseline"/>
                <w:lang w:val="en-US" w:eastAsia="zh-CN"/>
              </w:rPr>
            </w:pPr>
            <w:r>
              <w:rPr>
                <w:rFonts w:hint="eastAsia"/>
                <w:highlight w:val="none"/>
                <w:vertAlign w:val="baseline"/>
                <w:lang w:val="en-US" w:eastAsia="zh-CN"/>
              </w:rPr>
              <w:t>4</w:t>
            </w:r>
          </w:p>
        </w:tc>
        <w:tc>
          <w:tcPr>
            <w:tcW w:w="3313" w:type="dxa"/>
            <w:noWrap w:val="0"/>
            <w:vAlign w:val="top"/>
          </w:tcPr>
          <w:p w14:paraId="3A19C646">
            <w:pPr>
              <w:jc w:val="left"/>
              <w:rPr>
                <w:rFonts w:hint="eastAsia" w:ascii="Times New Roman"/>
                <w:highlight w:val="none"/>
              </w:rPr>
            </w:pPr>
            <w:r>
              <w:rPr>
                <w:rFonts w:hint="eastAsia"/>
                <w:highlight w:val="none"/>
                <w:lang w:val="en-US" w:eastAsia="zh-CN"/>
              </w:rPr>
              <w:t xml:space="preserve">第三节专用合同条款 </w:t>
            </w:r>
            <w:bookmarkStart w:id="1" w:name="_Toc4164"/>
            <w:r>
              <w:rPr>
                <w:rFonts w:hint="eastAsia" w:ascii="Times New Roman"/>
                <w:highlight w:val="none"/>
              </w:rPr>
              <w:t>9</w:t>
            </w:r>
            <w:r>
              <w:rPr>
                <w:rFonts w:ascii="Times New Roman"/>
                <w:highlight w:val="none"/>
              </w:rPr>
              <w:t xml:space="preserve">.4 </w:t>
            </w:r>
            <w:r>
              <w:rPr>
                <w:rFonts w:hint="eastAsia" w:ascii="Times New Roman"/>
                <w:highlight w:val="none"/>
              </w:rPr>
              <w:t>费用结算</w:t>
            </w:r>
            <w:bookmarkEnd w:id="1"/>
          </w:p>
          <w:p w14:paraId="5F8778E3">
            <w:pPr>
              <w:spacing w:line="360" w:lineRule="auto"/>
              <w:rPr>
                <w:szCs w:val="21"/>
                <w:highlight w:val="none"/>
              </w:rPr>
            </w:pPr>
            <w:r>
              <w:rPr>
                <w:rFonts w:hint="eastAsia"/>
                <w:highlight w:val="none"/>
              </w:rPr>
              <w:t>增加以下内容到第9.4款：</w:t>
            </w:r>
          </w:p>
          <w:p w14:paraId="7E38898D">
            <w:pPr>
              <w:pStyle w:val="3"/>
              <w:spacing w:line="360" w:lineRule="auto"/>
              <w:ind w:left="0" w:leftChars="0" w:firstLine="0" w:firstLineChars="0"/>
              <w:rPr>
                <w:rFonts w:hAnsi="宋体"/>
                <w:szCs w:val="21"/>
                <w:highlight w:val="none"/>
                <w:u w:val="single"/>
              </w:rPr>
            </w:pPr>
            <w:r>
              <w:rPr>
                <w:rFonts w:hint="eastAsia" w:hAnsi="宋体"/>
                <w:szCs w:val="21"/>
                <w:highlight w:val="none"/>
              </w:rPr>
              <w:t>12.4.5 本合同</w:t>
            </w:r>
            <w:r>
              <w:rPr>
                <w:rFonts w:hAnsi="宋体"/>
                <w:szCs w:val="21"/>
                <w:highlight w:val="none"/>
              </w:rPr>
              <w:t>采用</w:t>
            </w:r>
            <w:permStart w:id="8" w:edGrp="everyone"/>
            <w:r>
              <w:rPr>
                <w:rFonts w:hint="eastAsia" w:hAnsi="宋体"/>
                <w:szCs w:val="21"/>
                <w:highlight w:val="none"/>
                <w:u w:val="single"/>
              </w:rPr>
              <w:t xml:space="preserve">  </w:t>
            </w:r>
            <w:r>
              <w:rPr>
                <w:rFonts w:hAnsi="宋体"/>
                <w:szCs w:val="21"/>
                <w:highlight w:val="none"/>
                <w:u w:val="single"/>
              </w:rPr>
              <w:t>总价</w:t>
            </w:r>
            <w:r>
              <w:rPr>
                <w:rFonts w:hint="eastAsia" w:hAnsi="宋体"/>
                <w:szCs w:val="21"/>
                <w:highlight w:val="none"/>
                <w:u w:val="single"/>
              </w:rPr>
              <w:t xml:space="preserve"> </w:t>
            </w:r>
            <w:permEnd w:id="8"/>
            <w:r>
              <w:rPr>
                <w:rFonts w:hint="eastAsia" w:hAnsi="宋体"/>
                <w:szCs w:val="21"/>
                <w:highlight w:val="none"/>
                <w:u w:val="single"/>
              </w:rPr>
              <w:t xml:space="preserve"> </w:t>
            </w:r>
            <w:r>
              <w:rPr>
                <w:rFonts w:hAnsi="宋体"/>
                <w:szCs w:val="21"/>
                <w:highlight w:val="none"/>
              </w:rPr>
              <w:t>形式，</w:t>
            </w:r>
            <w:r>
              <w:rPr>
                <w:rFonts w:hint="eastAsia" w:hAnsi="宋体"/>
                <w:szCs w:val="21"/>
                <w:highlight w:val="none"/>
              </w:rPr>
              <w:t>最终合同结算价为：</w:t>
            </w:r>
            <w:permStart w:id="9" w:edGrp="everyone"/>
            <w:r>
              <w:rPr>
                <w:rFonts w:hint="eastAsia" w:hAnsi="宋体"/>
                <w:szCs w:val="21"/>
                <w:highlight w:val="none"/>
                <w:u w:val="single"/>
              </w:rPr>
              <w:t>审定的初步设计概算</w:t>
            </w:r>
            <w:r>
              <w:rPr>
                <w:rFonts w:hint="eastAsia"/>
                <w:szCs w:val="21"/>
                <w:highlight w:val="none"/>
                <w:u w:val="single"/>
              </w:rPr>
              <w:t>（或施工图设计预算）</w:t>
            </w:r>
            <w:r>
              <w:rPr>
                <w:rFonts w:hint="eastAsia" w:hAnsi="宋体"/>
                <w:szCs w:val="21"/>
                <w:highlight w:val="none"/>
                <w:u w:val="single"/>
              </w:rPr>
              <w:t>为基数计算出的监理费×（1-投标下浮率 ）。</w:t>
            </w:r>
          </w:p>
          <w:p w14:paraId="50824456">
            <w:pPr>
              <w:pStyle w:val="3"/>
              <w:spacing w:line="360" w:lineRule="auto"/>
              <w:ind w:left="0" w:leftChars="0" w:firstLine="420" w:firstLineChars="200"/>
              <w:rPr>
                <w:rFonts w:hint="eastAsia" w:hAnsi="宋体"/>
                <w:szCs w:val="21"/>
                <w:highlight w:val="none"/>
              </w:rPr>
            </w:pPr>
            <w:r>
              <w:rPr>
                <w:rFonts w:hint="eastAsia" w:hAnsi="宋体"/>
                <w:szCs w:val="21"/>
                <w:highlight w:val="none"/>
                <w:u w:val="single"/>
              </w:rPr>
              <w:t>因规模变化需要调整可研、初设、施工图的，结算价按调整后批复的初设概算</w:t>
            </w:r>
            <w:r>
              <w:rPr>
                <w:rFonts w:hint="eastAsia"/>
                <w:szCs w:val="21"/>
                <w:highlight w:val="none"/>
                <w:u w:val="single"/>
              </w:rPr>
              <w:t>（或施工图设计预算）</w:t>
            </w:r>
            <w:r>
              <w:rPr>
                <w:rFonts w:hint="eastAsia" w:hAnsi="宋体"/>
                <w:szCs w:val="21"/>
                <w:highlight w:val="none"/>
                <w:u w:val="single"/>
              </w:rPr>
              <w:t>对应的监理费用×（1-投标下浮率）进行结算</w:t>
            </w:r>
            <w:r>
              <w:rPr>
                <w:rFonts w:hint="eastAsia" w:hAnsi="宋体"/>
                <w:szCs w:val="21"/>
                <w:highlight w:val="none"/>
              </w:rPr>
              <w:t>。</w:t>
            </w:r>
          </w:p>
          <w:permEnd w:id="9"/>
          <w:p w14:paraId="18055C88">
            <w:pPr>
              <w:pStyle w:val="2"/>
              <w:ind w:left="0" w:leftChars="0" w:firstLine="0" w:firstLineChars="0"/>
              <w:rPr>
                <w:rFonts w:hint="eastAsia"/>
                <w:highlight w:val="none"/>
              </w:rPr>
            </w:pPr>
          </w:p>
          <w:p w14:paraId="03982B43">
            <w:pPr>
              <w:pStyle w:val="2"/>
              <w:rPr>
                <w:rFonts w:hint="default"/>
                <w:highlight w:val="none"/>
                <w:lang w:val="en-US" w:eastAsia="zh-CN"/>
              </w:rPr>
            </w:pPr>
          </w:p>
        </w:tc>
        <w:tc>
          <w:tcPr>
            <w:tcW w:w="5832" w:type="dxa"/>
            <w:noWrap w:val="0"/>
            <w:vAlign w:val="top"/>
          </w:tcPr>
          <w:p w14:paraId="37AD57EE">
            <w:pPr>
              <w:jc w:val="left"/>
              <w:rPr>
                <w:rFonts w:hint="eastAsia" w:ascii="Times New Roman"/>
                <w:highlight w:val="none"/>
              </w:rPr>
            </w:pPr>
            <w:r>
              <w:rPr>
                <w:rFonts w:hint="eastAsia"/>
                <w:highlight w:val="none"/>
                <w:lang w:val="en-US" w:eastAsia="zh-CN"/>
              </w:rPr>
              <w:t xml:space="preserve">第三节专用合同条款 </w:t>
            </w:r>
            <w:r>
              <w:rPr>
                <w:rFonts w:hint="eastAsia" w:ascii="Times New Roman"/>
                <w:highlight w:val="none"/>
              </w:rPr>
              <w:t>9</w:t>
            </w:r>
            <w:r>
              <w:rPr>
                <w:rFonts w:ascii="Times New Roman"/>
                <w:highlight w:val="none"/>
              </w:rPr>
              <w:t xml:space="preserve">.4 </w:t>
            </w:r>
            <w:r>
              <w:rPr>
                <w:rFonts w:hint="eastAsia" w:ascii="Times New Roman"/>
                <w:highlight w:val="none"/>
              </w:rPr>
              <w:t>费用结算</w:t>
            </w:r>
          </w:p>
          <w:p w14:paraId="4F28F1F5">
            <w:pPr>
              <w:spacing w:line="360" w:lineRule="auto"/>
              <w:rPr>
                <w:color w:val="auto"/>
                <w:szCs w:val="21"/>
                <w:highlight w:val="none"/>
              </w:rPr>
            </w:pPr>
            <w:r>
              <w:rPr>
                <w:rFonts w:hint="eastAsia"/>
                <w:color w:val="auto"/>
                <w:highlight w:val="none"/>
              </w:rPr>
              <w:t>增加以下内容到第9.4款：</w:t>
            </w:r>
          </w:p>
          <w:p w14:paraId="06D5F674">
            <w:pPr>
              <w:pStyle w:val="3"/>
              <w:spacing w:line="360" w:lineRule="auto"/>
              <w:ind w:left="0" w:leftChars="0" w:firstLine="0" w:firstLineChars="0"/>
              <w:rPr>
                <w:rFonts w:hint="eastAsia" w:hAnsi="宋体"/>
                <w:color w:val="auto"/>
                <w:szCs w:val="21"/>
                <w:highlight w:val="none"/>
                <w:u w:val="single"/>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Ansi="宋体"/>
                <w:color w:val="auto"/>
                <w:szCs w:val="21"/>
                <w:highlight w:val="none"/>
                <w:u w:val="single"/>
              </w:rPr>
              <w:t>总价</w:t>
            </w:r>
            <w:r>
              <w:rPr>
                <w:rFonts w:hint="eastAsia" w:hAnsi="宋体"/>
                <w:color w:val="auto"/>
                <w:szCs w:val="21"/>
                <w:highlight w:val="none"/>
                <w:u w:val="single"/>
              </w:rPr>
              <w:t xml:space="preserve">  </w:t>
            </w:r>
            <w:r>
              <w:rPr>
                <w:rFonts w:hAnsi="宋体"/>
                <w:color w:val="auto"/>
                <w:szCs w:val="21"/>
                <w:highlight w:val="none"/>
              </w:rPr>
              <w:t>形式，</w:t>
            </w:r>
            <w:r>
              <w:rPr>
                <w:rFonts w:hint="eastAsia" w:hAnsi="宋体"/>
                <w:color w:val="auto"/>
                <w:szCs w:val="21"/>
                <w:highlight w:val="none"/>
              </w:rPr>
              <w:t>最终合同结算价为：</w:t>
            </w:r>
            <w:r>
              <w:rPr>
                <w:rFonts w:hint="eastAsia" w:ascii="宋体" w:hAnsi="宋体" w:cs="Arial"/>
                <w:color w:val="auto"/>
                <w:highlight w:val="none"/>
                <w:u w:val="single"/>
              </w:rPr>
              <w:t>（审定初步设计概算监理费+ 初设概算监理计费范围以外的监理工作费用）×（1-投标下浮率）±合同内约定且实际发生的相关奖罚费用 + 招标代理服务费</w:t>
            </w:r>
            <w:r>
              <w:rPr>
                <w:rFonts w:hint="eastAsia" w:hAnsi="宋体"/>
                <w:color w:val="auto"/>
                <w:szCs w:val="21"/>
                <w:highlight w:val="none"/>
                <w:u w:val="single"/>
              </w:rPr>
              <w:t>。</w:t>
            </w:r>
          </w:p>
          <w:p w14:paraId="3FB1050D">
            <w:pPr>
              <w:pStyle w:val="3"/>
              <w:spacing w:line="360" w:lineRule="auto"/>
              <w:ind w:left="0" w:leftChars="0" w:firstLine="0" w:firstLineChars="0"/>
              <w:rPr>
                <w:rFonts w:hint="eastAsia" w:hAnsi="宋体"/>
                <w:color w:val="auto"/>
                <w:szCs w:val="21"/>
                <w:highlight w:val="none"/>
              </w:rPr>
            </w:pPr>
            <w:r>
              <w:rPr>
                <w:rFonts w:hint="eastAsia" w:hAnsi="宋体"/>
                <w:color w:val="auto"/>
                <w:szCs w:val="21"/>
                <w:highlight w:val="none"/>
              </w:rPr>
              <w:t>其中：</w:t>
            </w:r>
          </w:p>
          <w:p w14:paraId="2F7B9F6D">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551DC33F">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因规模变化需要调整可研、初设、施工图的，结算价按</w:t>
            </w:r>
            <w:r>
              <w:rPr>
                <w:rFonts w:hint="eastAsia" w:ascii="宋体" w:hAnsi="宋体" w:cs="Arial"/>
                <w:color w:val="auto"/>
                <w:highlight w:val="none"/>
                <w:u w:val="single"/>
              </w:rPr>
              <w:t>调整后批复的初设概算对应参与阶段的监理费用×（1-投标下浮率）</w:t>
            </w:r>
            <w:r>
              <w:rPr>
                <w:rFonts w:hint="eastAsia" w:ascii="宋体" w:hAnsi="宋体" w:cs="Arial"/>
                <w:color w:val="auto"/>
                <w:highlight w:val="none"/>
              </w:rPr>
              <w:t>进行结算。</w:t>
            </w:r>
          </w:p>
          <w:p w14:paraId="3B0F674D">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29B8C83C">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（3）招标代理服务费按实际支付给招标代理的费用为准，监理人可在预付款申请或进度款申请时同时申请支付。</w:t>
            </w:r>
          </w:p>
          <w:p w14:paraId="5B7EE410">
            <w:pPr>
              <w:pStyle w:val="3"/>
              <w:spacing w:line="360" w:lineRule="auto"/>
              <w:ind w:left="0" w:leftChars="0" w:firstLine="0" w:firstLineChars="0"/>
              <w:rPr>
                <w:rFonts w:hint="default" w:ascii="Calibri" w:hAnsi="Calibri" w:eastAsia="宋体" w:cs="Times New Roman"/>
                <w:kern w:val="2"/>
                <w:sz w:val="21"/>
                <w:szCs w:val="24"/>
                <w:highlight w:val="none"/>
                <w:lang w:val="en-US" w:eastAsia="zh-CN" w:bidi="ar-SA"/>
              </w:rPr>
            </w:pPr>
            <w:r>
              <w:rPr>
                <w:rFonts w:hint="eastAsia" w:ascii="宋体" w:hAnsi="宋体" w:cs="Arial"/>
                <w:color w:val="auto"/>
                <w:highlight w:val="none"/>
              </w:rPr>
              <w:t>（4）投标下浮率（%）＝（1-投标报价/最高投标限价）×100%</w:t>
            </w:r>
          </w:p>
        </w:tc>
      </w:tr>
      <w:tr w14:paraId="2F00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3520232">
            <w:pPr>
              <w:jc w:val="center"/>
              <w:rPr>
                <w:rFonts w:hint="default"/>
                <w:highlight w:val="none"/>
                <w:vertAlign w:val="baseline"/>
                <w:lang w:val="en-US" w:eastAsia="zh-CN"/>
              </w:rPr>
            </w:pPr>
            <w:r>
              <w:rPr>
                <w:rFonts w:hint="eastAsia"/>
                <w:highlight w:val="none"/>
                <w:vertAlign w:val="baseline"/>
                <w:lang w:val="en-US" w:eastAsia="zh-CN"/>
              </w:rPr>
              <w:t>5</w:t>
            </w:r>
          </w:p>
        </w:tc>
        <w:tc>
          <w:tcPr>
            <w:tcW w:w="3313" w:type="dxa"/>
            <w:noWrap w:val="0"/>
            <w:vAlign w:val="top"/>
          </w:tcPr>
          <w:p w14:paraId="2D78242D">
            <w:pPr>
              <w:pStyle w:val="2"/>
              <w:ind w:left="0" w:leftChars="0" w:firstLine="0" w:firstLineChars="0"/>
              <w:rPr>
                <w:rFonts w:ascii="Times New Roman" w:hAnsi="Times New Roman"/>
                <w:highlight w:val="none"/>
              </w:rPr>
            </w:pPr>
            <w:r>
              <w:rPr>
                <w:rFonts w:hint="eastAsia"/>
                <w:highlight w:val="none"/>
                <w:lang w:val="en-US" w:eastAsia="zh-CN"/>
              </w:rPr>
              <w:t>第二节</w:t>
            </w:r>
            <w:r>
              <w:rPr>
                <w:rFonts w:hint="eastAsia"/>
                <w:color w:val="FF0000"/>
                <w:highlight w:val="none"/>
                <w:lang w:val="en-US" w:eastAsia="zh-CN"/>
              </w:rPr>
              <w:t>通</w:t>
            </w:r>
            <w:r>
              <w:rPr>
                <w:rFonts w:hint="eastAsia"/>
                <w:highlight w:val="none"/>
                <w:lang w:val="en-US" w:eastAsia="zh-CN"/>
              </w:rPr>
              <w:t>用合同条款</w:t>
            </w:r>
            <w:bookmarkStart w:id="2" w:name="_Toc13855"/>
            <w:r>
              <w:rPr>
                <w:rFonts w:ascii="Times New Roman" w:hAnsi="Times New Roman"/>
                <w:highlight w:val="none"/>
              </w:rPr>
              <w:t>1</w:t>
            </w:r>
            <w:r>
              <w:rPr>
                <w:rFonts w:hint="eastAsia" w:ascii="Times New Roman" w:hAnsi="Times New Roman"/>
                <w:highlight w:val="none"/>
              </w:rPr>
              <w:t>2</w:t>
            </w:r>
            <w:r>
              <w:rPr>
                <w:rFonts w:ascii="Times New Roman" w:hAnsi="Times New Roman"/>
                <w:highlight w:val="none"/>
              </w:rPr>
              <w:t>. 争议的解决</w:t>
            </w:r>
            <w:bookmarkEnd w:id="2"/>
          </w:p>
          <w:p w14:paraId="6832B303">
            <w:pPr>
              <w:spacing w:line="360" w:lineRule="auto"/>
              <w:rPr>
                <w:szCs w:val="21"/>
                <w:highlight w:val="none"/>
              </w:rPr>
            </w:pPr>
            <w:r>
              <w:rPr>
                <w:rFonts w:hint="eastAsia"/>
                <w:highlight w:val="none"/>
              </w:rPr>
              <w:t>替换以下内容到第12款：</w:t>
            </w:r>
          </w:p>
          <w:p w14:paraId="5511059E">
            <w:pPr>
              <w:spacing w:line="360" w:lineRule="auto"/>
              <w:rPr>
                <w:szCs w:val="21"/>
                <w:highlight w:val="none"/>
              </w:rPr>
            </w:pPr>
            <w:r>
              <w:rPr>
                <w:szCs w:val="21"/>
                <w:highlight w:val="none"/>
              </w:rPr>
              <w:t>委托人和</w:t>
            </w:r>
            <w:r>
              <w:rPr>
                <w:rFonts w:hint="eastAsia"/>
                <w:highlight w:val="none"/>
              </w:rPr>
              <w:t>监理</w:t>
            </w:r>
            <w:r>
              <w:rPr>
                <w:szCs w:val="21"/>
                <w:highlight w:val="none"/>
              </w:rPr>
              <w:t>人在履行合同中发生争议的，可以友好协商解决。合同当事人友好协商解决不成的，</w:t>
            </w:r>
            <w:r>
              <w:rPr>
                <w:rFonts w:hint="eastAsia"/>
                <w:szCs w:val="21"/>
                <w:highlight w:val="none"/>
              </w:rPr>
              <w:t>按</w:t>
            </w:r>
            <w:r>
              <w:rPr>
                <w:szCs w:val="21"/>
                <w:highlight w:val="none"/>
              </w:rPr>
              <w:t>下列方式</w:t>
            </w:r>
            <w:permStart w:id="10" w:edGrp="everyone"/>
            <w:r>
              <w:rPr>
                <w:rFonts w:hint="eastAsia"/>
                <w:szCs w:val="21"/>
                <w:highlight w:val="none"/>
                <w:u w:val="single"/>
              </w:rPr>
              <w:t xml:space="preserve">    </w:t>
            </w:r>
            <w:permEnd w:id="10"/>
            <w:r>
              <w:rPr>
                <w:szCs w:val="21"/>
                <w:highlight w:val="none"/>
              </w:rPr>
              <w:t>解决：</w:t>
            </w:r>
          </w:p>
          <w:p w14:paraId="1DDDB5C8">
            <w:pPr>
              <w:spacing w:line="360" w:lineRule="auto"/>
              <w:rPr>
                <w:szCs w:val="21"/>
                <w:highlight w:val="none"/>
              </w:rPr>
            </w:pPr>
            <w:r>
              <w:rPr>
                <w:rFonts w:hint="eastAsia"/>
                <w:szCs w:val="21"/>
                <w:highlight w:val="none"/>
              </w:rPr>
              <w:t>（1）向</w:t>
            </w:r>
            <w:permStart w:id="11" w:edGrp="everyone"/>
            <w:r>
              <w:rPr>
                <w:rFonts w:hint="eastAsia"/>
                <w:szCs w:val="21"/>
                <w:highlight w:val="none"/>
                <w:u w:val="single"/>
              </w:rPr>
              <w:t xml:space="preserve">            </w:t>
            </w:r>
            <w:permEnd w:id="11"/>
            <w:r>
              <w:rPr>
                <w:rFonts w:hint="eastAsia"/>
                <w:szCs w:val="21"/>
                <w:highlight w:val="none"/>
              </w:rPr>
              <w:t>仲裁委员会申请仲裁；</w:t>
            </w:r>
          </w:p>
          <w:p w14:paraId="3A81E949">
            <w:pPr>
              <w:spacing w:line="360" w:lineRule="auto"/>
              <w:rPr>
                <w:rFonts w:hint="eastAsia"/>
                <w:szCs w:val="21"/>
                <w:highlight w:val="none"/>
              </w:rPr>
            </w:pPr>
            <w:r>
              <w:rPr>
                <w:rFonts w:hint="eastAsia"/>
                <w:szCs w:val="21"/>
                <w:highlight w:val="none"/>
              </w:rPr>
              <w:t>（2）向</w:t>
            </w:r>
            <w:permStart w:id="12" w:edGrp="everyone"/>
            <w:r>
              <w:rPr>
                <w:rFonts w:hint="eastAsia"/>
                <w:szCs w:val="21"/>
                <w:highlight w:val="none"/>
                <w:u w:val="single"/>
              </w:rPr>
              <w:t>建设单位所在地</w:t>
            </w:r>
            <w:permEnd w:id="12"/>
            <w:r>
              <w:rPr>
                <w:rFonts w:hint="eastAsia"/>
                <w:szCs w:val="21"/>
                <w:highlight w:val="none"/>
              </w:rPr>
              <w:t>人民法院</w:t>
            </w:r>
            <w:r>
              <w:rPr>
                <w:szCs w:val="21"/>
                <w:highlight w:val="none"/>
              </w:rPr>
              <w:t>提起诉讼</w:t>
            </w:r>
            <w:r>
              <w:rPr>
                <w:rFonts w:hint="eastAsia"/>
                <w:szCs w:val="21"/>
                <w:highlight w:val="none"/>
              </w:rPr>
              <w:t>。</w:t>
            </w:r>
          </w:p>
          <w:p w14:paraId="46FB1611">
            <w:pPr>
              <w:pStyle w:val="2"/>
              <w:ind w:left="0" w:leftChars="0" w:firstLine="0" w:firstLineChars="0"/>
              <w:rPr>
                <w:rFonts w:hint="default" w:ascii="Times New Roman" w:hAnsi="Times New Roman"/>
                <w:highlight w:val="none"/>
                <w:lang w:val="en-US" w:eastAsia="zh-CN"/>
              </w:rPr>
            </w:pPr>
          </w:p>
        </w:tc>
        <w:tc>
          <w:tcPr>
            <w:tcW w:w="5832" w:type="dxa"/>
            <w:noWrap w:val="0"/>
            <w:vAlign w:val="top"/>
          </w:tcPr>
          <w:p w14:paraId="3D762432">
            <w:pPr>
              <w:pStyle w:val="2"/>
              <w:ind w:left="0" w:leftChars="0" w:firstLine="0" w:firstLineChars="0"/>
              <w:rPr>
                <w:rFonts w:ascii="Times New Roman" w:hAnsi="Times New Roman"/>
                <w:highlight w:val="none"/>
              </w:rPr>
            </w:pPr>
            <w:r>
              <w:rPr>
                <w:rFonts w:hint="eastAsia"/>
                <w:highlight w:val="none"/>
                <w:lang w:val="en-US" w:eastAsia="zh-CN"/>
              </w:rPr>
              <w:t>第二节</w:t>
            </w:r>
            <w:r>
              <w:rPr>
                <w:rFonts w:hint="eastAsia"/>
                <w:color w:val="FF0000"/>
                <w:highlight w:val="none"/>
                <w:lang w:val="en-US" w:eastAsia="zh-CN"/>
              </w:rPr>
              <w:t>通用</w:t>
            </w:r>
            <w:r>
              <w:rPr>
                <w:rFonts w:hint="eastAsia"/>
                <w:highlight w:val="none"/>
                <w:lang w:val="en-US" w:eastAsia="zh-CN"/>
              </w:rPr>
              <w:t>合同条款</w:t>
            </w:r>
            <w:r>
              <w:rPr>
                <w:rFonts w:ascii="Times New Roman" w:hAnsi="Times New Roman"/>
                <w:highlight w:val="none"/>
              </w:rPr>
              <w:t>1</w:t>
            </w:r>
            <w:r>
              <w:rPr>
                <w:rFonts w:hint="eastAsia" w:ascii="Times New Roman" w:hAnsi="Times New Roman"/>
                <w:highlight w:val="none"/>
              </w:rPr>
              <w:t>2</w:t>
            </w:r>
            <w:r>
              <w:rPr>
                <w:rFonts w:ascii="Times New Roman" w:hAnsi="Times New Roman"/>
                <w:highlight w:val="none"/>
              </w:rPr>
              <w:t>. 争议的解决</w:t>
            </w:r>
          </w:p>
          <w:p w14:paraId="4F89C75F">
            <w:pPr>
              <w:spacing w:line="360" w:lineRule="auto"/>
              <w:rPr>
                <w:color w:val="auto"/>
                <w:szCs w:val="21"/>
                <w:highlight w:val="none"/>
              </w:rPr>
            </w:pPr>
            <w:r>
              <w:rPr>
                <w:rFonts w:hint="eastAsia"/>
                <w:color w:val="auto"/>
                <w:highlight w:val="none"/>
              </w:rPr>
              <w:t>替换以下内容到第12款：</w:t>
            </w:r>
          </w:p>
          <w:p w14:paraId="1D28AB1A">
            <w:pPr>
              <w:spacing w:line="360" w:lineRule="auto"/>
              <w:rPr>
                <w:color w:val="auto"/>
                <w:szCs w:val="21"/>
                <w:highlight w:val="none"/>
              </w:rPr>
            </w:pPr>
            <w:r>
              <w:rPr>
                <w:color w:val="auto"/>
                <w:szCs w:val="21"/>
                <w:highlight w:val="none"/>
              </w:rPr>
              <w:t>委托人和</w:t>
            </w:r>
            <w:r>
              <w:rPr>
                <w:rFonts w:hint="eastAsia"/>
                <w:color w:val="auto"/>
                <w:highlight w:val="none"/>
              </w:rPr>
              <w:t>监理</w:t>
            </w:r>
            <w:r>
              <w:rPr>
                <w:color w:val="auto"/>
                <w:szCs w:val="21"/>
                <w:highlight w:val="none"/>
              </w:rPr>
              <w:t>人在履行合同中发生争议的，可以友好协商解决。合同当事人友好协商解决不成的，</w:t>
            </w:r>
            <w:r>
              <w:rPr>
                <w:rFonts w:hint="eastAsia"/>
                <w:color w:val="auto"/>
                <w:szCs w:val="21"/>
                <w:highlight w:val="none"/>
              </w:rPr>
              <w:t>按</w:t>
            </w:r>
            <w:r>
              <w:rPr>
                <w:color w:val="auto"/>
                <w:szCs w:val="21"/>
                <w:highlight w:val="none"/>
              </w:rPr>
              <w:t>下列方式</w:t>
            </w:r>
            <w:r>
              <w:rPr>
                <w:rFonts w:hint="eastAsia"/>
                <w:color w:val="auto"/>
                <w:szCs w:val="21"/>
                <w:highlight w:val="none"/>
                <w:u w:val="single"/>
              </w:rPr>
              <w:t xml:space="preserve">  （2）  </w:t>
            </w:r>
            <w:r>
              <w:rPr>
                <w:color w:val="auto"/>
                <w:szCs w:val="21"/>
                <w:highlight w:val="none"/>
              </w:rPr>
              <w:t>解决：</w:t>
            </w:r>
          </w:p>
          <w:p w14:paraId="6C3E5AD1">
            <w:pPr>
              <w:spacing w:line="360" w:lineRule="auto"/>
              <w:rPr>
                <w:color w:val="auto"/>
                <w:szCs w:val="21"/>
                <w:highlight w:val="none"/>
              </w:rPr>
            </w:pPr>
            <w:r>
              <w:rPr>
                <w:rFonts w:hint="eastAsia"/>
                <w:color w:val="auto"/>
                <w:szCs w:val="21"/>
                <w:highlight w:val="none"/>
              </w:rPr>
              <w:t>（1）向</w:t>
            </w:r>
            <w:r>
              <w:rPr>
                <w:rFonts w:hint="eastAsia"/>
                <w:color w:val="auto"/>
                <w:szCs w:val="21"/>
                <w:highlight w:val="none"/>
                <w:u w:val="single"/>
              </w:rPr>
              <w:t xml:space="preserve">            </w:t>
            </w:r>
            <w:r>
              <w:rPr>
                <w:rFonts w:hint="eastAsia"/>
                <w:color w:val="auto"/>
                <w:szCs w:val="21"/>
                <w:highlight w:val="none"/>
              </w:rPr>
              <w:t>仲裁委员会申请仲裁；</w:t>
            </w:r>
          </w:p>
          <w:p w14:paraId="463C8E44">
            <w:pPr>
              <w:spacing w:line="360" w:lineRule="auto"/>
              <w:rPr>
                <w:color w:val="auto"/>
                <w:szCs w:val="21"/>
                <w:highlight w:val="none"/>
              </w:rPr>
            </w:pPr>
            <w:r>
              <w:rPr>
                <w:rFonts w:hint="eastAsia"/>
                <w:color w:val="auto"/>
                <w:szCs w:val="21"/>
                <w:highlight w:val="none"/>
              </w:rPr>
              <w:t>（2）向</w:t>
            </w:r>
            <w:r>
              <w:rPr>
                <w:rFonts w:hint="eastAsia"/>
                <w:color w:val="auto"/>
                <w:szCs w:val="21"/>
                <w:highlight w:val="none"/>
                <w:u w:val="single"/>
              </w:rPr>
              <w:t>建设单位所在地</w:t>
            </w:r>
            <w:r>
              <w:rPr>
                <w:rFonts w:hint="eastAsia"/>
                <w:color w:val="auto"/>
                <w:szCs w:val="21"/>
                <w:highlight w:val="none"/>
              </w:rPr>
              <w:t>人民法院</w:t>
            </w:r>
            <w:r>
              <w:rPr>
                <w:color w:val="auto"/>
                <w:szCs w:val="21"/>
                <w:highlight w:val="none"/>
              </w:rPr>
              <w:t>提起诉讼</w:t>
            </w:r>
            <w:r>
              <w:rPr>
                <w:rFonts w:hint="eastAsia"/>
                <w:color w:val="auto"/>
                <w:szCs w:val="21"/>
                <w:highlight w:val="none"/>
              </w:rPr>
              <w:t>。</w:t>
            </w:r>
          </w:p>
          <w:p w14:paraId="10F8DF1B">
            <w:pPr>
              <w:pStyle w:val="2"/>
              <w:rPr>
                <w:rFonts w:hint="default"/>
                <w:highlight w:val="none"/>
                <w:lang w:val="en-US" w:eastAsia="zh-CN"/>
              </w:rPr>
            </w:pPr>
          </w:p>
        </w:tc>
      </w:tr>
      <w:tr w14:paraId="0784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42FF53B6">
            <w:pPr>
              <w:jc w:val="center"/>
              <w:rPr>
                <w:rFonts w:hint="default" w:ascii="Calibri" w:hAnsi="Calibri" w:eastAsia="宋体" w:cs="Times New Roman"/>
                <w:kern w:val="2"/>
                <w:sz w:val="21"/>
                <w:szCs w:val="22"/>
                <w:highlight w:val="none"/>
                <w:vertAlign w:val="baseline"/>
                <w:lang w:val="en-US" w:eastAsia="zh-CN" w:bidi="ar-SA"/>
              </w:rPr>
            </w:pPr>
            <w:r>
              <w:rPr>
                <w:rFonts w:hint="eastAsia" w:cs="Times New Roman"/>
                <w:kern w:val="2"/>
                <w:sz w:val="21"/>
                <w:szCs w:val="22"/>
                <w:highlight w:val="none"/>
                <w:vertAlign w:val="baseline"/>
                <w:lang w:val="en-US" w:eastAsia="zh-CN" w:bidi="ar-SA"/>
              </w:rPr>
              <w:t>6</w:t>
            </w:r>
          </w:p>
        </w:tc>
        <w:tc>
          <w:tcPr>
            <w:tcW w:w="3313" w:type="dxa"/>
            <w:noWrap w:val="0"/>
            <w:vAlign w:val="top"/>
          </w:tcPr>
          <w:p w14:paraId="11D430FD">
            <w:pPr>
              <w:jc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增加附件：广州局保密协议（2022版）</w:t>
            </w:r>
          </w:p>
        </w:tc>
        <w:tc>
          <w:tcPr>
            <w:tcW w:w="5832" w:type="dxa"/>
            <w:noWrap w:val="0"/>
            <w:vAlign w:val="top"/>
          </w:tcPr>
          <w:p w14:paraId="1B410A79">
            <w:pPr>
              <w:jc w:val="left"/>
              <w:rPr>
                <w:rFonts w:hint="default" w:ascii="Calibri" w:hAnsi="Calibri" w:eastAsia="宋体" w:cs="Times New Roman"/>
                <w:kern w:val="2"/>
                <w:sz w:val="21"/>
                <w:szCs w:val="22"/>
                <w:highlight w:val="none"/>
                <w:lang w:val="en-US" w:eastAsia="zh-CN" w:bidi="ar-SA"/>
              </w:rPr>
            </w:pPr>
            <w:r>
              <w:rPr>
                <w:rFonts w:hint="eastAsia" w:ascii="宋体" w:hAnsi="宋体" w:eastAsia="宋体" w:cs="宋体"/>
                <w:color w:val="000000" w:themeColor="text1"/>
                <w:sz w:val="21"/>
                <w:szCs w:val="21"/>
                <w:highlight w:val="none"/>
                <w:lang w:eastAsia="zh-CN"/>
                <w14:textFill>
                  <w14:solidFill>
                    <w14:schemeClr w14:val="tx1"/>
                  </w14:solidFill>
                </w14:textFill>
              </w:rPr>
              <w:t>详见附件：</w:t>
            </w:r>
            <w:r>
              <w:rPr>
                <w:rFonts w:hint="eastAsia" w:ascii="宋体" w:hAnsi="宋体" w:eastAsia="宋体" w:cs="宋体"/>
                <w:color w:val="000000" w:themeColor="text1"/>
                <w:sz w:val="21"/>
                <w:szCs w:val="21"/>
                <w:highlight w:val="none"/>
                <w14:textFill>
                  <w14:solidFill>
                    <w14:schemeClr w14:val="tx1"/>
                  </w14:solidFill>
                </w14:textFill>
              </w:rPr>
              <w:t>广州局保密协议（2022版）</w:t>
            </w:r>
          </w:p>
        </w:tc>
      </w:tr>
      <w:tr w14:paraId="1A13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2F58EA83">
            <w:pPr>
              <w:jc w:val="center"/>
              <w:rPr>
                <w:rFonts w:hint="default"/>
                <w:highlight w:val="none"/>
                <w:vertAlign w:val="baseline"/>
                <w:lang w:val="en-US" w:eastAsia="zh-CN"/>
              </w:rPr>
            </w:pPr>
            <w:r>
              <w:rPr>
                <w:rFonts w:hint="eastAsia"/>
                <w:highlight w:val="none"/>
                <w:vertAlign w:val="baseline"/>
                <w:lang w:val="en-US" w:eastAsia="zh-CN"/>
              </w:rPr>
              <w:t>7</w:t>
            </w:r>
          </w:p>
        </w:tc>
        <w:tc>
          <w:tcPr>
            <w:tcW w:w="3313" w:type="dxa"/>
            <w:noWrap w:val="0"/>
            <w:vAlign w:val="top"/>
          </w:tcPr>
          <w:p w14:paraId="1F14C8B6">
            <w:pPr>
              <w:jc w:val="center"/>
              <w:rPr>
                <w:rFonts w:hint="default"/>
                <w:highlight w:val="none"/>
                <w:lang w:val="en-US" w:eastAsia="zh-CN"/>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增加附件：廉洁协议书（2022版）</w:t>
            </w:r>
          </w:p>
        </w:tc>
        <w:tc>
          <w:tcPr>
            <w:tcW w:w="5832" w:type="dxa"/>
            <w:noWrap w:val="0"/>
            <w:vAlign w:val="top"/>
          </w:tcPr>
          <w:p w14:paraId="43FF1AE5">
            <w:pPr>
              <w:jc w:val="left"/>
              <w:rPr>
                <w:rFonts w:hint="default"/>
                <w:highlight w:val="none"/>
                <w:lang w:val="en-US" w:eastAsia="zh-CN"/>
              </w:rPr>
            </w:pPr>
            <w:r>
              <w:rPr>
                <w:rFonts w:hint="eastAsia" w:ascii="宋体" w:hAnsi="宋体" w:eastAsia="宋体" w:cs="宋体"/>
                <w:color w:val="000000" w:themeColor="text1"/>
                <w:sz w:val="21"/>
                <w:szCs w:val="21"/>
                <w:highlight w:val="none"/>
                <w:lang w:eastAsia="zh-CN"/>
                <w14:textFill>
                  <w14:solidFill>
                    <w14:schemeClr w14:val="tx1"/>
                  </w14:solidFill>
                </w14:textFill>
              </w:rPr>
              <w:t>详见附件：</w:t>
            </w:r>
            <w:r>
              <w:rPr>
                <w:rFonts w:hint="eastAsia" w:ascii="宋体" w:hAnsi="宋体" w:eastAsia="宋体" w:cs="宋体"/>
                <w:color w:val="000000" w:themeColor="text1"/>
                <w:sz w:val="21"/>
                <w:szCs w:val="21"/>
                <w:highlight w:val="none"/>
                <w14:textFill>
                  <w14:solidFill>
                    <w14:schemeClr w14:val="tx1"/>
                  </w14:solidFill>
                </w14:textFill>
              </w:rPr>
              <w:t>廉洁协议书（2022版）</w:t>
            </w:r>
          </w:p>
        </w:tc>
      </w:tr>
      <w:tr w14:paraId="4331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473DE6C4">
            <w:pPr>
              <w:jc w:val="center"/>
              <w:rPr>
                <w:rFonts w:hint="eastAsia"/>
                <w:highlight w:val="none"/>
                <w:vertAlign w:val="baseline"/>
                <w:lang w:val="en-US" w:eastAsia="zh-CN"/>
              </w:rPr>
            </w:pPr>
          </w:p>
        </w:tc>
        <w:tc>
          <w:tcPr>
            <w:tcW w:w="3313" w:type="dxa"/>
            <w:noWrap w:val="0"/>
            <w:vAlign w:val="top"/>
          </w:tcPr>
          <w:p w14:paraId="24074499">
            <w:pPr>
              <w:pStyle w:val="2"/>
              <w:rPr>
                <w:rFonts w:hint="default"/>
                <w:highlight w:val="none"/>
                <w:lang w:val="en-US" w:eastAsia="zh-CN"/>
              </w:rPr>
            </w:pPr>
          </w:p>
        </w:tc>
        <w:tc>
          <w:tcPr>
            <w:tcW w:w="5832" w:type="dxa"/>
            <w:noWrap w:val="0"/>
            <w:vAlign w:val="top"/>
          </w:tcPr>
          <w:p w14:paraId="684448FA">
            <w:pPr>
              <w:pStyle w:val="2"/>
              <w:rPr>
                <w:rFonts w:hint="default"/>
                <w:highlight w:val="none"/>
                <w:lang w:val="en-US" w:eastAsia="zh-CN"/>
              </w:rPr>
            </w:pPr>
          </w:p>
        </w:tc>
      </w:tr>
    </w:tbl>
    <w:p w14:paraId="2960B2AE">
      <w:pPr>
        <w:rPr>
          <w:rFonts w:hint="eastAsia"/>
          <w:highlight w:val="none"/>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7A0FD6"/>
    <w:rsid w:val="02265F72"/>
    <w:rsid w:val="02292AB1"/>
    <w:rsid w:val="04A24F71"/>
    <w:rsid w:val="06B27E8C"/>
    <w:rsid w:val="06FB60E3"/>
    <w:rsid w:val="076F3B3B"/>
    <w:rsid w:val="0AC402B6"/>
    <w:rsid w:val="0BC07002"/>
    <w:rsid w:val="0BC649E1"/>
    <w:rsid w:val="0E2F4C02"/>
    <w:rsid w:val="0F81532F"/>
    <w:rsid w:val="107144D2"/>
    <w:rsid w:val="116419AD"/>
    <w:rsid w:val="11DF6CFE"/>
    <w:rsid w:val="13383335"/>
    <w:rsid w:val="14440D4B"/>
    <w:rsid w:val="15056A61"/>
    <w:rsid w:val="16081A60"/>
    <w:rsid w:val="18E57496"/>
    <w:rsid w:val="1A386933"/>
    <w:rsid w:val="1B663F82"/>
    <w:rsid w:val="1C2D4629"/>
    <w:rsid w:val="1C43636C"/>
    <w:rsid w:val="1F653C49"/>
    <w:rsid w:val="20735046"/>
    <w:rsid w:val="216F4D5B"/>
    <w:rsid w:val="22C211E9"/>
    <w:rsid w:val="23B738BA"/>
    <w:rsid w:val="24F737D8"/>
    <w:rsid w:val="27DF65F5"/>
    <w:rsid w:val="291E47B0"/>
    <w:rsid w:val="2CA17C08"/>
    <w:rsid w:val="2EEF36B4"/>
    <w:rsid w:val="2FF65FF8"/>
    <w:rsid w:val="300D195C"/>
    <w:rsid w:val="30BF37B5"/>
    <w:rsid w:val="33B200AF"/>
    <w:rsid w:val="33E61BE2"/>
    <w:rsid w:val="34AE71C3"/>
    <w:rsid w:val="353F5266"/>
    <w:rsid w:val="361736AD"/>
    <w:rsid w:val="36D200CF"/>
    <w:rsid w:val="379951F8"/>
    <w:rsid w:val="38382DC3"/>
    <w:rsid w:val="38DE045C"/>
    <w:rsid w:val="3B3955B9"/>
    <w:rsid w:val="3BF24D81"/>
    <w:rsid w:val="3BFE7BEA"/>
    <w:rsid w:val="3C4A35F1"/>
    <w:rsid w:val="44982260"/>
    <w:rsid w:val="44D414C9"/>
    <w:rsid w:val="46472D5E"/>
    <w:rsid w:val="48C05C32"/>
    <w:rsid w:val="496A657E"/>
    <w:rsid w:val="49843C09"/>
    <w:rsid w:val="4B3A1BDA"/>
    <w:rsid w:val="4B4250B2"/>
    <w:rsid w:val="4BF83760"/>
    <w:rsid w:val="4C8349B8"/>
    <w:rsid w:val="52174D13"/>
    <w:rsid w:val="52F07F1E"/>
    <w:rsid w:val="55C3156A"/>
    <w:rsid w:val="58AE4D2A"/>
    <w:rsid w:val="58B0490A"/>
    <w:rsid w:val="5B0320E2"/>
    <w:rsid w:val="5B9E2EC4"/>
    <w:rsid w:val="5EC34021"/>
    <w:rsid w:val="608606DE"/>
    <w:rsid w:val="610E324A"/>
    <w:rsid w:val="61F31EFD"/>
    <w:rsid w:val="63066BC7"/>
    <w:rsid w:val="642A5BE2"/>
    <w:rsid w:val="64672037"/>
    <w:rsid w:val="65945D8D"/>
    <w:rsid w:val="66C35559"/>
    <w:rsid w:val="68570F93"/>
    <w:rsid w:val="6885745C"/>
    <w:rsid w:val="6A287B5E"/>
    <w:rsid w:val="6B303A1A"/>
    <w:rsid w:val="6C584AFC"/>
    <w:rsid w:val="6DAA2FDF"/>
    <w:rsid w:val="6E121228"/>
    <w:rsid w:val="70D1495F"/>
    <w:rsid w:val="70ED510D"/>
    <w:rsid w:val="744C523A"/>
    <w:rsid w:val="754C6F3B"/>
    <w:rsid w:val="75B11AFF"/>
    <w:rsid w:val="75D32619"/>
    <w:rsid w:val="77B91397"/>
    <w:rsid w:val="780B6A75"/>
    <w:rsid w:val="78A06277"/>
    <w:rsid w:val="79DC24D9"/>
    <w:rsid w:val="7D0F76D8"/>
    <w:rsid w:val="7E3420E0"/>
    <w:rsid w:val="7FC46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w:basedOn w:val="9"/>
    <w:next w:val="9"/>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2002</Words>
  <Characters>2121</Characters>
  <Lines>0</Lines>
  <Paragraphs>0</Paragraphs>
  <TotalTime>0</TotalTime>
  <ScaleCrop>false</ScaleCrop>
  <LinksUpToDate>false</LinksUpToDate>
  <CharactersWithSpaces>2278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2025-12-26T04:02:37Z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A701782E8557480D96C64035722C6490_13</vt:lpwstr>
  </property>
  <property fmtid="{D5CDD505-2E9C-101B-9397-08002B2CF9AE}" pid="4" name="KSOTemplateDocerSaveRecord">
    <vt:lpwstr>eyJoZGlkIjoiNGQxZGUyZmQ5MDU5MjhiNzUxNWY4N2Q0ZGU2Y2VhOTgiLCJ1c2VySWQiOiI3MDM5OTYzMzMifQ==</vt:lpwstr>
  </property>
</Properties>
</file>