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default" w:ascii="宋体" w:hAnsi="宋体" w:eastAsia="宋体" w:cs="宋体"/>
          <w:b/>
          <w:bCs/>
          <w:snapToGrid w:val="0"/>
          <w:color w:val="auto"/>
          <w:kern w:val="0"/>
          <w:sz w:val="32"/>
          <w:szCs w:val="32"/>
          <w:highlight w:val="none"/>
          <w:u w:val="none"/>
          <w:lang w:val="en-US" w:eastAsia="zh-CN"/>
        </w:rPr>
      </w:pPr>
      <w:bookmarkStart w:id="0" w:name="_Toc8445"/>
      <w:r>
        <w:rPr>
          <w:rFonts w:hint="eastAsia" w:hAnsi="宋体" w:cs="宋体"/>
          <w:b/>
          <w:bCs/>
          <w:snapToGrid w:val="0"/>
          <w:color w:val="auto"/>
          <w:kern w:val="0"/>
          <w:sz w:val="32"/>
          <w:szCs w:val="32"/>
          <w:highlight w:val="none"/>
          <w:u w:val="none"/>
          <w:lang w:val="en-US" w:eastAsia="zh-CN"/>
        </w:rPr>
        <w:t>标的2</w:t>
      </w:r>
    </w:p>
    <w:p>
      <w:pPr>
        <w:pStyle w:val="11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jc w:val="both"/>
        <w:textAlignment w:val="auto"/>
        <w:outlineLvl w:val="0"/>
        <w:rPr>
          <w:rFonts w:hint="eastAsia" w:hAnsi="宋体" w:cs="宋体"/>
          <w:b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hAnsi="宋体" w:cs="宋体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  <w:t>项目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  <w:t>名称：</w:t>
      </w:r>
      <w:r>
        <w:rPr>
          <w:rFonts w:hint="eastAsia" w:hAnsi="宋体" w:cs="宋体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  <w:t>河源龙川220千伏登云输变电工程施工（标段一）</w:t>
      </w:r>
    </w:p>
    <w:tbl>
      <w:tblPr>
        <w:tblStyle w:val="14"/>
        <w:tblW w:w="73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2911"/>
        <w:gridCol w:w="34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eastAsia="宋体" w:cs="宋体"/>
                <w:b/>
                <w:bCs/>
                <w:snapToGrid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项目建设单位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广东电网有限责任公司河源供电局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项目建设地点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leftChars="0" w:right="0" w:rightChars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广东省河源市龙川县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可研批复文号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广电规〔2025〕136 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项目核准、备案文号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河发改核准〔2025〕19号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资金落实情况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广电规〔2025〕167 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初设批复文号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广电建〔2025〕204 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施工图预算批复文号</w:t>
            </w:r>
          </w:p>
        </w:tc>
        <w:tc>
          <w:tcPr>
            <w:tcW w:w="34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前期的设计或咨询服务单位名称</w:t>
            </w:r>
          </w:p>
        </w:tc>
        <w:tc>
          <w:tcPr>
            <w:tcW w:w="34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00" w:lineRule="exact"/>
              <w:ind w:left="0" w:leftChars="0" w:right="0" w:rightChars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  <w:t>河源联禾电力规划设计有限公司</w:t>
            </w:r>
            <w:r>
              <w:rPr>
                <w:rFonts w:hint="eastAsia" w:ascii="宋体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  <w:t>/广东明源勘测设计有限公司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9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项目监理单位</w:t>
            </w:r>
          </w:p>
        </w:tc>
        <w:tc>
          <w:tcPr>
            <w:tcW w:w="34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0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  <w:t>暂无</w:t>
            </w:r>
          </w:p>
        </w:tc>
      </w:tr>
    </w:tbl>
    <w:p>
      <w:pPr>
        <w:pStyle w:val="11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562" w:firstLineChars="200"/>
        <w:jc w:val="center"/>
        <w:textAlignment w:val="auto"/>
        <w:outlineLvl w:val="0"/>
        <w:rPr>
          <w:rFonts w:hint="default" w:hAnsi="宋体" w:cs="宋体"/>
          <w:b/>
          <w:color w:val="auto"/>
          <w:sz w:val="28"/>
          <w:szCs w:val="28"/>
          <w:highlight w:val="none"/>
          <w:lang w:val="en-US" w:eastAsia="zh-CN"/>
        </w:rPr>
      </w:pPr>
    </w:p>
    <w:bookmarkEnd w:id="0"/>
    <w:p>
      <w:pPr>
        <w:pStyle w:val="11"/>
        <w:keepNext w:val="0"/>
        <w:keepLines w:val="0"/>
        <w:pageBreakBefore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outlineLvl w:val="0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建设规模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※架空线路部分：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（一）220kV线路工程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1.220kV龙热线解口入登云站线路工程：本工程位于河源市佗城镇、黄布镇、鹤市镇、通衢镇、登云镇。解口220kV龙川至热水单回线路入登云站,形成220kV龙川至登云单回线路及220kV登云至热水单回线路。新建220kV单回架空线路长约1×（24.5+15.9）km，220kV/110kV混压四回挂单回导线线路长约1×6.2km（为110kV线路预留2回横担、为远期220kV线路预留1回横担），220kV同塔双回挂单回导线线路长约1×2.5km。导线截面2×630mm2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（二）110kV线路工程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1.110kV佗鹤线解口入登云站线路工程（架线部分）：本工程位于河源市佗城镇、黄布镇、鹤市镇、通衢镇及登云镇。解口110kV佗城至鹤市单回线路入登云站,形成110kV登云至佗城单回线路及110kV登云至鹤市单回线路。新建110kV同塔双回架空线路长约2×8.3km，利用同期建设220kV/110kV混压四回线路挂双回导线长约2×6.2km，架空线路导线截面1×400mm2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2.110kV老莲线解口入登云站线路工程（架空部分）：本工程位于河源市老隆镇、通衢镇及登云镇。解口110kV老隆至莲塘单回线路入登云站,形成110kV登云至老隆单回线路及110kV登云至莲塘单回线路。新建110kV同塔双回架空线路长约2×11.3km，架空线路导线截面1×400mm2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3.110kV通鹤线解口入登云站线路工程（架空部分）：本工程位于河源市登云镇。解口110kV通衢至鹤市单回线路入登云站,形成110kV登云至通衢单回线路及110kV登云至鹤市单回线路。新建110kV单回架空线路长约1×（0.15+0.12）km，110kV同塔双回架空线路长约2×0.15km，恢复110kV霍通线0.12km，架空线路导线截面1×400mm2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※电缆线路部分：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1.110kV佗鹤线解口入登云站线路工程（电缆部分）：本工程位于河源市佗城镇、黄布镇、鹤市镇、通衢镇及登云镇。解口110kV佗城至鹤市单回线路入登云站,形成110kV登云至佗城单回线路及110kV登云至鹤市单回线路。新建110kV双回电缆线路长约2×0.11km，电缆铜导体截面1200mm2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2.110kV老莲线解口入登云站线路工程（电缆部分）：本工程位于河源市老隆镇、通衢镇及登云镇。解口110kV老隆至莲塘单回线路入登云站,形成110kV登云至老隆单回线路及110kV登云至莲塘单回线路。新建110kV双回电缆线路长约2×0.165km，电缆铜导体截面1200mm2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3.110kV通鹤线解口入登云站线路工程（电缆部分）：本工程位于河源市登云镇。解口110kV通衢至鹤市单回线路入登云站,形成110kV登云至通衢单回线路及110kV登云至鹤市单回线路。新建110kV双回电缆线路长约2×0.16km，电缆铜导体截面1200mm2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※通信部分：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1.配套通信设备工程：①登云站配置2套STM-64 ASON设备，对侧站配置相应的光接口单元，接入河源地区传输ASON网、传输新网B；②登云站配置1套汇聚路由器、1套接入路由器、1套接入交换机，接入调度数据网A、B平面；③登云站配置1套汇聚路由器、1套IV区交换机、1套IV区防火墙、1套WAPI站端系统，接入河源地区综合数据网；④登云站配置1套汇聚交换机，接入河源地区配电数据网；⑤登云站配置1套接入交换机，接入河源地区语音视频网；⑥登云站配置2套E1接入网关设备、1套软交换IAD模块、1套统一通信终端；⑦登云站配置2套-48V/300A/800Ah通信电源，按双重化配置；⑧登云站配置2套通信电源监测装置及蓄电池远程核容装置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2.220kV龙热线解口入登云站线路工程（OPGW光缆部分）：解口龙川站至热水站220kV线路上的1条光缆入登云站，沿登云站至龙川站解口线路双回路段建设2条48芯OPGW光缆、单回路段建设1条48芯OPGW光缆，沿登云站至热水站解口线路四回路段建设2条96芯OPGW光缆、单回路段建设1条48芯OPGW光缆，与原有光缆接续，形成登云站至龙川站、热水站的各1条光缆路由，新建光缆路径长度约龙川站侧2×2.5km+1×24.5km、热水站侧2×6.2km+1×15.9km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3.110kV老莲线解口入登云站线路工程（OPGW光缆部分）：解口老隆站至莲塘站110kV线路上的1条光缆入登云站，沿登云站至解口点新建线路建设2条48芯OPGW+管道光缆，与原有光缆接续，形成登云站至老隆站、莲塘站的各1条光缆路由，新建光缆路径长度约2×11.3km+2×0.165km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4.110kV通鹤线解口入登云站线路工程（OPGW光缆部分）：解口通衢站至鹤市站110kV线路上的1条光缆入登云站，沿登云站至解口点新建线路建设2条48芯OPGW+管道光缆，与原有光缆接续，形成登云站至通衢站、鹤市站的各1条光缆路由，新建光缆路径长度约2×0.3km+2×0.16km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5.110kV佗鹤线解口入登云站线路工程（OPGW光缆部分）：解口佗城站至鹤市站110kV线路上的1条光缆入登云站，沿登云站至解口点新建线路建设2条48芯OPGW光缆，相关光缆进行接续，形成登云站至佗城站、鹤市站的各1条光缆路由，新建光缆路径长度约2×8.3km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具体建设规模以施工图纸为准。</w:t>
      </w:r>
    </w:p>
    <w:p>
      <w:pPr>
        <w:pStyle w:val="11"/>
        <w:keepNext w:val="0"/>
        <w:keepLines w:val="0"/>
        <w:pageBreakBefore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outlineLvl w:val="0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采购范围</w:t>
      </w:r>
      <w:bookmarkStart w:id="1" w:name="施工招标范围综合"/>
    </w:p>
    <w:bookmarkEnd w:id="1"/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※架空线路部分：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基础工程：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基础工程材料工地运输，土石方工程，基础砌筑，基础防腐，基础防护，地基处理；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杆塔工程：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杆塔工程材料工地运输，杆塔组立；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接地工程：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接地工程材料工地运输，接地土石方，接地安装；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架线工程：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架线工程材料工地运输，导地线架设（不含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OPGW接续与测量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），导地线跨越架设（其中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☑带电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跨越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  <w:t>10千伏及以下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电力线路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□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带电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跨越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  <w:t>35千伏及以上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电力线路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□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跨越铁路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☑高速公路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☑一、二级公路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 w:ascii="宋体" w:hAnsi="宋体" w:eastAsia="宋体" w:cs="宋体"/>
          <w:bCs/>
          <w:strike w:val="0"/>
          <w:dstrike w:val="0"/>
          <w:color w:val="auto"/>
          <w:sz w:val="21"/>
          <w:szCs w:val="21"/>
          <w:highlight w:val="none"/>
        </w:rPr>
        <w:t>河流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），其他架线工程；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附件安装工程：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附件安装工程材料工地运输，绝缘子串及金具安装；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（六）辅助工程：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永久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施工道路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修筑，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尖峰、施工基面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土石方工程，护坡、挡土墙及排洪沟，基础永久性围堰，索道站安装，杆塔上装的各类辅助生产装置（其中：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☑标志牌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装，☑防坠地装置，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□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防鸟刺装置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），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输、送电线路试运；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（七）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其他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费用工程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☑拆除工程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val="en-US"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□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施工临时占用地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补偿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（含牵引场地租用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□施工临时占用地（含牵引场地）青苗赔偿，□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临时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施工道路的青苗赔偿，□塔基占地及其青苗赔偿，□架线青苗赔偿，□接地线铺设的青苗赔偿，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塔基绿化恢复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，☑临时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施工道路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修筑费（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val="en-US" w:eastAsia="zh-CN"/>
        </w:rPr>
        <w:t>单价/总价均报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），输电线路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跨越补偿费（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□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none"/>
        </w:rPr>
        <w:t>跨越铁路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none"/>
          <w:lang w:eastAsia="zh-CN"/>
        </w:rPr>
        <w:t>补偿费、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none"/>
        </w:rPr>
        <w:t>跨越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高速公路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none"/>
          <w:lang w:eastAsia="zh-CN"/>
        </w:rPr>
        <w:t>补偿费、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none"/>
        </w:rPr>
        <w:t>跨越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一、二级公路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none"/>
          <w:lang w:eastAsia="zh-CN"/>
        </w:rPr>
        <w:t>补偿费、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□跨越通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none"/>
        </w:rPr>
        <w:t>航河流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none"/>
          <w:lang w:eastAsia="zh-CN"/>
        </w:rPr>
        <w:t>补偿费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）；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/>
        <w:jc w:val="left"/>
        <w:textAlignment w:val="auto"/>
        <w:rPr>
          <w:rFonts w:hint="default" w:ascii="宋体" w:hAnsi="宋体" w:eastAsia="宋体" w:cs="宋体"/>
          <w:bCs/>
          <w:color w:val="auto"/>
          <w:sz w:val="21"/>
          <w:szCs w:val="21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（八）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其他：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  <w:t>☑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  <w:lang w:val="en-US" w:eastAsia="zh-CN"/>
        </w:rPr>
        <w:t>水土保持补偿费、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  <w:t>☑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  <w:lang w:val="en-US" w:eastAsia="zh-CN"/>
        </w:rPr>
        <w:t>水保措施、 ☑10千伏迁移补偿、☑低压及通信迁移补偿</w:t>
      </w:r>
      <w:r>
        <w:rPr>
          <w:rFonts w:hint="eastAsia" w:ascii="宋体" w:hAnsi="宋体" w:cs="宋体"/>
          <w:bCs/>
          <w:color w:val="auto"/>
          <w:sz w:val="21"/>
          <w:szCs w:val="21"/>
          <w:highlight w:val="none"/>
          <w:u w:val="single"/>
          <w:lang w:val="en-US" w:eastAsia="zh-CN"/>
        </w:rPr>
        <w:t>、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  <w:lang w:val="en-US" w:eastAsia="zh-CN"/>
        </w:rPr>
        <w:t>☑跨越高速公路补偿费单价按20.00万元/处、☑跨越一、二级公路补偿费单价按3.20万元/处包干计列，正式合同价编制时需依据此条款计算费用；☑通航河流封航、铁路跨越及措施费用及手续费不计入正式合同价，按实际发生的费用（经发包人确认）结算。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60" w:lineRule="auto"/>
        <w:ind w:firstLine="422" w:firstLineChars="200"/>
        <w:jc w:val="left"/>
        <w:textAlignment w:val="auto"/>
        <w:rPr>
          <w:rFonts w:hint="eastAsia" w:hAnsi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hAnsi="宋体" w:cs="宋体"/>
          <w:b/>
          <w:bCs/>
          <w:color w:val="auto"/>
          <w:sz w:val="21"/>
          <w:szCs w:val="21"/>
          <w:highlight w:val="none"/>
        </w:rPr>
        <w:t>※电缆线路部分：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b/>
          <w:color w:val="auto"/>
          <w:sz w:val="21"/>
          <w:szCs w:val="21"/>
          <w:highlight w:val="none"/>
        </w:rPr>
        <w:t>施工图纸范围内的电缆</w:t>
      </w: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</w:rPr>
        <w:t>建筑：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rPr>
          <w:rFonts w:hint="eastAsia"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b/>
          <w:bCs/>
          <w:color w:val="auto"/>
          <w:sz w:val="21"/>
          <w:szCs w:val="21"/>
          <w:highlight w:val="none"/>
        </w:rPr>
        <w:t>（一）土石方：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材料运输，土石方挖填，开挖路面，修复路面，隧道挖填；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rPr>
          <w:rFonts w:hint="eastAsia"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b/>
          <w:bCs/>
          <w:color w:val="auto"/>
          <w:sz w:val="21"/>
          <w:szCs w:val="21"/>
          <w:highlight w:val="none"/>
        </w:rPr>
        <w:t>（二）构筑物：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材料运输，直埋电缆垫层及盖板，电缆沟、浅槽，工作井，电缆埋管，隧道，隧道工作井，栈桥，基础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b/>
          <w:bCs/>
          <w:color w:val="auto"/>
          <w:sz w:val="21"/>
          <w:szCs w:val="21"/>
          <w:highlight w:val="none"/>
        </w:rPr>
        <w:t>（三）辅助工程</w:t>
      </w:r>
      <w:r>
        <w:rPr>
          <w:rFonts w:hint="eastAsia" w:hAnsi="宋体"/>
          <w:b/>
          <w:bCs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材料运输，通风，照明，排水，消防，围护，地基处理；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60" w:lineRule="auto"/>
        <w:ind w:firstLine="422" w:firstLineChars="200"/>
        <w:textAlignment w:val="auto"/>
        <w:rPr>
          <w:rFonts w:hint="eastAsia" w:hAnsi="宋体" w:cs="宋体"/>
          <w:color w:val="auto"/>
          <w:sz w:val="21"/>
          <w:szCs w:val="21"/>
          <w:highlight w:val="none"/>
        </w:rPr>
      </w:pPr>
      <w:r>
        <w:rPr>
          <w:rFonts w:hint="eastAsia" w:hAnsi="宋体" w:cs="宋体"/>
          <w:b/>
          <w:color w:val="auto"/>
          <w:sz w:val="21"/>
          <w:szCs w:val="21"/>
          <w:highlight w:val="none"/>
        </w:rPr>
        <w:t>（四）其他费用工程：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 w:hAnsi="宋体" w:cs="宋体"/>
          <w:color w:val="auto"/>
          <w:sz w:val="21"/>
          <w:szCs w:val="21"/>
          <w:highlight w:val="none"/>
        </w:rPr>
        <w:t>白蚁防治，</w:t>
      </w:r>
      <w:r>
        <w:rPr>
          <w:rFonts w:hint="eastAsia" w:hAnsi="宋体" w:cs="宋体"/>
          <w:color w:val="auto"/>
          <w:sz w:val="21"/>
          <w:szCs w:val="21"/>
          <w:highlight w:val="none"/>
          <w:lang w:eastAsia="zh-CN"/>
        </w:rPr>
        <w:t>□</w:t>
      </w:r>
      <w:r>
        <w:rPr>
          <w:rFonts w:hint="eastAsia" w:hAnsi="宋体" w:cs="宋体"/>
          <w:color w:val="auto"/>
          <w:sz w:val="21"/>
          <w:szCs w:val="21"/>
          <w:highlight w:val="none"/>
        </w:rPr>
        <w:t>拆除工程，</w:t>
      </w:r>
      <w:r>
        <w:rPr>
          <w:rFonts w:hint="eastAsia" w:hAnsi="宋体" w:cs="宋体"/>
          <w:color w:val="auto"/>
          <w:sz w:val="21"/>
          <w:szCs w:val="21"/>
          <w:highlight w:val="none"/>
          <w:lang w:eastAsia="zh-CN"/>
        </w:rPr>
        <w:t>□</w:t>
      </w:r>
      <w:r>
        <w:rPr>
          <w:rFonts w:hint="eastAsia" w:hAnsi="宋体" w:cs="宋体"/>
          <w:color w:val="auto"/>
          <w:sz w:val="21"/>
          <w:szCs w:val="21"/>
          <w:highlight w:val="none"/>
        </w:rPr>
        <w:t>电缆走廊绿化赔偿，</w:t>
      </w:r>
      <w:r>
        <w:rPr>
          <w:rFonts w:hint="eastAsia" w:hAnsi="宋体" w:cs="宋体"/>
          <w:color w:val="auto"/>
          <w:sz w:val="21"/>
          <w:szCs w:val="21"/>
          <w:highlight w:val="none"/>
          <w:lang w:eastAsia="zh-CN"/>
        </w:rPr>
        <w:t>□</w:t>
      </w:r>
      <w:r>
        <w:rPr>
          <w:rFonts w:hint="eastAsia" w:hAnsi="宋体" w:cs="宋体"/>
          <w:color w:val="auto"/>
          <w:sz w:val="21"/>
          <w:szCs w:val="21"/>
          <w:highlight w:val="none"/>
        </w:rPr>
        <w:t>沿线建（构）筑物的拆除，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 w:hAnsi="宋体" w:cs="宋体"/>
          <w:color w:val="auto"/>
          <w:sz w:val="21"/>
          <w:szCs w:val="21"/>
          <w:highlight w:val="none"/>
        </w:rPr>
        <w:t>与城市规划、市政、园林、交警、城监、公路等部门联系办理施工许可手续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，</w:t>
      </w:r>
      <w:r>
        <w:rPr>
          <w:rFonts w:hint="eastAsia" w:hAnsi="宋体" w:cs="宋体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施工</w:t>
      </w:r>
      <w:r>
        <w:rPr>
          <w:rFonts w:hint="eastAsia" w:hAnsi="宋体" w:cs="宋体"/>
          <w:color w:val="auto"/>
          <w:sz w:val="21"/>
          <w:szCs w:val="21"/>
          <w:highlight w:val="none"/>
        </w:rPr>
        <w:t>临时占用地补偿费；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rPr>
          <w:rFonts w:hint="eastAsia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b/>
          <w:color w:val="auto"/>
          <w:sz w:val="21"/>
          <w:szCs w:val="21"/>
          <w:highlight w:val="none"/>
        </w:rPr>
        <w:t>（五）其他：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single"/>
          <w:lang w:eastAsia="zh-CN"/>
        </w:rPr>
        <w:t>☑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u w:val="single"/>
          <w:lang w:val="en-US" w:eastAsia="zh-CN"/>
        </w:rPr>
        <w:t>施工期间道路临时占用、路面破复、人行道修复、地下市政下水道水井、通信管道、旧电缆迁移、绿化树木赔偿等工作均由中标承包方负责完成，施工期间道路临时占用、路面破复、人行道修复计入正式合同价；其中地下市政下水道水井、通信管道、旧电缆迁移、绿化树木赔偿费用不计入正式合同价，按项目实际发生的费用（经发包人确认）结算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/>
        <w:jc w:val="left"/>
        <w:textAlignment w:val="auto"/>
        <w:rPr>
          <w:rFonts w:hint="eastAsia" w:ascii="宋体" w:hAnsi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b/>
          <w:color w:val="auto"/>
          <w:sz w:val="21"/>
          <w:szCs w:val="21"/>
          <w:highlight w:val="none"/>
        </w:rPr>
        <w:t>施工图纸范围内的电缆</w:t>
      </w: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</w:rPr>
        <w:t>安装：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60" w:lineRule="auto"/>
        <w:ind w:firstLine="422" w:firstLineChars="200"/>
        <w:jc w:val="left"/>
        <w:textAlignment w:val="auto"/>
        <w:rPr>
          <w:rFonts w:hint="eastAsia"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</w:rPr>
        <w:t>（一）电缆桥、支架制作安装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：材料运输，电缆桥架，电缆支架；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</w:rPr>
        <w:t>（二）电缆敷设：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材料运输，直埋敷设，电缆沟、浅槽敷设，埋管内敷设，电缆隧道敷设，桥架敷设，栈桥敷设；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</w:rPr>
        <w:t>（三）电缆附件：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材料运输，终端头制作安装，中间接头制作安装，接地安装，设备安装，电缆保护管；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</w:rPr>
        <w:t>（四）电缆防火：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材料运输，构筑物防火，电缆本体防火；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</w:rPr>
        <w:t>（五）调试与试验：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电缆试验</w:t>
      </w:r>
      <w:r>
        <w:rPr>
          <w:rFonts w:hint="eastAsia"/>
          <w:color w:val="auto"/>
          <w:sz w:val="21"/>
          <w:szCs w:val="21"/>
          <w:highlight w:val="none"/>
        </w:rPr>
        <w:t>（其中：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电缆局部放电试验</w:t>
      </w:r>
      <w:r>
        <w:rPr>
          <w:rFonts w:hint="eastAsia"/>
          <w:color w:val="auto"/>
          <w:sz w:val="21"/>
          <w:szCs w:val="21"/>
          <w:highlight w:val="none"/>
        </w:rPr>
        <w:t>，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/>
          <w:color w:val="auto"/>
          <w:sz w:val="21"/>
          <w:szCs w:val="21"/>
          <w:highlight w:val="none"/>
        </w:rPr>
        <w:t>电缆参数测定）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，设备试验；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</w:rPr>
        <w:t>（六）电缆监测（控）系统：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材料运输，在线监测，安保监控；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rPr>
          <w:rFonts w:hint="eastAsia"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b/>
          <w:color w:val="auto"/>
          <w:sz w:val="21"/>
          <w:szCs w:val="21"/>
          <w:highlight w:val="none"/>
        </w:rPr>
        <w:t>（七）其他费用工程：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标志牌安装，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□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拆除工程，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线路牌挂牌；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/>
        <w:jc w:val="left"/>
        <w:textAlignment w:val="auto"/>
        <w:rPr>
          <w:rFonts w:hint="eastAsia" w:hAnsi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b/>
          <w:color w:val="auto"/>
          <w:sz w:val="21"/>
          <w:szCs w:val="21"/>
          <w:highlight w:val="none"/>
        </w:rPr>
        <w:t>（八）其他：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/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。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60" w:lineRule="auto"/>
        <w:ind w:firstLine="422" w:firstLineChars="200"/>
        <w:jc w:val="left"/>
        <w:textAlignment w:val="auto"/>
        <w:rPr>
          <w:rFonts w:hint="eastAsia" w:hAnsi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hAnsi="宋体" w:cs="宋体"/>
          <w:b/>
          <w:bCs/>
          <w:color w:val="auto"/>
          <w:sz w:val="21"/>
          <w:szCs w:val="21"/>
          <w:highlight w:val="none"/>
        </w:rPr>
        <w:t>※通信部分：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rPr>
          <w:rFonts w:hint="eastAsia" w:ascii="宋体" w:hAnsi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b/>
          <w:color w:val="auto"/>
          <w:sz w:val="21"/>
          <w:szCs w:val="21"/>
          <w:highlight w:val="none"/>
        </w:rPr>
        <w:t>变电站工程：</w:t>
      </w:r>
      <w:r>
        <w:rPr>
          <w:rFonts w:hint="eastAsia" w:ascii="宋体" w:hAnsi="宋体" w:cs="宋体"/>
          <w:bCs/>
          <w:color w:val="auto"/>
          <w:sz w:val="21"/>
          <w:szCs w:val="21"/>
          <w:highlight w:val="none"/>
        </w:rPr>
        <w:t>施工图纸范围内的通信设备安装及测试、光缆单盘测试、中继测试、接续、光缆及联络光缆敷设、通信子管敷设、通道开通及业务接入、割接等；设备、光缆及金具卸车清点、验收及保管，与施工相关的所有其他费用项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/>
          <w:color w:val="auto"/>
          <w:sz w:val="21"/>
          <w:szCs w:val="21"/>
          <w:highlight w:val="none"/>
          <w:lang w:val="en-US" w:eastAsia="zh-CN"/>
        </w:rPr>
        <w:t>架空</w:t>
      </w:r>
      <w:r>
        <w:rPr>
          <w:rFonts w:hint="eastAsia" w:ascii="宋体" w:hAnsi="宋体" w:cs="宋体"/>
          <w:b/>
          <w:color w:val="auto"/>
          <w:sz w:val="21"/>
          <w:szCs w:val="21"/>
          <w:highlight w:val="none"/>
        </w:rPr>
        <w:t>线路部分：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施工图纸范围内的光缆单盘测量、接续、全程测量；与施工相关的所有其他费用项目；不包含光缆架设、拆除、跨越及青苗赔偿。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default" w:ascii="宋体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/>
          <w:color w:val="auto"/>
          <w:sz w:val="21"/>
          <w:szCs w:val="21"/>
          <w:highlight w:val="none"/>
        </w:rPr>
        <w:t>电缆线路部分：</w:t>
      </w:r>
      <w:r>
        <w:rPr>
          <w:rFonts w:hint="eastAsia" w:ascii="宋体" w:hAnsi="宋体" w:cs="宋体"/>
          <w:bCs/>
          <w:color w:val="auto"/>
          <w:sz w:val="21"/>
          <w:szCs w:val="21"/>
          <w:highlight w:val="none"/>
        </w:rPr>
        <w:t>施工图纸范围内的光缆单盘测试、中继测试、接续、光缆及联络光缆敷设、通信子管敷设、通道开通及业务接入、割接等；光缆及金具卸车清点、验收及保管，与施工相关的所有其他费用项目</w:t>
      </w:r>
      <w:r>
        <w:rPr>
          <w:rFonts w:hint="default" w:ascii="宋体" w:hAnsi="宋体" w:cs="宋体"/>
          <w:color w:val="auto"/>
          <w:sz w:val="21"/>
          <w:szCs w:val="21"/>
          <w:highlight w:val="none"/>
        </w:rPr>
        <w:t>。</w:t>
      </w:r>
    </w:p>
    <w:p>
      <w:pPr>
        <w:pStyle w:val="11"/>
        <w:keepNext w:val="0"/>
        <w:keepLines w:val="0"/>
        <w:pageBreakBefore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outlineLvl w:val="0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承包方式</w:t>
      </w:r>
      <w:r>
        <w:rPr>
          <w:rFonts w:hint="eastAsia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※架空线路部分：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（一）甲供物资：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杆塔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（水泥杆），铁塔加固器装置，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高空防坠落装置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，攀爬机轨道，钢绞线，铝绞线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，导地线，绝缘子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、绝缘横担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，金具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，标准铁构件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，光缆，光缆金具，线路避雷器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，故障指示器，故障精确定位装置，监测装置，视频监控系统，防鸟装置，铜覆钢接地极，</w:t>
      </w:r>
      <w:r>
        <w:rPr>
          <w:rFonts w:hint="eastAsia" w:ascii="宋体" w:hAnsi="宋体" w:eastAsia="宋体" w:cs="宋体"/>
          <w:b w:val="0"/>
          <w:bCs/>
          <w:strike w:val="0"/>
          <w:dstrike w:val="0"/>
          <w:color w:val="auto"/>
          <w:sz w:val="21"/>
          <w:szCs w:val="21"/>
          <w:highlight w:val="none"/>
          <w:lang w:eastAsia="zh-CN"/>
        </w:rPr>
        <w:t>石墨基接地体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通用型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标志牌（包括：禁止攀登、高压危险、禁止抛物、高压危险等提醒类标志牌及相线牌、安装支架，不涉及资产名称、编号或位置）、警示灯（航空、航道）、航道牌及支架。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地脚螺栓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，☑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直升机巡视作业标志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牌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（二）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其他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甲供物资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/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※电缆线路部分：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建设单位提供部分设备及材料：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（一）甲供物资：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电力电缆，电缆终端头，电缆直通接头，电缆绝缘接头，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电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缆T接头，电缆固定夹，带保护器接地箱，直接接地箱，同轴电缆，接地线，回流线，接地箱，避雷器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，故障指示器，故障精确定位装置，监测装置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，光缆及光缆附件</w:t>
      </w:r>
      <w:r>
        <w:rPr>
          <w:rFonts w:hint="eastAsia" w:ascii="宋体" w:hAnsi="宋体" w:eastAsia="宋体" w:cs="宋体"/>
          <w:b w:val="0"/>
          <w:bCs/>
          <w:iCs/>
          <w:color w:val="auto"/>
          <w:sz w:val="21"/>
          <w:szCs w:val="21"/>
          <w:highlight w:val="none"/>
          <w:lang w:eastAsia="zh-CN"/>
        </w:rPr>
        <w:t>，电缆隧道装置（含电缆隧道综合监测系统、隧道专用LED灯具、电缆隧道巡检机器人轨道、电缆隧道智能巡检机器人、电缆防火防爆装置、电缆隧道立柱支架、电缆隧道户外动力箱（IP66）），隧道风机，海缆保护区航标，接头区灭火装置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电缆支架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（铝合金、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val="en-US" w:eastAsia="zh-CN"/>
        </w:rPr>
        <w:t>槽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钢、复合材质）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，电缆保护管材（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包括HDPE管、涂塑钢管、PVC管、MPP管）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、电缆管塞封堵器，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val="en-US" w:eastAsia="zh-CN"/>
        </w:rPr>
        <w:t>标准成品预制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电缆沟盖板（包括混凝土盖板和复合盖板）</w:t>
      </w:r>
      <w:r>
        <w:rPr>
          <w:rFonts w:hint="eastAsia" w:ascii="宋体" w:hAnsi="宋体" w:eastAsia="宋体" w:cs="宋体"/>
          <w:iCs/>
          <w:strike w:val="0"/>
          <w:dstrike w:val="0"/>
          <w:color w:val="auto"/>
          <w:sz w:val="21"/>
          <w:szCs w:val="21"/>
          <w:highlight w:val="none"/>
          <w:lang w:eastAsia="zh-CN"/>
        </w:rPr>
        <w:t>、智能围栏，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标志牌（电缆标志牌、警示牌、标示桩、走向标志、安装支架）。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u w:val="none"/>
          <w:lang w:val="en-US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□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装配式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电缆沟，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u w:val="none"/>
        </w:rPr>
        <w:t>□玻璃钢管。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（二）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其他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甲供物资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/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※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通信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部分：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建设单位提供部分设备及材料：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变电部分：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甲供物资：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信相关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设备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（含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光传输设备、无线设备、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电话、电池、监控、视频会议系统等），数据网设备，机架，通信电源，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通信光缆及其金具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，综合配线设备及材料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，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电缆保护管材（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HDPE管、涂塑钢管、PVC管、MPP管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。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其他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甲供物资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/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线路部分：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（一）甲供物资：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光缆。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（二）其他甲供物资：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u w:val="single"/>
          <w:lang w:val="en-US" w:eastAsia="zh-CN"/>
        </w:rPr>
        <w:t>☑光缆金具。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注：建设单位提供的设备、材料以合同附件（甲供设备材料明细表）为准。</w:t>
      </w:r>
    </w:p>
    <w:p>
      <w:pPr>
        <w:rPr>
          <w:rFonts w:hint="default"/>
          <w:color w:val="auto"/>
          <w:highlight w:val="none"/>
          <w:lang w:val="en-US"/>
        </w:rPr>
      </w:pPr>
    </w:p>
    <w:p>
      <w:pPr>
        <w:pStyle w:val="2"/>
        <w:rPr>
          <w:rFonts w:hint="eastAsia"/>
          <w:color w:val="auto"/>
          <w:highlight w:val="none"/>
          <w:lang w:val="en-US" w:eastAsia="zh-CN"/>
        </w:rPr>
      </w:pP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3F47E8"/>
    <w:multiLevelType w:val="singleLevel"/>
    <w:tmpl w:val="273F47E8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5AFE7F4F"/>
    <w:multiLevelType w:val="multilevel"/>
    <w:tmpl w:val="5AFE7F4F"/>
    <w:lvl w:ilvl="0" w:tentative="0">
      <w:start w:val="1"/>
      <w:numFmt w:val="chineseCounting"/>
      <w:suff w:val="nothing"/>
      <w:lvlText w:val="（%1）"/>
      <w:lvlJc w:val="left"/>
      <w:rPr>
        <w:rFonts w:hint="default"/>
        <w:u w:val="none" w:color="auto"/>
      </w:rPr>
    </w:lvl>
    <w:lvl w:ilvl="1" w:tentative="0">
      <w:start w:val="1"/>
      <w:numFmt w:val="decimal"/>
      <w:lvlText w:val=""/>
      <w:lvlJc w:val="left"/>
    </w:lvl>
    <w:lvl w:ilvl="2" w:tentative="0">
      <w:start w:val="1"/>
      <w:numFmt w:val="decimal"/>
      <w:lvlText w:val=""/>
      <w:lvlJc w:val="left"/>
    </w:lvl>
    <w:lvl w:ilvl="3" w:tentative="0">
      <w:start w:val="1"/>
      <w:numFmt w:val="decimal"/>
      <w:lvlText w:val=""/>
      <w:lvlJc w:val="left"/>
    </w:lvl>
    <w:lvl w:ilvl="4" w:tentative="0">
      <w:start w:val="1"/>
      <w:numFmt w:val="decimal"/>
      <w:lvlText w:val=""/>
      <w:lvlJc w:val="left"/>
    </w:lvl>
    <w:lvl w:ilvl="5" w:tentative="0">
      <w:start w:val="1"/>
      <w:numFmt w:val="decimal"/>
      <w:lvlText w:val=""/>
      <w:lvlJc w:val="left"/>
    </w:lvl>
    <w:lvl w:ilvl="6" w:tentative="0">
      <w:start w:val="1"/>
      <w:numFmt w:val="decimal"/>
      <w:lvlText w:val=""/>
      <w:lvlJc w:val="left"/>
    </w:lvl>
    <w:lvl w:ilvl="7" w:tentative="0">
      <w:start w:val="1"/>
      <w:numFmt w:val="decimal"/>
      <w:lvlText w:val=""/>
      <w:lvlJc w:val="left"/>
    </w:lvl>
    <w:lvl w:ilvl="8" w:tentative="0">
      <w:start w:val="1"/>
      <w:numFmt w:val="decimal"/>
      <w:lvlText w:val=""/>
      <w:lvlJc w:val="left"/>
    </w:lvl>
  </w:abstractNum>
  <w:abstractNum w:abstractNumId="2">
    <w:nsid w:val="5B0B691A"/>
    <w:multiLevelType w:val="multilevel"/>
    <w:tmpl w:val="5B0B691A"/>
    <w:lvl w:ilvl="0" w:tentative="0">
      <w:start w:val="1"/>
      <w:numFmt w:val="chineseCounting"/>
      <w:suff w:val="nothing"/>
      <w:lvlText w:val="（%1）"/>
      <w:lvlJc w:val="left"/>
      <w:rPr>
        <w:rFonts w:hint="default"/>
        <w:u w:val="none" w:color="auto"/>
      </w:rPr>
    </w:lvl>
    <w:lvl w:ilvl="1" w:tentative="0">
      <w:start w:val="1"/>
      <w:numFmt w:val="decimal"/>
      <w:lvlText w:val=""/>
      <w:lvlJc w:val="left"/>
    </w:lvl>
    <w:lvl w:ilvl="2" w:tentative="0">
      <w:start w:val="1"/>
      <w:numFmt w:val="decimal"/>
      <w:lvlText w:val=""/>
      <w:lvlJc w:val="left"/>
    </w:lvl>
    <w:lvl w:ilvl="3" w:tentative="0">
      <w:start w:val="1"/>
      <w:numFmt w:val="decimal"/>
      <w:lvlText w:val=""/>
      <w:lvlJc w:val="left"/>
    </w:lvl>
    <w:lvl w:ilvl="4" w:tentative="0">
      <w:start w:val="1"/>
      <w:numFmt w:val="decimal"/>
      <w:lvlText w:val=""/>
      <w:lvlJc w:val="left"/>
    </w:lvl>
    <w:lvl w:ilvl="5" w:tentative="0">
      <w:start w:val="1"/>
      <w:numFmt w:val="decimal"/>
      <w:lvlText w:val=""/>
      <w:lvlJc w:val="left"/>
    </w:lvl>
    <w:lvl w:ilvl="6" w:tentative="0">
      <w:start w:val="1"/>
      <w:numFmt w:val="decimal"/>
      <w:lvlText w:val=""/>
      <w:lvlJc w:val="left"/>
    </w:lvl>
    <w:lvl w:ilvl="7" w:tentative="0">
      <w:start w:val="1"/>
      <w:numFmt w:val="decimal"/>
      <w:lvlText w:val=""/>
      <w:lvlJc w:val="left"/>
    </w:lvl>
    <w:lvl w:ilvl="8" w:tentative="0">
      <w:start w:val="1"/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mOGUyZmFiZDQ3NmE5NzU1OWEyZWQxZGI0NDIzNTMifQ=="/>
  </w:docVars>
  <w:rsids>
    <w:rsidRoot w:val="00172A27"/>
    <w:rsid w:val="00503881"/>
    <w:rsid w:val="00675492"/>
    <w:rsid w:val="00C073B0"/>
    <w:rsid w:val="01000F1F"/>
    <w:rsid w:val="011C71A3"/>
    <w:rsid w:val="013E40BF"/>
    <w:rsid w:val="014D50AE"/>
    <w:rsid w:val="0270337E"/>
    <w:rsid w:val="0465127D"/>
    <w:rsid w:val="04D31677"/>
    <w:rsid w:val="050E07AE"/>
    <w:rsid w:val="05B87515"/>
    <w:rsid w:val="05E259E1"/>
    <w:rsid w:val="066165AE"/>
    <w:rsid w:val="068D71D9"/>
    <w:rsid w:val="07751D79"/>
    <w:rsid w:val="077730CD"/>
    <w:rsid w:val="09F62510"/>
    <w:rsid w:val="0BC07002"/>
    <w:rsid w:val="0BFE2889"/>
    <w:rsid w:val="0C6B30AA"/>
    <w:rsid w:val="0D0758F3"/>
    <w:rsid w:val="0D882D55"/>
    <w:rsid w:val="0D9432B7"/>
    <w:rsid w:val="0DBA7916"/>
    <w:rsid w:val="0E7F20D3"/>
    <w:rsid w:val="10A919C2"/>
    <w:rsid w:val="11444D6C"/>
    <w:rsid w:val="116419AD"/>
    <w:rsid w:val="11DF6CFE"/>
    <w:rsid w:val="11FC1228"/>
    <w:rsid w:val="1221206F"/>
    <w:rsid w:val="12617BA5"/>
    <w:rsid w:val="12CC4582"/>
    <w:rsid w:val="13C71878"/>
    <w:rsid w:val="142C4DA5"/>
    <w:rsid w:val="14440D4B"/>
    <w:rsid w:val="15056A61"/>
    <w:rsid w:val="15F1120D"/>
    <w:rsid w:val="16BE50DE"/>
    <w:rsid w:val="17241016"/>
    <w:rsid w:val="17311749"/>
    <w:rsid w:val="18B14F30"/>
    <w:rsid w:val="18E57496"/>
    <w:rsid w:val="190C67D7"/>
    <w:rsid w:val="193066EB"/>
    <w:rsid w:val="196B23E3"/>
    <w:rsid w:val="1A2F2F81"/>
    <w:rsid w:val="1B1435D1"/>
    <w:rsid w:val="1B663F82"/>
    <w:rsid w:val="1BA9108A"/>
    <w:rsid w:val="1C660CB1"/>
    <w:rsid w:val="1D592E11"/>
    <w:rsid w:val="1DDE16D6"/>
    <w:rsid w:val="1EA379B5"/>
    <w:rsid w:val="20E776A4"/>
    <w:rsid w:val="216F4D5B"/>
    <w:rsid w:val="22B30023"/>
    <w:rsid w:val="22BD2637"/>
    <w:rsid w:val="22D01CE9"/>
    <w:rsid w:val="23290A9A"/>
    <w:rsid w:val="24E46BF4"/>
    <w:rsid w:val="24F737D8"/>
    <w:rsid w:val="250E3A49"/>
    <w:rsid w:val="274170EE"/>
    <w:rsid w:val="2785030E"/>
    <w:rsid w:val="278F57AD"/>
    <w:rsid w:val="27D24D61"/>
    <w:rsid w:val="27E47C4B"/>
    <w:rsid w:val="28F46A2A"/>
    <w:rsid w:val="29156C10"/>
    <w:rsid w:val="296555D1"/>
    <w:rsid w:val="29A55C56"/>
    <w:rsid w:val="29FC239E"/>
    <w:rsid w:val="2BED7EC0"/>
    <w:rsid w:val="2BFF0E0F"/>
    <w:rsid w:val="2CD64FEA"/>
    <w:rsid w:val="2D8D50EF"/>
    <w:rsid w:val="2D8E3667"/>
    <w:rsid w:val="2E816236"/>
    <w:rsid w:val="2E9A5E18"/>
    <w:rsid w:val="2F362DFB"/>
    <w:rsid w:val="2F893A97"/>
    <w:rsid w:val="2FF65FF8"/>
    <w:rsid w:val="30035F08"/>
    <w:rsid w:val="300D195C"/>
    <w:rsid w:val="3044134F"/>
    <w:rsid w:val="30BF37B5"/>
    <w:rsid w:val="30D22D2F"/>
    <w:rsid w:val="312C2AE5"/>
    <w:rsid w:val="3178798B"/>
    <w:rsid w:val="31CB1A81"/>
    <w:rsid w:val="3220664F"/>
    <w:rsid w:val="3244265D"/>
    <w:rsid w:val="32F2736E"/>
    <w:rsid w:val="34C4303E"/>
    <w:rsid w:val="35B73053"/>
    <w:rsid w:val="361736AD"/>
    <w:rsid w:val="36676B65"/>
    <w:rsid w:val="36905D28"/>
    <w:rsid w:val="36A54835"/>
    <w:rsid w:val="36D200CF"/>
    <w:rsid w:val="38382DC3"/>
    <w:rsid w:val="38F32560"/>
    <w:rsid w:val="39446F46"/>
    <w:rsid w:val="3B2A0F67"/>
    <w:rsid w:val="3BB261E1"/>
    <w:rsid w:val="3BCA27B8"/>
    <w:rsid w:val="3BFC2290"/>
    <w:rsid w:val="3C114F9E"/>
    <w:rsid w:val="3C1E17EA"/>
    <w:rsid w:val="3C4A35F1"/>
    <w:rsid w:val="3E9D7E49"/>
    <w:rsid w:val="3F9B7EF1"/>
    <w:rsid w:val="415A7E63"/>
    <w:rsid w:val="42E701E3"/>
    <w:rsid w:val="43193F4E"/>
    <w:rsid w:val="44A8314C"/>
    <w:rsid w:val="44D414C9"/>
    <w:rsid w:val="45AE252B"/>
    <w:rsid w:val="45BA6458"/>
    <w:rsid w:val="45C37365"/>
    <w:rsid w:val="460D1423"/>
    <w:rsid w:val="46472D5E"/>
    <w:rsid w:val="46772BA7"/>
    <w:rsid w:val="468E0BD5"/>
    <w:rsid w:val="469B4709"/>
    <w:rsid w:val="46A85B41"/>
    <w:rsid w:val="47CB2C71"/>
    <w:rsid w:val="49332FB5"/>
    <w:rsid w:val="4B3A1BDA"/>
    <w:rsid w:val="4C1966EB"/>
    <w:rsid w:val="4D392B7F"/>
    <w:rsid w:val="4DC759F3"/>
    <w:rsid w:val="4DD3333C"/>
    <w:rsid w:val="4E040B17"/>
    <w:rsid w:val="4EA560D6"/>
    <w:rsid w:val="4EAB70C1"/>
    <w:rsid w:val="525522E2"/>
    <w:rsid w:val="528404F0"/>
    <w:rsid w:val="53211A73"/>
    <w:rsid w:val="53463775"/>
    <w:rsid w:val="53523D60"/>
    <w:rsid w:val="53AA5AAD"/>
    <w:rsid w:val="547776C9"/>
    <w:rsid w:val="55734D49"/>
    <w:rsid w:val="55C3156A"/>
    <w:rsid w:val="56E03A17"/>
    <w:rsid w:val="57593089"/>
    <w:rsid w:val="582B703A"/>
    <w:rsid w:val="599017B7"/>
    <w:rsid w:val="5A10656C"/>
    <w:rsid w:val="5A492CEC"/>
    <w:rsid w:val="5CA65A56"/>
    <w:rsid w:val="5DE84119"/>
    <w:rsid w:val="5EA82DBE"/>
    <w:rsid w:val="5EB72BF2"/>
    <w:rsid w:val="5F8E0C51"/>
    <w:rsid w:val="5F9A39E4"/>
    <w:rsid w:val="5FE724D4"/>
    <w:rsid w:val="60395037"/>
    <w:rsid w:val="60546075"/>
    <w:rsid w:val="608606DE"/>
    <w:rsid w:val="639D46DC"/>
    <w:rsid w:val="6424058D"/>
    <w:rsid w:val="64D24668"/>
    <w:rsid w:val="663511C3"/>
    <w:rsid w:val="663B2A3B"/>
    <w:rsid w:val="66C35559"/>
    <w:rsid w:val="66D91A76"/>
    <w:rsid w:val="672B7AB3"/>
    <w:rsid w:val="67977F0F"/>
    <w:rsid w:val="68B337CC"/>
    <w:rsid w:val="69311D38"/>
    <w:rsid w:val="6A287B5E"/>
    <w:rsid w:val="6A485E7E"/>
    <w:rsid w:val="6A6B37FA"/>
    <w:rsid w:val="6B303A1A"/>
    <w:rsid w:val="6C141EE0"/>
    <w:rsid w:val="6CF02B48"/>
    <w:rsid w:val="6D1370A4"/>
    <w:rsid w:val="6D897695"/>
    <w:rsid w:val="6DAA2FDF"/>
    <w:rsid w:val="6E121228"/>
    <w:rsid w:val="70873960"/>
    <w:rsid w:val="70B81233"/>
    <w:rsid w:val="70D1495F"/>
    <w:rsid w:val="7129638F"/>
    <w:rsid w:val="73641402"/>
    <w:rsid w:val="74E73186"/>
    <w:rsid w:val="74F238E6"/>
    <w:rsid w:val="76015DEA"/>
    <w:rsid w:val="763B2CF0"/>
    <w:rsid w:val="764E470D"/>
    <w:rsid w:val="76850D49"/>
    <w:rsid w:val="76EB7161"/>
    <w:rsid w:val="77E67240"/>
    <w:rsid w:val="7842124A"/>
    <w:rsid w:val="78CA752A"/>
    <w:rsid w:val="7909505C"/>
    <w:rsid w:val="79435213"/>
    <w:rsid w:val="79527737"/>
    <w:rsid w:val="79D51B6D"/>
    <w:rsid w:val="7B2B3FE2"/>
    <w:rsid w:val="7B3B73B5"/>
    <w:rsid w:val="7C233754"/>
    <w:rsid w:val="7C766170"/>
    <w:rsid w:val="7CC45B07"/>
    <w:rsid w:val="7CC84BE5"/>
    <w:rsid w:val="7D26550D"/>
    <w:rsid w:val="7D2D6A7C"/>
    <w:rsid w:val="7D3A3102"/>
    <w:rsid w:val="7E3420E0"/>
    <w:rsid w:val="7E405052"/>
    <w:rsid w:val="7F1A0C44"/>
    <w:rsid w:val="7F8F7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99" w:semiHidden="0" w:name="heading 1"/>
    <w:lsdException w:qFormat="1" w:uiPriority="99" w:semiHidden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5">
    <w:name w:val="heading 1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color w:val="000000"/>
      <w:sz w:val="32"/>
    </w:rPr>
  </w:style>
  <w:style w:type="paragraph" w:styleId="6">
    <w:name w:val="heading 2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i/>
      <w:color w:val="000000"/>
      <w:sz w:val="28"/>
    </w:rPr>
  </w:style>
  <w:style w:type="paragraph" w:styleId="7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5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pacing w:line="360" w:lineRule="auto"/>
      <w:ind w:firstLine="200" w:firstLineChars="200"/>
      <w:jc w:val="both"/>
    </w:pPr>
    <w:rPr>
      <w:kern w:val="0"/>
      <w:sz w:val="24"/>
      <w:lang w:val="en-US" w:eastAsia="zh-CN"/>
    </w:rPr>
  </w:style>
  <w:style w:type="paragraph" w:styleId="3">
    <w:name w:val="Body Text"/>
    <w:basedOn w:val="4"/>
    <w:next w:val="4"/>
    <w:unhideWhenUsed/>
    <w:qFormat/>
    <w:uiPriority w:val="99"/>
    <w:pPr>
      <w:spacing w:after="120"/>
    </w:pPr>
  </w:style>
  <w:style w:type="paragraph" w:styleId="4">
    <w:name w:val="Title"/>
    <w:basedOn w:val="1"/>
    <w:next w:val="1"/>
    <w:qFormat/>
    <w:uiPriority w:val="0"/>
    <w:pPr>
      <w:widowControl/>
      <w:spacing w:before="240" w:after="60" w:line="560" w:lineRule="exact"/>
      <w:jc w:val="center"/>
      <w:outlineLvl w:val="0"/>
    </w:pPr>
    <w:rPr>
      <w:rFonts w:ascii="Arial" w:hAnsi="Arial" w:eastAsia="华文中宋" w:cs="Arial"/>
      <w:b/>
      <w:bCs/>
      <w:color w:val="FF0000"/>
      <w:kern w:val="0"/>
      <w:sz w:val="84"/>
      <w:szCs w:val="32"/>
    </w:rPr>
  </w:style>
  <w:style w:type="paragraph" w:styleId="8">
    <w:name w:val="Normal Indent"/>
    <w:basedOn w:val="1"/>
    <w:qFormat/>
    <w:uiPriority w:val="0"/>
    <w:pPr>
      <w:ind w:firstLine="420"/>
    </w:pPr>
    <w:rPr>
      <w:rFonts w:ascii="Times New Roman" w:hAnsi="Times New Roman" w:cs="Times New Roman"/>
      <w:kern w:val="0"/>
      <w:sz w:val="20"/>
      <w:szCs w:val="20"/>
    </w:rPr>
  </w:style>
  <w:style w:type="paragraph" w:styleId="9">
    <w:name w:val="annotation text"/>
    <w:basedOn w:val="1"/>
    <w:qFormat/>
    <w:uiPriority w:val="0"/>
    <w:pPr>
      <w:jc w:val="left"/>
    </w:pPr>
  </w:style>
  <w:style w:type="paragraph" w:styleId="10">
    <w:name w:val="Body Text Indent"/>
    <w:basedOn w:val="1"/>
    <w:qFormat/>
    <w:uiPriority w:val="0"/>
    <w:pPr>
      <w:spacing w:after="120"/>
      <w:ind w:left="420" w:leftChars="200"/>
    </w:pPr>
  </w:style>
  <w:style w:type="paragraph" w:styleId="11">
    <w:name w:val="Plain Text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宋体" w:hAnsi="Courier New"/>
      <w:kern w:val="0"/>
      <w:sz w:val="20"/>
      <w:szCs w:val="20"/>
      <w:lang w:val="en-US" w:eastAsia="zh-CN"/>
    </w:rPr>
  </w:style>
  <w:style w:type="paragraph" w:styleId="1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4">
    <w:name w:val="Table Grid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">
    <w:name w:val="目录 21"/>
    <w:basedOn w:val="1"/>
    <w:next w:val="1"/>
    <w:qFormat/>
    <w:uiPriority w:val="0"/>
    <w:pPr>
      <w:spacing w:before="100" w:beforeAutospacing="1" w:after="100" w:afterAutospacing="1"/>
      <w:ind w:left="420" w:leftChars="200"/>
    </w:pPr>
  </w:style>
  <w:style w:type="paragraph" w:customStyle="1" w:styleId="17">
    <w:name w:val="_Style 5"/>
    <w:basedOn w:val="1"/>
    <w:qFormat/>
    <w:uiPriority w:val="0"/>
    <w:pPr>
      <w:adjustRightInd/>
      <w:spacing w:line="240" w:lineRule="auto"/>
      <w:ind w:firstLine="420" w:firstLineChars="200"/>
      <w:textAlignment w:val="auto"/>
    </w:pPr>
    <w:rPr>
      <w:rFonts w:ascii="Calibri" w:hAnsi="Calibri" w:eastAsia="宋体" w:cs="Times New Roman"/>
      <w:kern w:val="2"/>
      <w:sz w:val="21"/>
      <w:szCs w:val="22"/>
    </w:rPr>
  </w:style>
  <w:style w:type="paragraph" w:customStyle="1" w:styleId="18">
    <w:name w:val="报告正文"/>
    <w:basedOn w:val="1"/>
    <w:qFormat/>
    <w:uiPriority w:val="0"/>
    <w:pPr>
      <w:ind w:firstLine="200" w:firstLineChars="200"/>
      <w:textAlignment w:val="baseline"/>
    </w:pPr>
    <w:rPr>
      <w:color w:val="FF0000"/>
      <w:kern w:val="0"/>
    </w:rPr>
  </w:style>
  <w:style w:type="character" w:customStyle="1" w:styleId="19">
    <w:name w:val="font31"/>
    <w:basedOn w:val="1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20">
    <w:name w:val="font61"/>
    <w:unhideWhenUsed/>
    <w:qFormat/>
    <w:uiPriority w:val="0"/>
    <w:rPr>
      <w:rFonts w:hint="default" w:ascii="宋体" w:hAnsi="宋体" w:eastAsia="宋体" w:cs="宋体"/>
      <w:color w:val="00000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7111</Words>
  <Characters>7982</Characters>
  <Lines>0</Lines>
  <Paragraphs>0</Paragraphs>
  <TotalTime>4</TotalTime>
  <ScaleCrop>false</ScaleCrop>
  <LinksUpToDate>false</LinksUpToDate>
  <CharactersWithSpaces>8069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2021-02-24T07:45:00Z</dcterms:created>
  <dc:creator>maja</dc:creator>
  <cp:lastModifiedBy>gzry15</cp:lastModifiedBy>
  <cp:lastPrinted>2022-02-11T02:00:00Z</cp:lastPrinted>
  <dcterms:modified xsi:type="dcterms:W3CDTF">2026-01-28T13:39:34Z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04CB685945B44EC0AAD37EAFCB4FB372</vt:lpwstr>
  </property>
</Properties>
</file>