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default" w:ascii="宋体" w:hAnsi="宋体" w:eastAsia="宋体" w:cs="宋体"/>
          <w:b/>
          <w:bCs/>
          <w:snapToGrid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</w:pPr>
      <w:bookmarkStart w:id="0" w:name="_Toc8445"/>
      <w:r>
        <w:rPr>
          <w:rFonts w:hint="eastAsia" w:hAnsi="宋体" w:cs="宋体"/>
          <w:b/>
          <w:bCs/>
          <w:snapToGrid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  <w:t>标的3</w:t>
      </w:r>
    </w:p>
    <w:p>
      <w:pPr>
        <w:pStyle w:val="11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2" w:firstLineChars="200"/>
        <w:jc w:val="center"/>
        <w:textAlignment w:val="auto"/>
        <w:outlineLvl w:val="0"/>
        <w:rPr>
          <w:rFonts w:hint="eastAsia" w:ascii="宋体" w:hAnsi="宋体" w:eastAsia="宋体" w:cs="宋体"/>
          <w:b/>
          <w:color w:val="FF000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项目名称：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  <w:t>肇庆220千伏睦岗庆南网架完善工程施工</w:t>
      </w:r>
    </w:p>
    <w:tbl>
      <w:tblPr>
        <w:tblStyle w:val="15"/>
        <w:tblW w:w="73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2911"/>
        <w:gridCol w:w="34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文件名称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</w:rPr>
              <w:t>文件文号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项目建设单位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肇庆供电局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项目建设地点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肇庆市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可研批复文号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广电规〔2023〕111 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项目核准、备案文号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肇发改核准〔2025〕26号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资金落实情况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广电规〔2025〕16 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初设批复文号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广电建〔2025〕112 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施工图预算批复文号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广电建〔2025〕214 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前期的设计或咨询服务单位名称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广东华成电力能源股份有限责任公司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项目监理单位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广东创成建设监理咨询有限公司</w:t>
            </w:r>
          </w:p>
        </w:tc>
      </w:tr>
      <w:bookmarkEnd w:id="0"/>
    </w:tbl>
    <w:p>
      <w:pP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11"/>
        <w:keepNext w:val="0"/>
        <w:keepLines w:val="0"/>
        <w:pageBreakBefore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outlineLvl w:val="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建设规模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val="en-US" w:eastAsia="zh-CN"/>
        </w:rPr>
        <w:t xml:space="preserve">※变电部分: 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>1、220kV庆南站扩建220kV间隔工程：扩建2回220kV架空出线间隔。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val="en-US" w:eastAsia="zh-CN"/>
        </w:rPr>
        <w:t>※架空线路部分: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>1、220kV云睦甲线解口入庆南站线路工程：新建线路起于220kV庆南站出线构架，止于220kV云睦甲线#55～#56档附近解口点，新建同塔双回线路路径长2×31.454km，新建单回线路路径长1×（0.113+0.274）km；导线采用2×JL/LB20A-630/45铝包钢芯铝绞线，地线采用2根72芯OPGW光缆；新建杆塔75基，其中双回路耐张塔38基、双回路直线塔34基，单回路耐张塔2基，单回路直线塔1基。同时对原砚庆甲线#10（砚庆乙线#11）-A1段线路重新紧放线，长2×0.278km，对A71-原云睦线55#段线路重新紧放线，长1×0.742km，对A73-原云睦线62#段线路重新紧放线，长1×2.409km；拆除原砚庆甲乙线双回路铁塔1基，拆除原云睦甲线单回路水泥杆2基。本期需将解口点-睦岗站段原220kV云睦甲线地线更换为2根36芯OPGW复合光缆，原云睦甲线改造段线路总长16.705km。本线路钻越500kV高肇直流1858#-1859#档两根地线（GJ-80）现状为单线夹，本次钻越需改造为双线夹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>2、220kV砚都至庆南双回线路改造工程：将砚都双回出线调整接入本期西侧扩建的2个间隔，新建线路与原220kV砚庆甲线7#（砚庆乙线8#）对接。新建线路总长2×0.553km。导线采用2×JL/LB20A-630/45铝包钢芯铝绞线，地线采用2根36芯OPGW；本期新建双回路耐张塔3基。同时对B3~原220kV砚庆甲线7#（砚庆乙线8#）段导地线重新紧放线，长2×0.183km；拆除原220kV砚庆甲线8#双回路直线塔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val="en-US" w:eastAsia="zh-CN"/>
        </w:rPr>
        <w:t>※通信部分: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>1、配套通信设备工程：庆南站省ASON网配置1套省ASON网设备,睦岗站省ASON网设备配置1块STM-64光板，解口砚都站至珠山站省ASON网STM-64光链路接入庆南站，开通庆南站至睦岗站1路省ASON网STM-64光链路。庆南站、睦岗站地区ASON网设备各配置1块STM-64光板,开通庆南站至睦岗站1路地区ASON网STM-64光链路3)。庆南站、睦岗站新网B设备各配置1块10Gb/s线路光板,开通庆南站至睦岗站1路新网B10Gb/s光链路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>2、220kV云睦甲线解口入庆南站线路工程（OPGW光缆部分）：沿本期新建线路架设2根72芯OPGW光缆，光缆路径长 2×31.454km+1×（0.385+0.374）km+1×（0.113+0.274）km；解口点-睦岗站段原220kV云睦甲线地线更换为2根36芯OPGW复合光缆，光缆路径长 2×16.705km，睦岗站侧解口点72芯光缆与2根36芯光缆接续，广云站侧72芯光缆预留。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>3、220kV砚都至庆南双回线路改造工程（OPGW光缆部分）：沿本期新建线路架设2根36芯OPGW光缆，光缆路径长2×0.553km。在220kV砚庆乙线9#与原36芯OPGW光缆熔接，最终形成庆南站至砚都站2条36芯OPGW光缆路由。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val="en-US" w:eastAsia="zh-CN"/>
        </w:rPr>
        <w:t>具体建设规模以施工图纸为准。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</w:pPr>
    </w:p>
    <w:p>
      <w:pPr>
        <w:pStyle w:val="11"/>
        <w:keepNext w:val="0"/>
        <w:keepLines w:val="0"/>
        <w:pageBreakBefore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outlineLvl w:val="0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采购范围</w:t>
      </w:r>
      <w:bookmarkStart w:id="1" w:name="施工招标范围综合"/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：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包括施工图范围内的建筑、安装及调试工程。施工图范围内的下列工作内容，无□及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instrText xml:space="preserve"> EQ \o\ac(</w:instrText>
      </w:r>
      <w:r>
        <w:rPr>
          <w:rFonts w:hint="eastAsia" w:ascii="宋体" w:hAnsi="宋体" w:eastAsia="宋体" w:cs="宋体"/>
          <w:b/>
          <w:bCs/>
          <w:color w:val="auto"/>
          <w:position w:val="-4"/>
          <w:sz w:val="31"/>
          <w:szCs w:val="21"/>
          <w:highlight w:val="none"/>
          <w:lang w:val="en-US" w:eastAsia="zh-CN"/>
        </w:rPr>
        <w:instrText xml:space="preserve">□</w:instrText>
      </w:r>
      <w:r>
        <w:rPr>
          <w:rFonts w:hint="eastAsia" w:ascii="宋体" w:hAnsi="宋体" w:eastAsia="宋体" w:cs="宋体"/>
          <w:b/>
          <w:bCs/>
          <w:color w:val="auto"/>
          <w:position w:val="0"/>
          <w:sz w:val="21"/>
          <w:szCs w:val="21"/>
          <w:highlight w:val="none"/>
          <w:lang w:val="en-US" w:eastAsia="zh-CN"/>
        </w:rPr>
        <w:instrText xml:space="preserve">,√)</w:instrTex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fldChar w:fldCharType="end"/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的为本次报价范围；□未打√的，不在本次报价范围内，特殊情况在“其他”中说明。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※变电部分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变电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建筑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工程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（一）主要生产工程：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主要生产建筑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配电装置建筑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供水系统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消防系统；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（二）辅助生产工程：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辅助生产建筑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站区性建筑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特殊构筑物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全站沉降观测点，站区绿化；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（三）与站址有关的单项工程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630" w:firstLineChars="3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地基处理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sym w:font="Wingdings 2" w:char="00A3"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站外道路（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其中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sym w:font="Wingdings 2" w:char="00A3"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桥涵），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sym w:font="Wingdings 2" w:char="00A3"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站外水源，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sym w:font="Wingdings 2" w:char="00A3"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站外排水，□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站外蒸发池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，□施工降水，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sym w:font="Wingdings 2" w:char="00A3"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临时施工电源，□临时施工水源，□临时施工道路，□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临时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施工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通信线路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，□临时施工防护工程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（四）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费用工程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none"/>
          <w:lang w:eastAsia="zh-CN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白蚁防治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none"/>
          <w:lang w:eastAsia="zh-CN"/>
        </w:rPr>
        <w:sym w:font="Wingdings 2" w:char="00A3"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拆除工程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/>
        <w:jc w:val="left"/>
        <w:textAlignment w:val="auto"/>
        <w:rPr>
          <w:rFonts w:hint="default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（五）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hAnsi="宋体" w:cs="宋体"/>
          <w:color w:val="auto"/>
          <w:sz w:val="18"/>
          <w:szCs w:val="18"/>
          <w:highlight w:val="none"/>
          <w:u w:val="single"/>
          <w:lang w:val="en-US" w:eastAsia="zh-CN"/>
        </w:rPr>
        <w:t>/</w:t>
      </w:r>
      <w:r>
        <w:rPr>
          <w:rFonts w:hint="eastAsia" w:hAnsi="宋体" w:cs="宋体"/>
          <w:b w:val="0"/>
          <w:bCs w:val="0"/>
          <w:color w:val="auto"/>
          <w:sz w:val="18"/>
          <w:szCs w:val="18"/>
          <w:highlight w:val="none"/>
          <w:u w:val="single"/>
          <w:lang w:val="en-US" w:eastAsia="zh-CN"/>
        </w:rPr>
        <w:t xml:space="preserve">  。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变电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安装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工程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主要生产工程：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主变压器系统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配电装置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无功补偿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，控制及直流系统，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站用电系统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，电缆及接地，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远动系统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含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总调、中调、地调调度端的扩容）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，计费系统，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/>
        </w:rPr>
        <w:t>全站调试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其中特殊调试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以合同附件特殊调试项目为准）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）辅助生产工程：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检修及修配设备；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/>
        <w:jc w:val="left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（三）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与站址有关的单项工程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□站外电源，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站外通信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（四）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费用工程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☑标志牌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装，☑拆除工程；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strike/>
          <w:dstrike w:val="0"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（五）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hAnsi="宋体" w:cs="宋体"/>
          <w:color w:val="auto"/>
          <w:sz w:val="21"/>
          <w:szCs w:val="21"/>
          <w:u w:val="single"/>
          <w:lang w:val="en-US" w:eastAsia="zh-CN"/>
        </w:rPr>
        <w:t>/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※架空线路部分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基础工程：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基础工程材料工地运输，土石方工程，基础砌筑，基础防腐，基础防护，地基处理；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杆塔工程：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杆塔工程材料工地运输，杆塔组立；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接地工程：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接地工程材料工地运输，接地土石方，接地安装；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架线工程：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架线工程材料工地运输，导地线架设（不含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OPGW接续与测量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），导地线跨越架设（其中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none"/>
          <w:lang w:eastAsia="zh-CN"/>
        </w:rPr>
        <w:sym w:font="Wingdings 2" w:char="0052"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带电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跨越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>10千伏及以下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电力线路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带电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跨越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>35千伏及以上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电力线路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sym w:font="Wingdings 2" w:char="0052"/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跨越铁路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sym w:font="Wingdings 2" w:char="0052"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高速公路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none"/>
          <w:lang w:eastAsia="zh-CN"/>
        </w:rPr>
        <w:sym w:font="Wingdings 2" w:char="0052"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一、二级公路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trike w:val="0"/>
          <w:dstrike w:val="0"/>
          <w:color w:val="auto"/>
          <w:sz w:val="21"/>
          <w:szCs w:val="21"/>
          <w:highlight w:val="none"/>
          <w:u w:val="none"/>
          <w:lang w:eastAsia="zh-CN"/>
        </w:rPr>
        <w:sym w:font="Wingdings 2" w:char="0052"/>
      </w:r>
      <w:r>
        <w:rPr>
          <w:rFonts w:hint="eastAsia" w:ascii="宋体" w:hAnsi="宋体" w:eastAsia="宋体" w:cs="宋体"/>
          <w:bCs/>
          <w:strike w:val="0"/>
          <w:dstrike w:val="0"/>
          <w:color w:val="auto"/>
          <w:sz w:val="21"/>
          <w:szCs w:val="21"/>
          <w:highlight w:val="none"/>
        </w:rPr>
        <w:t>河流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），其他架线工程；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附件安装工程：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附件安装工程材料工地运输，绝缘子串及金具安装；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（六）辅助工程：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永久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施工道路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修筑，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尖峰、施工基面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土石方工程，护坡、挡土墙及排洪沟，基础永久性围堰，索道站安装，杆塔上装的各类辅助生产装置（其中：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☑标志牌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装，☑防坠地装置，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sym w:font="Wingdings 2" w:char="0052"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防鸟刺装置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），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输、送电线路试运；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（七）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费用工程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☑拆除工程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val="en-US"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施工临时占用地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补偿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（含牵引场地租用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□施工临时占用地（含牵引场地）青苗赔偿，□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临时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施工道路的青苗赔偿，□塔基占地及其青苗赔偿，□架线青苗赔偿，□接地线铺设的青苗赔偿，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sym w:font="Wingdings 2" w:char="0052"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塔基绿化恢复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sym w:font="Wingdings 2" w:char="0052"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临时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施工道路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修筑费（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val="en-US" w:eastAsia="zh-CN"/>
        </w:rPr>
        <w:t>单价/总价均报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），输电线路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跨越补偿费（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sym w:font="Wingdings 2" w:char="0052"/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none"/>
        </w:rPr>
        <w:t>跨越铁路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none"/>
          <w:lang w:eastAsia="zh-CN"/>
        </w:rPr>
        <w:t>补偿费、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sym w:font="Wingdings 2" w:char="0052"/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none"/>
        </w:rPr>
        <w:t>跨越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高速公路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none"/>
          <w:lang w:eastAsia="zh-CN"/>
        </w:rPr>
        <w:t>补偿费、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sym w:font="Wingdings 2" w:char="0052"/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none"/>
        </w:rPr>
        <w:t>跨越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一、二级公路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none"/>
          <w:lang w:eastAsia="zh-CN"/>
        </w:rPr>
        <w:t>补偿费、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sym w:font="Wingdings 2" w:char="0052"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跨越通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none"/>
        </w:rPr>
        <w:t>航河流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none"/>
          <w:lang w:eastAsia="zh-CN"/>
        </w:rPr>
        <w:t>补偿费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/>
        <w:jc w:val="left"/>
        <w:textAlignment w:val="auto"/>
        <w:outlineLvl w:val="9"/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（八）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cs="宋体"/>
          <w:b/>
          <w:color w:val="auto"/>
          <w:sz w:val="21"/>
          <w:szCs w:val="21"/>
          <w:highlight w:val="none"/>
          <w:lang w:val="en-US" w:eastAsia="zh-CN"/>
        </w:rPr>
        <w:t>:</w:t>
      </w:r>
      <w:r>
        <w:rPr>
          <w:rFonts w:hint="eastAsia" w:ascii="宋体" w:hAnsi="宋体" w:eastAsia="宋体" w:cs="宋体"/>
          <w:b w:val="0"/>
          <w:bCs/>
          <w:strike w:val="0"/>
          <w:dstrike w:val="0"/>
          <w:color w:val="auto"/>
          <w:sz w:val="21"/>
          <w:szCs w:val="21"/>
          <w:highlight w:val="none"/>
          <w:u w:val="single"/>
          <w:lang w:val="en-US" w:eastAsia="zh-CN"/>
        </w:rPr>
        <w:t xml:space="preserve"> ☑水土保持措施费；☑跨越高速公路补偿费按20.00万元/处单价包干，具体工程量按实际发生工程量（经业主确认签证）结算；☑跨越一、二级公路补偿费主线路段按3.2万元/处单价包干，改造光缆段按2.13万元/处单价包干，具体工程量按实际发生工程量（经业主确认签证）结算；☑跨越铁路补偿费、跨越通航河流补偿费在本工程招标范围内，正式合同价不含该项费用，具体按项目实际发生的费用（经发包人确认）结算。</w:t>
      </w:r>
    </w:p>
    <w:bookmarkEnd w:id="1"/>
    <w:p>
      <w:pPr>
        <w:pStyle w:val="11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※通信部分</w:t>
      </w:r>
      <w:r>
        <w:rPr>
          <w:rFonts w:hint="eastAsia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</w:rPr>
        <w:t>变电站工程：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施工图纸范围内的通信设备安装及测试、光缆单盘测试、中继测试、接续、光缆及联络光缆敷设、通信子管敷设、通道开通及业务接入、割接等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；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设备、光缆及金具卸车清点、验收及保管，与施工相关的所有其他费用项目。</w:t>
      </w:r>
    </w:p>
    <w:p>
      <w:pPr>
        <w:pStyle w:val="8"/>
        <w:ind w:firstLine="630" w:firstLineChars="300"/>
        <w:rPr>
          <w:rFonts w:hint="default" w:eastAsia="宋体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</w:rPr>
        <w:t>其他：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hAnsi="宋体" w:cs="宋体"/>
          <w:color w:val="auto"/>
          <w:sz w:val="21"/>
          <w:szCs w:val="21"/>
          <w:u w:val="single"/>
          <w:lang w:val="en-US" w:eastAsia="zh-CN"/>
        </w:rPr>
        <w:t>/ 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eastAsia="zh-CN"/>
        </w:rPr>
        <w:t>架空线路部分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施工图纸范围内的光缆单盘测量、接续、全程测量；与施工相关的所有其他费用项目；不包含光缆架设、拆除、跨越及青苗赔偿。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/>
        </w:rPr>
        <w:t>特殊调试清单：</w:t>
      </w:r>
      <w:r>
        <w:rPr>
          <w:rFonts w:hint="eastAsia" w:ascii="宋体" w:hAnsi="宋体" w:cs="宋体"/>
          <w:lang w:val="en-US" w:eastAsia="zh-CN"/>
        </w:rPr>
        <w:t>无</w:t>
      </w:r>
    </w:p>
    <w:p>
      <w:pPr>
        <w:pStyle w:val="11"/>
        <w:keepNext w:val="0"/>
        <w:keepLines w:val="0"/>
        <w:pageBreakBefore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outlineLvl w:val="0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承包方式：</w:t>
      </w:r>
      <w:bookmarkStart w:id="2" w:name="XmInfoEntity_SGCBFS_0_1"/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包工、部分包料，施工图纸范围内如有下列设备、材料，无□及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instrText xml:space="preserve"> EQ \o\ac(</w:instrText>
      </w:r>
      <w:r>
        <w:rPr>
          <w:rFonts w:hint="eastAsia" w:ascii="宋体" w:hAnsi="宋体" w:eastAsia="宋体" w:cs="宋体"/>
          <w:b/>
          <w:bCs/>
          <w:color w:val="auto"/>
          <w:position w:val="-4"/>
          <w:sz w:val="31"/>
          <w:szCs w:val="21"/>
          <w:highlight w:val="none"/>
          <w:lang w:val="en-US" w:eastAsia="zh-CN"/>
        </w:rPr>
        <w:instrText xml:space="preserve">□</w:instrText>
      </w:r>
      <w:r>
        <w:rPr>
          <w:rFonts w:hint="eastAsia" w:ascii="宋体" w:hAnsi="宋体" w:eastAsia="宋体" w:cs="宋体"/>
          <w:b/>
          <w:bCs/>
          <w:color w:val="auto"/>
          <w:position w:val="0"/>
          <w:sz w:val="21"/>
          <w:szCs w:val="21"/>
          <w:highlight w:val="none"/>
          <w:lang w:val="en-US" w:eastAsia="zh-CN"/>
        </w:rPr>
        <w:instrText xml:space="preserve">,√)</w:instrTex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fldChar w:fldCharType="end"/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的为甲供，□未打√的及不在下列的为乙供。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※变电部分：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（一）甲供物资：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变电建筑工程：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不锈钢材质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检修电源箱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，不锈钢材质配电箱（含照明和动力配电箱），电力电缆，控制电缆，低压电线，铜铝端子，铜端子，构支架钢结构（含构支架、横梁，爬梯、避雷针），标准成品预制电缆沟盖板（包括混凝土盖板和复合盖板），装配式变电站围墙和主变防火墙（含混凝土和复合材质，厂家包安装及基础灌浆），电缆支架（铝合金、角钢、复合材质），电杆（含混凝土和复合材料），电缆保护管材（HDPE管、涂塑钢管、PVC管、MPP管），电缆管塞封堵器，空调（精密空调、中央空调（换流站阀厅用）、工业空调（STATCOM集装箱用）、防爆空调（蓄电池室）），智能围栏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2、□装配式电缆沟、□消防电缆、□电梯（不含货物电梯）、□嵌入式空调（天井式）、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专用空调（生产场所、带自动启动功能）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变电安装工程：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电气一、二次设备，预制舱配电房，机载高速光电吊舱设备，铝镁合金管形母线及其配套金具，金具及附件（含线夹），钢绞线，铝绞线，红外热像仪，变电站智能巡检机器人，独立五防系统，检修隔离装置，视频及环境监控系统，监测装置，变压器配电箱（SMC材质、不锈钢材质），不锈钢材质端子箱，不锈钢材质检修电源箱，不锈钢材质发电车开关箱，不锈钢材质配电箱（含照明和动力配电箱），电力电缆，控制电缆，计量用电线，10kV及以上电缆头，各种类型绝缘子，封闭母线桥，10kV绝缘铜管母线，穿墙套管，电缆支架（铝合金、角钢、复合材质）、铝合金电缆桥架、计量接引装置、电抗器接地装置、小电流接地选线装置、通用型标志牌（包括：禁止攀登、高压危险、禁止抛物、高压危险等提醒类标志牌及相线牌、安装支架，不涉及资产名称、编号或位置）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□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吊车。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（二）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甲供物资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/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※架空线路部分：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（一）甲供物资：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1、杆塔（水泥杆），铁塔加固器装置，高空防坠落装置，攀爬机轨道，钢绞线，铝绞线，导地线，绝缘子、绝缘横担，金具，标准铁构件，光缆，光缆金具，线路避雷器，故障指示器，故障精确定位装置，监测装置，视频监控系统，防鸟装置，铜覆钢接地极，石墨基接地体，通用型标志牌（包括：禁止攀登、高压危险、禁止抛物、高压危险等提醒类标志牌及相线牌、安装支架，不涉及资产名称、编号或位置）、警示灯（航空、航道）、航道牌及支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2、☑地脚螺栓，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□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直升机巡视作业标志牌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（二）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甲供物资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/  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※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通信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部分：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变电部分：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甲供物资：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通信相关设备（含光传输设备、无线设备、电话、电池、监控、视频会议系统等），数据网设备，机架，通信电源，通信光缆及其金具，综合配线设备及材料，电缆保护管材（HDPE管、涂塑钢管、PVC管、MPP管）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（二）其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他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甲供物资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cs="宋体"/>
          <w:b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>/</w:t>
      </w:r>
      <w:r>
        <w:rPr>
          <w:rFonts w:hint="eastAsia" w:ascii="宋体" w:hAnsi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架空线路部分：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（一）甲供物资：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光缆。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（二）其他甲供物资：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☑光缆金具及附件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</w:rPr>
        <w:t>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Chars="0" w:firstLine="422" w:firstLineChars="200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甲供物资清单：</w:t>
      </w:r>
      <w:r>
        <w:rPr>
          <w:rFonts w:hint="eastAsia" w:hAnsi="宋体" w:cs="宋体"/>
          <w:b/>
          <w:color w:val="auto"/>
          <w:sz w:val="21"/>
          <w:szCs w:val="21"/>
          <w:highlight w:val="none"/>
          <w:lang w:val="en-US" w:eastAsia="zh-CN"/>
        </w:rPr>
        <w:t xml:space="preserve"> 无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。</w:t>
      </w:r>
      <w:bookmarkEnd w:id="2"/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Chars="0" w:firstLine="422" w:firstLineChars="200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3F47E8"/>
    <w:multiLevelType w:val="singleLevel"/>
    <w:tmpl w:val="273F47E8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862E749"/>
    <w:multiLevelType w:val="singleLevel"/>
    <w:tmpl w:val="5862E749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5AFE7F4F"/>
    <w:multiLevelType w:val="singleLevel"/>
    <w:tmpl w:val="5AFE7F4F"/>
    <w:lvl w:ilvl="0" w:tentative="0">
      <w:start w:val="1"/>
      <w:numFmt w:val="chineseCounting"/>
      <w:suff w:val="nothing"/>
      <w:lvlText w:val="（%1）"/>
      <w:lvlJc w:val="left"/>
    </w:lvl>
  </w:abstractNum>
  <w:abstractNum w:abstractNumId="3">
    <w:nsid w:val="5B0B691A"/>
    <w:multiLevelType w:val="singleLevel"/>
    <w:tmpl w:val="5B0B691A"/>
    <w:lvl w:ilvl="0" w:tentative="0">
      <w:start w:val="1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mOGUyZmFiZDQ3NmE5NzU1OWEyZWQxZGI0NDIzNTMifQ=="/>
  </w:docVars>
  <w:rsids>
    <w:rsidRoot w:val="24F737D8"/>
    <w:rsid w:val="00503881"/>
    <w:rsid w:val="00675492"/>
    <w:rsid w:val="00C073B0"/>
    <w:rsid w:val="01000ECD"/>
    <w:rsid w:val="01000F1F"/>
    <w:rsid w:val="01015953"/>
    <w:rsid w:val="014D50AE"/>
    <w:rsid w:val="017A607A"/>
    <w:rsid w:val="0270337E"/>
    <w:rsid w:val="027D662D"/>
    <w:rsid w:val="040E4900"/>
    <w:rsid w:val="0465127D"/>
    <w:rsid w:val="04D31677"/>
    <w:rsid w:val="050E07AE"/>
    <w:rsid w:val="05B87515"/>
    <w:rsid w:val="068D71D9"/>
    <w:rsid w:val="07751D79"/>
    <w:rsid w:val="09F62510"/>
    <w:rsid w:val="0BC07002"/>
    <w:rsid w:val="0C6B30AA"/>
    <w:rsid w:val="0D0758F3"/>
    <w:rsid w:val="0D4D24C3"/>
    <w:rsid w:val="0D882D55"/>
    <w:rsid w:val="0D9432B7"/>
    <w:rsid w:val="0E7F20D3"/>
    <w:rsid w:val="0F43181E"/>
    <w:rsid w:val="10A919C2"/>
    <w:rsid w:val="11444D6C"/>
    <w:rsid w:val="116419AD"/>
    <w:rsid w:val="11DF6CFE"/>
    <w:rsid w:val="11FC1228"/>
    <w:rsid w:val="1221206F"/>
    <w:rsid w:val="12617BA5"/>
    <w:rsid w:val="13C71878"/>
    <w:rsid w:val="142C4DA5"/>
    <w:rsid w:val="14440D4B"/>
    <w:rsid w:val="15056A61"/>
    <w:rsid w:val="15D20959"/>
    <w:rsid w:val="15F1120D"/>
    <w:rsid w:val="16BE50DE"/>
    <w:rsid w:val="17241016"/>
    <w:rsid w:val="17311749"/>
    <w:rsid w:val="18B14F30"/>
    <w:rsid w:val="18E57496"/>
    <w:rsid w:val="190C67D7"/>
    <w:rsid w:val="193066EB"/>
    <w:rsid w:val="196B23E3"/>
    <w:rsid w:val="1A2F2F81"/>
    <w:rsid w:val="1A812835"/>
    <w:rsid w:val="1B1435D1"/>
    <w:rsid w:val="1B663F82"/>
    <w:rsid w:val="1BA9108A"/>
    <w:rsid w:val="1C660CB1"/>
    <w:rsid w:val="1D592E11"/>
    <w:rsid w:val="1EA379B5"/>
    <w:rsid w:val="20E776A4"/>
    <w:rsid w:val="216F4D5B"/>
    <w:rsid w:val="22B30023"/>
    <w:rsid w:val="22BD2637"/>
    <w:rsid w:val="22D01CE9"/>
    <w:rsid w:val="23290A9A"/>
    <w:rsid w:val="23967185"/>
    <w:rsid w:val="24E46BF4"/>
    <w:rsid w:val="24F737D8"/>
    <w:rsid w:val="250E3A49"/>
    <w:rsid w:val="251B38EF"/>
    <w:rsid w:val="274170EE"/>
    <w:rsid w:val="2785030E"/>
    <w:rsid w:val="278F57AD"/>
    <w:rsid w:val="27E47C4B"/>
    <w:rsid w:val="28F46A2A"/>
    <w:rsid w:val="296555D1"/>
    <w:rsid w:val="298E3F40"/>
    <w:rsid w:val="29A55C56"/>
    <w:rsid w:val="29FC239E"/>
    <w:rsid w:val="2BED7EC0"/>
    <w:rsid w:val="2BFF0E0F"/>
    <w:rsid w:val="2C6B3624"/>
    <w:rsid w:val="2D8D50EF"/>
    <w:rsid w:val="2D8E3667"/>
    <w:rsid w:val="2E816236"/>
    <w:rsid w:val="2E9A5E18"/>
    <w:rsid w:val="2F362DFB"/>
    <w:rsid w:val="2F893A97"/>
    <w:rsid w:val="2FF65FF8"/>
    <w:rsid w:val="30035F08"/>
    <w:rsid w:val="300D195C"/>
    <w:rsid w:val="3044134F"/>
    <w:rsid w:val="308A1B97"/>
    <w:rsid w:val="30BF37B5"/>
    <w:rsid w:val="312C2AE5"/>
    <w:rsid w:val="3178798B"/>
    <w:rsid w:val="3244265D"/>
    <w:rsid w:val="32BF4277"/>
    <w:rsid w:val="32F2736E"/>
    <w:rsid w:val="336F2261"/>
    <w:rsid w:val="35B73053"/>
    <w:rsid w:val="361736AD"/>
    <w:rsid w:val="36676B65"/>
    <w:rsid w:val="36905D28"/>
    <w:rsid w:val="36A54835"/>
    <w:rsid w:val="36D200CF"/>
    <w:rsid w:val="37104552"/>
    <w:rsid w:val="38382DC3"/>
    <w:rsid w:val="38F32560"/>
    <w:rsid w:val="39446F46"/>
    <w:rsid w:val="3AC2303B"/>
    <w:rsid w:val="3B2A0F67"/>
    <w:rsid w:val="3BB261E1"/>
    <w:rsid w:val="3BCA27B8"/>
    <w:rsid w:val="3C114F9E"/>
    <w:rsid w:val="3C1E17EA"/>
    <w:rsid w:val="3C4A35F1"/>
    <w:rsid w:val="3D924493"/>
    <w:rsid w:val="3E9D7E49"/>
    <w:rsid w:val="3F9B7EF1"/>
    <w:rsid w:val="415A7E63"/>
    <w:rsid w:val="42E701E3"/>
    <w:rsid w:val="43193F4E"/>
    <w:rsid w:val="44A753BB"/>
    <w:rsid w:val="44A8314C"/>
    <w:rsid w:val="44D414C9"/>
    <w:rsid w:val="45AE252B"/>
    <w:rsid w:val="45BA6458"/>
    <w:rsid w:val="45C37365"/>
    <w:rsid w:val="460D1423"/>
    <w:rsid w:val="46472D5E"/>
    <w:rsid w:val="468E0BD5"/>
    <w:rsid w:val="469B4709"/>
    <w:rsid w:val="46A85B41"/>
    <w:rsid w:val="4752586E"/>
    <w:rsid w:val="47CB2C71"/>
    <w:rsid w:val="49332FB5"/>
    <w:rsid w:val="4A2E2829"/>
    <w:rsid w:val="4A9312F8"/>
    <w:rsid w:val="4B3A1BDA"/>
    <w:rsid w:val="4B463E8E"/>
    <w:rsid w:val="4C1966EB"/>
    <w:rsid w:val="4D392B7F"/>
    <w:rsid w:val="4DC759F3"/>
    <w:rsid w:val="4DD3333C"/>
    <w:rsid w:val="4E040B17"/>
    <w:rsid w:val="4EA560D6"/>
    <w:rsid w:val="519377E4"/>
    <w:rsid w:val="51BE49BE"/>
    <w:rsid w:val="525522E2"/>
    <w:rsid w:val="528404F0"/>
    <w:rsid w:val="53463775"/>
    <w:rsid w:val="53523D60"/>
    <w:rsid w:val="53AA5AAD"/>
    <w:rsid w:val="547776C9"/>
    <w:rsid w:val="55734D49"/>
    <w:rsid w:val="55C3156A"/>
    <w:rsid w:val="569C4F41"/>
    <w:rsid w:val="57593089"/>
    <w:rsid w:val="58A23677"/>
    <w:rsid w:val="599017B7"/>
    <w:rsid w:val="5A492CEC"/>
    <w:rsid w:val="5AED1175"/>
    <w:rsid w:val="5C381F5A"/>
    <w:rsid w:val="5CD25611"/>
    <w:rsid w:val="5DCF0A4D"/>
    <w:rsid w:val="5DE84119"/>
    <w:rsid w:val="5EB72BF2"/>
    <w:rsid w:val="5F8E0C51"/>
    <w:rsid w:val="5FA404AE"/>
    <w:rsid w:val="5FE724D4"/>
    <w:rsid w:val="60395037"/>
    <w:rsid w:val="60546075"/>
    <w:rsid w:val="608606DE"/>
    <w:rsid w:val="639D46DC"/>
    <w:rsid w:val="64215F86"/>
    <w:rsid w:val="6424058D"/>
    <w:rsid w:val="6478397C"/>
    <w:rsid w:val="663511C3"/>
    <w:rsid w:val="663B2A3B"/>
    <w:rsid w:val="66C35559"/>
    <w:rsid w:val="66D91A76"/>
    <w:rsid w:val="67977F0F"/>
    <w:rsid w:val="68B337CC"/>
    <w:rsid w:val="69311D38"/>
    <w:rsid w:val="6A287B5E"/>
    <w:rsid w:val="6A485E7E"/>
    <w:rsid w:val="6A6B37FA"/>
    <w:rsid w:val="6B303A1A"/>
    <w:rsid w:val="6C141EE0"/>
    <w:rsid w:val="6C6B4F0A"/>
    <w:rsid w:val="6D084BC3"/>
    <w:rsid w:val="6D8522CB"/>
    <w:rsid w:val="6D897695"/>
    <w:rsid w:val="6D8F705D"/>
    <w:rsid w:val="6DAA2FDF"/>
    <w:rsid w:val="6E121228"/>
    <w:rsid w:val="70873960"/>
    <w:rsid w:val="70B81233"/>
    <w:rsid w:val="70D1495F"/>
    <w:rsid w:val="70D72497"/>
    <w:rsid w:val="7129638F"/>
    <w:rsid w:val="71873F71"/>
    <w:rsid w:val="72401326"/>
    <w:rsid w:val="7269071B"/>
    <w:rsid w:val="72DD2495"/>
    <w:rsid w:val="73641402"/>
    <w:rsid w:val="73652CF6"/>
    <w:rsid w:val="73BE7C85"/>
    <w:rsid w:val="74E73186"/>
    <w:rsid w:val="74F238E6"/>
    <w:rsid w:val="76015DEA"/>
    <w:rsid w:val="763B2CF0"/>
    <w:rsid w:val="764E470D"/>
    <w:rsid w:val="76850D49"/>
    <w:rsid w:val="76BF26F6"/>
    <w:rsid w:val="76EB7161"/>
    <w:rsid w:val="77E67240"/>
    <w:rsid w:val="782D6D37"/>
    <w:rsid w:val="7842124A"/>
    <w:rsid w:val="79435213"/>
    <w:rsid w:val="79527737"/>
    <w:rsid w:val="79D51B6D"/>
    <w:rsid w:val="79E42CC2"/>
    <w:rsid w:val="7A333969"/>
    <w:rsid w:val="7B2B3FE2"/>
    <w:rsid w:val="7B3B73B5"/>
    <w:rsid w:val="7C233754"/>
    <w:rsid w:val="7C766170"/>
    <w:rsid w:val="7CC45B07"/>
    <w:rsid w:val="7CC84BE5"/>
    <w:rsid w:val="7D26550D"/>
    <w:rsid w:val="7D2D6A7C"/>
    <w:rsid w:val="7D3A3102"/>
    <w:rsid w:val="7E3420E0"/>
    <w:rsid w:val="7E405052"/>
    <w:rsid w:val="7F115491"/>
    <w:rsid w:val="7F1A0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9" w:semiHidden="0" w:name="heading 1"/>
    <w:lsdException w:qFormat="1" w:uiPriority="99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color w:val="000000"/>
      <w:sz w:val="32"/>
    </w:rPr>
  </w:style>
  <w:style w:type="paragraph" w:styleId="4">
    <w:name w:val="heading 2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i/>
      <w:color w:val="000000"/>
      <w:sz w:val="28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6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6">
    <w:name w:val="Normal Indent"/>
    <w:basedOn w:val="1"/>
    <w:qFormat/>
    <w:uiPriority w:val="0"/>
    <w:pPr>
      <w:ind w:firstLine="420"/>
    </w:pPr>
    <w:rPr>
      <w:rFonts w:ascii="Times New Roman" w:hAnsi="Times New Roman" w:cs="Times New Roman"/>
      <w:kern w:val="0"/>
      <w:sz w:val="20"/>
      <w:szCs w:val="20"/>
    </w:r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Body Text"/>
    <w:basedOn w:val="1"/>
    <w:next w:val="9"/>
    <w:unhideWhenUsed/>
    <w:qFormat/>
    <w:uiPriority w:val="99"/>
    <w:pPr>
      <w:spacing w:after="120"/>
    </w:pPr>
  </w:style>
  <w:style w:type="paragraph" w:styleId="9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10">
    <w:name w:val="Body Text Indent"/>
    <w:basedOn w:val="1"/>
    <w:qFormat/>
    <w:uiPriority w:val="0"/>
    <w:pPr>
      <w:spacing w:after="120"/>
      <w:ind w:left="420" w:leftChars="200"/>
    </w:pPr>
  </w:style>
  <w:style w:type="paragraph" w:styleId="11">
    <w:name w:val="Plain Text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宋体" w:hAnsi="Courier New"/>
      <w:kern w:val="0"/>
      <w:sz w:val="20"/>
      <w:szCs w:val="20"/>
      <w:lang w:val="en-US" w:eastAsia="zh-CN"/>
    </w:rPr>
  </w:style>
  <w:style w:type="paragraph" w:styleId="1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3">
    <w:name w:val="Body Text First Indent"/>
    <w:basedOn w:val="8"/>
    <w:next w:val="1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pacing w:line="360" w:lineRule="auto"/>
      <w:ind w:firstLine="200" w:firstLineChars="200"/>
      <w:jc w:val="both"/>
    </w:pPr>
    <w:rPr>
      <w:kern w:val="0"/>
      <w:sz w:val="24"/>
      <w:lang w:val="en-US" w:eastAsia="zh-CN"/>
    </w:r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">
    <w:name w:val="目录 21"/>
    <w:basedOn w:val="1"/>
    <w:next w:val="1"/>
    <w:qFormat/>
    <w:uiPriority w:val="0"/>
    <w:pPr>
      <w:spacing w:before="100" w:beforeAutospacing="1" w:after="100" w:afterAutospacing="1"/>
      <w:ind w:left="420" w:leftChars="200"/>
    </w:pPr>
  </w:style>
  <w:style w:type="paragraph" w:customStyle="1" w:styleId="18">
    <w:name w:val="_Style 5"/>
    <w:basedOn w:val="1"/>
    <w:qFormat/>
    <w:uiPriority w:val="0"/>
    <w:pPr>
      <w:adjustRightInd/>
      <w:spacing w:line="240" w:lineRule="auto"/>
      <w:ind w:firstLine="420" w:firstLineChars="200"/>
      <w:textAlignment w:val="auto"/>
    </w:pPr>
    <w:rPr>
      <w:rFonts w:ascii="Calibri" w:hAnsi="Calibri" w:eastAsia="宋体" w:cs="Times New Roman"/>
      <w:kern w:val="2"/>
      <w:sz w:val="21"/>
      <w:szCs w:val="22"/>
    </w:rPr>
  </w:style>
  <w:style w:type="paragraph" w:customStyle="1" w:styleId="19">
    <w:name w:val="报告正文"/>
    <w:basedOn w:val="1"/>
    <w:qFormat/>
    <w:uiPriority w:val="0"/>
    <w:pPr>
      <w:ind w:firstLine="200" w:firstLineChars="200"/>
      <w:textAlignment w:val="baseline"/>
    </w:pPr>
    <w:rPr>
      <w:color w:val="FF0000"/>
      <w:kern w:val="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7111</Words>
  <Characters>7982</Characters>
  <Lines>0</Lines>
  <Paragraphs>0</Paragraphs>
  <TotalTime>2</TotalTime>
  <ScaleCrop>false</ScaleCrop>
  <LinksUpToDate>false</LinksUpToDate>
  <CharactersWithSpaces>8069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2021-02-24T07:45:00Z</dcterms:created>
  <dc:creator>maja</dc:creator>
  <cp:lastModifiedBy>gzry15</cp:lastModifiedBy>
  <cp:lastPrinted>2022-02-11T02:00:00Z</cp:lastPrinted>
  <dcterms:modified xsi:type="dcterms:W3CDTF">2026-01-28T13:44:53Z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60C133BC701247DD9F6BC641419B4B48</vt:lpwstr>
  </property>
</Properties>
</file>