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default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bookmarkStart w:id="0" w:name="_Toc8445"/>
      <w:r>
        <w:rPr>
          <w:rFonts w:hint="eastAsia" w:hAnsi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标的4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eastAsia" w:hAnsi="宋体" w:cs="宋体"/>
          <w:b/>
          <w:color w:val="FF0000"/>
          <w:sz w:val="28"/>
          <w:szCs w:val="28"/>
          <w:highlight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名称：</w:t>
      </w:r>
      <w:r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  <w:t>潮州220千伏径南（铁铺）输变电工程施工</w:t>
      </w:r>
    </w:p>
    <w:tbl>
      <w:tblPr>
        <w:tblStyle w:val="14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广东电网有限责任公司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潮州</w:t>
            </w: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、汕头</w:t>
            </w: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广东省潮州、汕头市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广电规〔2022〕171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项目核准、备案文号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粤发改核准〔2025〕18号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广电计财〔2025〕40号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广电建〔2025〕230号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snapToGrid w:val="0"/>
              <w:spacing w:line="48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广东天联</w:t>
            </w: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电力设计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广东创成建设监理咨询有限公司</w:t>
            </w:r>
          </w:p>
        </w:tc>
      </w:tr>
    </w:tbl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default" w:hAnsi="宋体" w:cs="宋体"/>
          <w:b/>
          <w:color w:val="FF0000"/>
          <w:sz w:val="28"/>
          <w:szCs w:val="28"/>
          <w:highlight w:val="none"/>
          <w:lang w:val="en-US" w:eastAsia="zh-CN"/>
        </w:rPr>
      </w:pPr>
    </w:p>
    <w:bookmarkEnd w:id="0"/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建设规模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Chars="0"/>
        <w:textAlignment w:val="auto"/>
        <w:outlineLvl w:val="0"/>
        <w:rPr>
          <w:rFonts w:hint="default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hAnsi="宋体" w:eastAsia="宋体" w:cs="宋体"/>
          <w:b/>
          <w:bCs/>
          <w:snapToGrid w:val="0"/>
          <w:color w:val="auto"/>
          <w:sz w:val="21"/>
          <w:szCs w:val="21"/>
          <w:highlight w:val="none"/>
          <w:u w:val="none"/>
          <w:lang w:val="en-US" w:eastAsia="zh-CN"/>
        </w:rPr>
        <w:t>潮州220千伏径南（铁铺）输变电工程（潮州段）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※变电部分：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1.220kV径南变电站工程：本期新建主变压器1×180MVA，4回220kV出线（本期新建6个出线间隔，其中2个预留至柘林湾站），4回110kV出线，13回10kV出线（其中1回为外引电源），10kV无功补偿电容器组1×3×8Mvar。变电站区拟建建筑物共6座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2.220kV卧岭站扩建220kV间隔工程：前期采用双母线接线，本期不改变其接线方式。卧岭站220kV配电装置布置在站区东南侧。前期为AIS间隔单列中型布置。本期在预留位置扩建2回220kV架空出线至220kV径南站。平面布置与前期保持一致。二次部分：本期220kV线路每回均配置双套电流差动保护，每套保护均采用专用光纤通道和复用光纤通道构成的双通道。原有综合自动化监控系统扩容。新增线路配有功0.5S级电能表。配置220kV备自投。本期工程在预留备用场地内扩建，无须新征地。场地标高采用原场地设计标高。本期扩建设备支架采用钢管结构，所有钢结构构件均采用热镀锌防腐处理。本期扩建的构筑物基础采用浅基础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3.巡检中心工程：巡检中心区内拟建巡检楼1座，拟采用独立基础。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※架空线路部分：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1.220kV径南至澄海双回线路工程（潮州段）：本工程位于潮州市铁铺镇、钱东镇、盐鸿镇。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自500kV澄海站至220kV径南站。新建220kV同塔双回架空线路长约2×13.5km。其中潮州段线路长度约2×8km，汕头段线路长度约2×5.5km（汕头段不属于本工程）。导线截面2×630mm。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2.220kV径南至卧岭双回送电线路工程：本工程位于潮州市铁铺镇、磷溪镇。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自220kV径南站至220kV卧岭站。新建220kV同塔双回架空线路长约2×13.6km。导线截面2×630mm2。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3.110kV新联至铁铺双回线路解口入径南站送电线路工程：本工程位于潮州市铁铺镇。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解口110kV新联至铁铺双回线路入径南站,形成110kV径南至铁铺双回线路及110kV径南至新联双回线路。新建110kV同塔双回架空线路长约2×2.8km，110kV同塔四回架空线路长约4×0.4km。导线截面1×300mm2。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※通信部分：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.配套通信设备工程：①径南站配置3套STM-64ASON设备，对侧站配置相应的光接口单元，分别接入省传输ASON网、潮州地区传输ASON网、传输新网B；②径南站配置1套接入路由器、1套汇聚路由器，接入调度数据A、B平面；③径南站配置1套接入路由器、1套IV区防火墙、2套接入交换机、1套WAPI站端系统，接入潮州地区综合数据网；④径南站配置1套接入交换机，接入潮州地区配电数据网；⑤径南站配置1套接入交换机，接入潮州地区语音视频网；⑥径南站配置1套软交换IAD模块、3套E1接入网关设备、1套统一通信终端；⑦径南站配置2套-48V/300A/800Ah通信电源，电源系统按双重化原则配置；⑧径南站配置2套通信电源监测装置及2套蓄电池远程核容装置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2.220kV径南至澄海双回线路工程OPGW光缆工程（潮州段）：沿径南站至澄海站220kV新建线路建设2条72芯OPGW光缆，新建光缆路径长为2×13.5km，其中潮州段线路长度约2×8km，汕头段线路长度约2×5.5km（汕头段不属于本工程）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3.220kV径南至卧岭双回线路工程OPGW光缆工程：沿径南站至卧岭站220kV新建线路建设2条72芯OPGW光缆，新建光缆路径长为2×13.6km。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4.110kV新联至铁铺双回线路解口入径南站送电线路工程OPGW光缆工程：解口站新联至铁铺站110kV线路的2条光缆入径南站，沿径南站至解口点新建线路四回路段建设2条96芯OPGW光缆、双回路段建设2条48芯OPGW光缆，新建光缆路径长度为2×0.4km+2×2.8km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具体建设规模以施工图纸为准。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Chars="0"/>
        <w:textAlignment w:val="auto"/>
        <w:outlineLvl w:val="0"/>
        <w:rPr>
          <w:rFonts w:hint="default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hAnsi="宋体" w:eastAsia="宋体" w:cs="宋体"/>
          <w:b/>
          <w:bCs/>
          <w:snapToGrid w:val="0"/>
          <w:color w:val="auto"/>
          <w:sz w:val="21"/>
          <w:szCs w:val="21"/>
          <w:highlight w:val="none"/>
          <w:u w:val="none"/>
          <w:lang w:val="en-US" w:eastAsia="zh-CN"/>
        </w:rPr>
        <w:t>潮州220千伏径南（铁铺）输变电工程（</w:t>
      </w:r>
      <w:r>
        <w:rPr>
          <w:rFonts w:hint="eastAsia" w:hAnsi="宋体" w:cs="宋体"/>
          <w:b/>
          <w:bCs/>
          <w:snapToGrid w:val="0"/>
          <w:color w:val="auto"/>
          <w:sz w:val="21"/>
          <w:szCs w:val="21"/>
          <w:highlight w:val="none"/>
          <w:u w:val="none"/>
          <w:lang w:val="en-US" w:eastAsia="zh-CN"/>
        </w:rPr>
        <w:t>汕头</w:t>
      </w:r>
      <w:r>
        <w:rPr>
          <w:rFonts w:hint="eastAsia" w:hAnsi="宋体" w:eastAsia="宋体" w:cs="宋体"/>
          <w:b/>
          <w:bCs/>
          <w:snapToGrid w:val="0"/>
          <w:color w:val="auto"/>
          <w:sz w:val="21"/>
          <w:szCs w:val="21"/>
          <w:highlight w:val="none"/>
          <w:u w:val="none"/>
          <w:lang w:val="en-US" w:eastAsia="zh-CN"/>
        </w:rPr>
        <w:t>段）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※变电部分：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1.500kV澄海站扩建220kV间隔工程：前期采用双母线双分段接线，本期不改变其接线方式。澄海站220kV配电装置布置在站区西南侧。前期采用户内GIS设备单列布置。本期在预留位置扩建2回220kV架空出线至220kV径南站。平面布置与前期保持一致。二次部分：本期220kV线路每回均配置双套电流差动保护，每套保护均采用专用光纤通道和复用光纤通道构成的双通道。原有综合自动化监控系统扩容。新增线路配有功0.5S级电能表。配置220kV线路行波测距装置。本期工程在预留备用场地内扩建，无须新征地。场地标高采用原场地设计标高。本期扩建设备支架采用钢管结构，所有钢结构构件均采用热镀锌防腐处理。本期扩建的构筑物基础采用浅基础或管桩基础，前期工程已完成管桩施工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※架空线路部分：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1.220kV径南至澄海双回送电线路工程（汕头段）：自500kV澄海站至220kV径南站。新建220kV同塔双回架空线路长约2×13.5km。其中汕头段线路长度约2×5.5km。导线每相采用2×JL/LB20A-630/45型铝包钢芯铝绞线。架空地线采用2根72芯OPGW-120-72-2-4光缆（采用G.652D纤芯）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※通信部分：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1.220kV径南至澄海双回送电线路(OPGW)光缆工程（汕头段）：沿径南站至澄海站220kV新建线路建设2条72芯OPGW光缆，新建光缆路径长为2×13.5km。其中汕头段线路长度约2×5.5km。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具体建设规模以施工图纸为准。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采购范围</w:t>
      </w:r>
      <w:bookmarkStart w:id="1" w:name="施工招标范围综合"/>
    </w:p>
    <w:bookmarkEnd w:id="1"/>
    <w:p>
      <w:pPr>
        <w:pStyle w:val="11"/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Chars="0"/>
        <w:textAlignment w:val="auto"/>
        <w:outlineLvl w:val="0"/>
        <w:rPr>
          <w:rFonts w:hint="default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hAnsi="宋体" w:eastAsia="宋体" w:cs="宋体"/>
          <w:b/>
          <w:bCs/>
          <w:snapToGrid w:val="0"/>
          <w:color w:val="auto"/>
          <w:sz w:val="21"/>
          <w:szCs w:val="21"/>
          <w:highlight w:val="none"/>
          <w:u w:val="none"/>
          <w:lang w:val="en-US" w:eastAsia="zh-CN"/>
        </w:rPr>
        <w:t>潮州220千伏径南（铁铺）输变电工程（潮州段）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※变电部分：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变电建筑工程：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（一）主要生产工程：主要生产建筑，配电装置建筑，供水系统，消防系统；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（二）辅助生产工程：辅助生产建筑，站区性建筑，特殊构筑物，全站沉降观测点，站区绿化；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（三）与站址有关的单项工程：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☑地基处理，☑站外道路（其中□桥涵），☑站外水源，☑站外排水，□站外蒸发池，□施工降水，☑临时施工电源，□临时施工水源，□临时施工道路，□临时施工通信线路，□临时施工防护工程；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（四）其他费用工程：☑白蚁防治，□拆除工程；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（五）其他：      /    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变电安装工程：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一）主要生产工程：主变压器系统，配电装置，无功补偿，控制及直流系统，站用电系统，电缆及接地，远动系统（含总调、中调、地调调度端的扩容），计费系统，全站调试（其中特殊调试以合同附件特殊调试项目为准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（二）辅助生产工程：检修及修配设备；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（三）与站址有关的单项工程：□站外电源，□站外通信；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（四）其他费用工程：☑标志牌安装，☑拆除工程；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（五）其他：      /     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※架空线路部分：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（一）基础工程：基础工程材料工地运输，土石方工程，基础砌筑，基础防腐，基础防护，地基处理；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（二）杆塔工程：杆塔工程材料工地运输，杆塔组立；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（三）接地工程：接地工程材料工地运输，接地土石方，接地安装；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四）架线工程：架线工程材料工地运输，导地线架设（不含OPGW接续与测量），导地线跨越架设（其中□带电跨越10千伏及以下电力线路、□带电跨越35千伏及以上电力线路、□跨越铁路、☑高速公路、☑一、二级公路、☑河流），其他架线工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（五）附件安装工程：附件安装工程材料工地运输，绝缘子串及金具安装；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六）辅助工程：永久施工道路修筑，尖峰、施工基面土石方工程，护坡、挡土墙及排洪沟，基础永久性围堰，索道站安装，杆塔上装的各类辅助生产装置（其中：☑标志牌安装，☑防坠地装置，☑防鸟刺装置），☑输、送电线路试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七）其他费用工程：□拆除工程，□施工临时占用地补偿（含牵引场地租用费），□施工临时占用地（含牵引场地）青苗赔偿，□临时施工道路的青苗赔偿，□塔基占地及其青苗赔偿，□架线青苗赔偿，□接地线铺设的青苗赔偿，☑塔基绿化恢复，☑临时施工道路修筑费（单价/总价均报），输电线路跨越补偿费（□跨越铁路补偿费、☑跨越高速公路补偿费、□跨越一、二级公路补偿费、□跨越通航河流补偿费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（八）其他：  ☑水土保持措施费、☑材料站租用费。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※通信部分：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变电站工程：施工图纸范围内的通信设备安装及测试、光缆单盘测试、中继测试、接续、光缆及联络光缆敷设、通信子管敷设、通道开通及业务接入、割接等；设备、光缆及金具卸车清点、验收及保管，与施工相关的所有其他费用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架空线路部分：施工图纸范围内的光缆单盘测量、接续、全程测量；与施工相关的所有其他费用项目；不包含光缆架设、拆除、跨越及青苗赔偿。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Chars="0"/>
        <w:textAlignment w:val="auto"/>
        <w:outlineLvl w:val="0"/>
        <w:rPr>
          <w:rFonts w:hint="default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hAnsi="宋体" w:eastAsia="宋体" w:cs="宋体"/>
          <w:b/>
          <w:bCs/>
          <w:snapToGrid w:val="0"/>
          <w:color w:val="auto"/>
          <w:sz w:val="21"/>
          <w:szCs w:val="21"/>
          <w:highlight w:val="none"/>
          <w:u w:val="none"/>
          <w:lang w:val="en-US" w:eastAsia="zh-CN"/>
        </w:rPr>
        <w:t>潮州220千伏径南（铁铺）输变电工程（</w:t>
      </w:r>
      <w:r>
        <w:rPr>
          <w:rFonts w:hint="eastAsia" w:hAnsi="宋体" w:cs="宋体"/>
          <w:b/>
          <w:bCs/>
          <w:snapToGrid w:val="0"/>
          <w:color w:val="auto"/>
          <w:sz w:val="21"/>
          <w:szCs w:val="21"/>
          <w:highlight w:val="none"/>
          <w:u w:val="none"/>
          <w:lang w:val="en-US" w:eastAsia="zh-CN"/>
        </w:rPr>
        <w:t>汕头</w:t>
      </w:r>
      <w:r>
        <w:rPr>
          <w:rFonts w:hint="eastAsia" w:hAnsi="宋体" w:eastAsia="宋体" w:cs="宋体"/>
          <w:b/>
          <w:bCs/>
          <w:snapToGrid w:val="0"/>
          <w:color w:val="auto"/>
          <w:sz w:val="21"/>
          <w:szCs w:val="21"/>
          <w:highlight w:val="none"/>
          <w:u w:val="none"/>
          <w:lang w:val="en-US" w:eastAsia="zh-CN"/>
        </w:rPr>
        <w:t>段）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※变电部分：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变电建筑工程：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（一）主要生产工程：主要生产建筑，配电装置建筑，供水系统，消防系统；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（二）辅助生产工程：辅助生产建筑，站区性建筑，特殊构筑物，全站沉降观测点，站区绿化；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（三）与站址有关的单项工程：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□地基处理，□站外道路（其中□桥涵），□站外水源，□站外排水，□站外蒸发池，□施工降水，□临时施工电源，□临时施工水源，□临时施工道路，□临时施工通信线路，□临时施工防护工程；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（四）其他费用工程：□白蚁防治，☑拆除工程；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（五）其他：    /    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变电安装工程：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（一）主要生产工程：主变压器系统，配电装置，无功补偿，控制及直流系统，站用电系统，电缆及接地，远动系统（含总调、中调、地调调度端的扩容），计费系统，全站调试（其中特殊调试以合同附件特殊调试项目为准）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（二）辅助生产工程：检修及修配设备；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（三）与站址有关的单项工程：□站外电源，□站外通信；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（四）其他费用工程：☑标志牌安装，□拆除工程；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（五）其他：    /     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※架空线路部分：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（一）基础工程：基础工程材料工地运输，土石方工程，基础砌筑，基础防腐，基础防护，地基处理；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（二）杆塔工程：杆塔工程材料工地运输，杆塔组立；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（三）接地工程：接地工程材料工地运输，接地土石方，接地安装；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（四）架线工程：架线工程材料工地运输，导地线架设（不含OPGW接续与测量），导地线跨越架设（其中☑带电跨越10千伏及以下电力线路、□带电跨越35千伏及以上电力线路、☑跨越铁路、□高速公路、□一、二级公路、☑河流），其他架线工程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（五）附件安装工程：附件安装工程材料工地运输，绝缘子串及金具安装；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（六）辅助工程：永久施工道路修筑，尖峰、施工基面土石方工程，护坡、挡土墙及排洪沟，基础永久性围堰，索道站安装，杆塔上装的各类辅助生产装置（其中：☑标志牌安装，☑防坠地装置，☑防鸟刺装置），□输、送电线路试运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（七）其他费用工程：☑拆除工程，□施工临时占用地补偿（含牵引场地租用费），□施工临时占用地（含牵引场地）青苗赔偿，□临时施工道路的青苗赔偿，□塔基占地及其青苗赔偿，□架线青苗赔偿，□接地线铺设的青苗赔偿，□塔基绿化恢复，☑临时施工道路修筑费（单价/总价均报），输电线路跨越补偿费（□跨越铁路补偿费、□跨越高速公路补偿费、□跨越一、二级公路补偿费、□跨越通航河流补偿费）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（八）其他： ☑水土保持措施费、☑材料站租用费。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※通信部分：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变电站工程：施工图纸范围内的通信设备安装及测试、光缆单盘测试、中继测试、接续、光缆及联络光缆敷设、通信子管敷设、通道开通及业务接入、割接等；设备、光缆及金具卸车清点、验收及保管，与施工相关的所有其他费用项目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架空线路部分：施工图纸范围内的光缆单盘测量、接续、全程测量；与施工相关的所有其他费用项目；不包含光缆架设、拆除、跨越及青苗赔偿。</w:t>
      </w: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承包方式</w:t>
      </w: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 xml:space="preserve"> 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Chars="0"/>
        <w:textAlignment w:val="auto"/>
        <w:outlineLvl w:val="0"/>
        <w:rPr>
          <w:rFonts w:hint="default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hAnsi="宋体" w:eastAsia="宋体" w:cs="宋体"/>
          <w:b/>
          <w:bCs/>
          <w:snapToGrid w:val="0"/>
          <w:color w:val="auto"/>
          <w:sz w:val="21"/>
          <w:szCs w:val="21"/>
          <w:highlight w:val="none"/>
          <w:u w:val="none"/>
          <w:lang w:val="en-US" w:eastAsia="zh-CN"/>
        </w:rPr>
        <w:t>潮州220千伏径南（铁铺）输变电工程（</w:t>
      </w:r>
      <w:r>
        <w:rPr>
          <w:rFonts w:hint="eastAsia" w:hAnsi="宋体" w:cs="宋体"/>
          <w:b/>
          <w:bCs/>
          <w:snapToGrid w:val="0"/>
          <w:color w:val="auto"/>
          <w:sz w:val="21"/>
          <w:szCs w:val="21"/>
          <w:highlight w:val="none"/>
          <w:u w:val="none"/>
          <w:lang w:val="en-US" w:eastAsia="zh-CN"/>
        </w:rPr>
        <w:t>潮州</w:t>
      </w:r>
      <w:r>
        <w:rPr>
          <w:rFonts w:hint="eastAsia" w:hAnsi="宋体" w:eastAsia="宋体" w:cs="宋体"/>
          <w:b/>
          <w:bCs/>
          <w:snapToGrid w:val="0"/>
          <w:color w:val="auto"/>
          <w:sz w:val="21"/>
          <w:szCs w:val="21"/>
          <w:highlight w:val="none"/>
          <w:u w:val="none"/>
          <w:lang w:val="en-US" w:eastAsia="zh-CN"/>
        </w:rPr>
        <w:t>段）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※变电部分：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（一）甲供物资：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变电建筑工程：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1、不锈钢材质检修电源箱，不锈钢材质配电箱（含照明和动力配电箱），电力电缆，控制电缆，低压电线，铜铝端子，铜端子，构支架钢结构（含构支架、横梁，爬梯、避雷针），标准成品预制电缆沟盖板（包括混凝土盖板和复合盖板），装配式变电站围墙和主变防火墙（含混凝土和复合材质，厂家包安装及基础灌浆），电缆支架（铝合金、角钢、复合材质），电杆（含混凝土和复合材料），电缆保护管材（HDPE管、涂塑钢管、PVC管、MPP管），电缆管塞封堵器，空调（精密空调、中央空调（换流站阀厅用）、工业空调（STATCOM集装箱用）、防爆空调（蓄电池室）），智能围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2、□装配式电缆沟、□消防电缆、□电梯（不含货物电梯）、□嵌入式空调（天井式）、☑专用空调（生产场所、带自动启动功能）。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变电安装工程：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1、电气一、二次设备，预制舱配电房，机载高速光电吊舱设备，铝镁合金管形母线及其配套金具，金具及附件（含线夹），钢绞线，铝绞线，红外热像仪，变电站智能巡检机器人，独立五防系统，检修隔离装置，视频及环境监控系统，监测装置，变压器配电箱（SMC材质、不锈钢材质），不锈钢材质端子箱，不锈钢材质检修电源箱，不锈钢材质发电车开关箱，不锈钢材质配电箱（含照明和动力配电箱），电力电缆，控制电缆，计量用电线，10kV及以上电缆头，各种类型绝缘子，封闭母线桥，10kV绝缘铜管母线，穿墙套管，电缆支架（铝合金、角钢、复合材质）、铝合金电缆桥架、计量接引装置、电抗器接地装置、小电流接地选线装置、通用型标志牌（包括：禁止攀登、高压危险、禁止抛物、高压危险等提醒类标志牌及相线牌、安装支架，不涉及资产名称、编号或位置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2、□吊车。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（二）其他甲供物资：     /    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※架空线路部分：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（一）甲供物资：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1、杆塔（水泥杆），铁塔加固器装置，高空防坠落装置，攀爬机轨道，钢绞线，铝绞线，导地线，绝缘子、绝缘横担，金具，标准铁构件，光缆，光缆金具，线路避雷器，故障指示器，故障精确定位装置，监测装置，视频监控系统，防鸟装置，铜覆钢接地极，石墨基接地体，通用型标志牌（包括：禁止攀登、高压危险、禁止抛物、高压危险等提醒类标志牌及相线牌、安装支架，不涉及资产名称、编号或位置）、警示灯（航空、航道）、航道牌及支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2、☑地脚螺栓，☑直升机巡视作业标志牌。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（二）其他甲供物资：    /     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※通信部分：建设单位提供部分设备及材料：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变电部分：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（一）甲供物资：通信相关设备（含光传输设备、无线设备、电话、电池、监控、视频会议系统等），数据网设备，机架，通信电源，通信光缆及其金具，综合配线设备及材料，电缆保护管材（HDPE管、涂塑钢管、PVC管、MPP管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（二）其他甲供物资：     /      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线路部分：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（一）甲供物资：光缆。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（二）其他甲供物资：☑光缆金具。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注：建设单位提供的设备、材料以合同附件（甲供设备材料明细表）为准。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Chars="0"/>
        <w:textAlignment w:val="auto"/>
        <w:outlineLvl w:val="0"/>
        <w:rPr>
          <w:rFonts w:hint="default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hAnsi="宋体" w:eastAsia="宋体" w:cs="宋体"/>
          <w:b/>
          <w:bCs/>
          <w:snapToGrid w:val="0"/>
          <w:color w:val="auto"/>
          <w:sz w:val="21"/>
          <w:szCs w:val="21"/>
          <w:highlight w:val="none"/>
          <w:u w:val="none"/>
          <w:lang w:val="en-US" w:eastAsia="zh-CN"/>
        </w:rPr>
        <w:t>潮州220千伏径南（铁铺）输变电工程（</w:t>
      </w:r>
      <w:r>
        <w:rPr>
          <w:rFonts w:hint="eastAsia" w:hAnsi="宋体" w:cs="宋体"/>
          <w:b/>
          <w:bCs/>
          <w:snapToGrid w:val="0"/>
          <w:color w:val="auto"/>
          <w:sz w:val="21"/>
          <w:szCs w:val="21"/>
          <w:highlight w:val="none"/>
          <w:u w:val="none"/>
          <w:lang w:val="en-US" w:eastAsia="zh-CN"/>
        </w:rPr>
        <w:t>汕头</w:t>
      </w:r>
      <w:r>
        <w:rPr>
          <w:rFonts w:hint="eastAsia" w:hAnsi="宋体" w:eastAsia="宋体" w:cs="宋体"/>
          <w:b/>
          <w:bCs/>
          <w:snapToGrid w:val="0"/>
          <w:color w:val="auto"/>
          <w:sz w:val="21"/>
          <w:szCs w:val="21"/>
          <w:highlight w:val="none"/>
          <w:u w:val="none"/>
          <w:lang w:val="en-US" w:eastAsia="zh-CN"/>
        </w:rPr>
        <w:t>段）</w:t>
      </w:r>
    </w:p>
    <w:p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※变电部分：</w:t>
      </w:r>
    </w:p>
    <w:p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（一）甲供物资：</w:t>
      </w:r>
    </w:p>
    <w:p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变电建筑工程：</w:t>
      </w:r>
    </w:p>
    <w:p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1、不锈钢材质检修电源箱，不锈钢材质配电箱（含照明和动力配电箱），电力电缆，控制电缆，低压电线，铜铝端子，铜端子，构支架钢结构（含构支架、横梁，爬梯、避雷针），标准成品预制电缆沟盖板（包括混凝土盖板和复合盖板），装配式变电站围墙和主变防火墙（含混凝土和复合材质，厂家包安装及基础灌浆），电缆支架（铝合金、角钢、复合材质），电杆（含混凝土和复合材料），电缆保护管材（HDPE管、涂塑钢管、PVC管、MPP管），电缆管塞封堵器，空调（精密空调、中央空调（换流站阀厅用）、工业空调（STATCOM集装箱用）、防爆空调（蓄电池室）），智能围栏。</w:t>
      </w:r>
    </w:p>
    <w:p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2、□装配式电缆沟、□消防电缆、□电梯（不含货物电梯）、□嵌入式空调（天井式）、□专用空调（生产场所、带自动启动功能）。</w:t>
      </w:r>
    </w:p>
    <w:p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变电安装工程：</w:t>
      </w:r>
    </w:p>
    <w:p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1、电气一、二次设备，预制舱配电房，机载高速光电吊舱设备，铝镁合金管形母线及其配套金具，金具及附件（含线夹），钢绞线，铝绞线，红外热像仪，变电站智能巡检机器人，独立五防系统，检修隔离装置，视频及环境监控系统，监测装置，变压器配电箱（SMC材质、不锈钢材质），不锈钢材质端子箱，不锈钢材质检修电源箱，不锈钢材质发电车开关箱，不锈钢材质配电箱（含照明和动力配电箱），电力电缆，控制电缆，计量用电线，10kV及以上电缆头，各种类型绝缘子，封闭母线桥，10kV绝缘铜管母线，穿墙套管，电缆支架（铝合金、角钢、复合材质）、铝合金电缆桥架、计量接引装置、电抗器接地装置、小电流接地选线装置、通用型标志牌（包括：禁止攀登、高压危险、禁止抛物、高压危险等提醒类标志牌及相线牌、安装支架，不涉及资产名称、编号或位置）。</w:t>
      </w:r>
    </w:p>
    <w:p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2、□吊车。</w:t>
      </w:r>
    </w:p>
    <w:p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（二）其他甲供物资：     /    。</w:t>
      </w:r>
    </w:p>
    <w:p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※架空线路部分：</w:t>
      </w:r>
    </w:p>
    <w:p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（一）甲供物资：</w:t>
      </w:r>
    </w:p>
    <w:p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1、杆塔（水泥杆），铁塔加固器装置，高空防坠落装置，攀爬机轨道，钢绞线，铝绞线，导地线，绝缘子、绝缘横担，金具，标准铁构件，光缆，光缆金具，线路避雷器，故障指示器，故障精确定位装置，监测装置，视频监控系统，防鸟装置，铜覆钢接地极，石墨基接地体，通用型标志牌（包括：禁止攀登、高压危险、禁止抛物、高压危险等提醒类标志牌及相线牌、安装支架，不涉及资产名称、编号或位置）、警示灯（航空、航道）、航道牌及支架。</w:t>
      </w:r>
    </w:p>
    <w:p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2、☑地脚螺栓，☑直升机巡视作业标志牌。</w:t>
      </w:r>
    </w:p>
    <w:p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（二）其他甲供物资：    /     。</w:t>
      </w:r>
    </w:p>
    <w:p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※通信部分：建设单位提供部分设备及材料：</w:t>
      </w:r>
    </w:p>
    <w:p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变电部分：</w:t>
      </w:r>
    </w:p>
    <w:p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（一）甲供物资：通信相关设备（含光传输设备、无线设备、电话、电池、监控、视频会议系统等），数据网设备，机架，通信电源，通信光缆及其金具，综合配线设备及材料，电缆保护管材（HDPE管、涂塑钢管、PVC管、MPP管）。</w:t>
      </w:r>
    </w:p>
    <w:p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（二）其他甲供物资：    /     。</w:t>
      </w:r>
    </w:p>
    <w:p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线路部分：</w:t>
      </w:r>
    </w:p>
    <w:p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（一）甲供物资：光缆。</w:t>
      </w:r>
    </w:p>
    <w:p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（二）其他甲供物资： ☑光缆金具。</w:t>
      </w:r>
    </w:p>
    <w:p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注：建设单位提供的设备、材料以合同附件（甲供设备材料明细表）为准。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3F47E8"/>
    <w:multiLevelType w:val="singleLevel"/>
    <w:tmpl w:val="273F47E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mOGUyZmFiZDQ3NmE5NzU1OWEyZWQxZGI0NDIzNTMifQ=="/>
  </w:docVars>
  <w:rsids>
    <w:rsidRoot w:val="24F737D8"/>
    <w:rsid w:val="00503881"/>
    <w:rsid w:val="00675492"/>
    <w:rsid w:val="00C073B0"/>
    <w:rsid w:val="01000F1F"/>
    <w:rsid w:val="014D50AE"/>
    <w:rsid w:val="0270337E"/>
    <w:rsid w:val="0465127D"/>
    <w:rsid w:val="04D31677"/>
    <w:rsid w:val="050E07AE"/>
    <w:rsid w:val="05B87515"/>
    <w:rsid w:val="05E259E1"/>
    <w:rsid w:val="068D71D9"/>
    <w:rsid w:val="07751D79"/>
    <w:rsid w:val="077730CD"/>
    <w:rsid w:val="096F39F0"/>
    <w:rsid w:val="09F62510"/>
    <w:rsid w:val="0BC07002"/>
    <w:rsid w:val="0C6B30AA"/>
    <w:rsid w:val="0D0758F3"/>
    <w:rsid w:val="0D882D55"/>
    <w:rsid w:val="0D9432B7"/>
    <w:rsid w:val="0E6425BD"/>
    <w:rsid w:val="0E7F20D3"/>
    <w:rsid w:val="10A919C2"/>
    <w:rsid w:val="11444D6C"/>
    <w:rsid w:val="116419AD"/>
    <w:rsid w:val="11DF6CFE"/>
    <w:rsid w:val="11FC1228"/>
    <w:rsid w:val="1221206F"/>
    <w:rsid w:val="12617BA5"/>
    <w:rsid w:val="13C71878"/>
    <w:rsid w:val="142C4DA5"/>
    <w:rsid w:val="14440D4B"/>
    <w:rsid w:val="15056A61"/>
    <w:rsid w:val="15F1120D"/>
    <w:rsid w:val="16BE50DE"/>
    <w:rsid w:val="17241016"/>
    <w:rsid w:val="17311749"/>
    <w:rsid w:val="18B14F30"/>
    <w:rsid w:val="18E57496"/>
    <w:rsid w:val="190C67D7"/>
    <w:rsid w:val="193066EB"/>
    <w:rsid w:val="196B23E3"/>
    <w:rsid w:val="1A2F2F81"/>
    <w:rsid w:val="1B1435D1"/>
    <w:rsid w:val="1B663F82"/>
    <w:rsid w:val="1BA9108A"/>
    <w:rsid w:val="1C660CB1"/>
    <w:rsid w:val="1D592E11"/>
    <w:rsid w:val="1DDE16D6"/>
    <w:rsid w:val="1EA379B5"/>
    <w:rsid w:val="20E776A4"/>
    <w:rsid w:val="216F4D5B"/>
    <w:rsid w:val="22B30023"/>
    <w:rsid w:val="22BD2637"/>
    <w:rsid w:val="22D01CE9"/>
    <w:rsid w:val="23290A9A"/>
    <w:rsid w:val="24E46BF4"/>
    <w:rsid w:val="24F737D8"/>
    <w:rsid w:val="250E3A49"/>
    <w:rsid w:val="274170EE"/>
    <w:rsid w:val="2785030E"/>
    <w:rsid w:val="278F57AD"/>
    <w:rsid w:val="27E47C4B"/>
    <w:rsid w:val="28F46A2A"/>
    <w:rsid w:val="296555D1"/>
    <w:rsid w:val="29A55C56"/>
    <w:rsid w:val="29FC239E"/>
    <w:rsid w:val="2BED7EC0"/>
    <w:rsid w:val="2BFF0E0F"/>
    <w:rsid w:val="2D8D50EF"/>
    <w:rsid w:val="2D8E3667"/>
    <w:rsid w:val="2E816236"/>
    <w:rsid w:val="2E9A5E18"/>
    <w:rsid w:val="2F362DFB"/>
    <w:rsid w:val="2F893A97"/>
    <w:rsid w:val="2FF65FF8"/>
    <w:rsid w:val="30035F08"/>
    <w:rsid w:val="300D195C"/>
    <w:rsid w:val="3044134F"/>
    <w:rsid w:val="30BF37B5"/>
    <w:rsid w:val="30D22D2F"/>
    <w:rsid w:val="312C2AE5"/>
    <w:rsid w:val="3178798B"/>
    <w:rsid w:val="3220664F"/>
    <w:rsid w:val="3244265D"/>
    <w:rsid w:val="32F2736E"/>
    <w:rsid w:val="35B73053"/>
    <w:rsid w:val="36125C8F"/>
    <w:rsid w:val="361736AD"/>
    <w:rsid w:val="36676B65"/>
    <w:rsid w:val="36905D28"/>
    <w:rsid w:val="36A54835"/>
    <w:rsid w:val="36D200CF"/>
    <w:rsid w:val="38382DC3"/>
    <w:rsid w:val="38F32560"/>
    <w:rsid w:val="39446F46"/>
    <w:rsid w:val="3B2A0F67"/>
    <w:rsid w:val="3B3D0468"/>
    <w:rsid w:val="3BB261E1"/>
    <w:rsid w:val="3BCA27B8"/>
    <w:rsid w:val="3C114F9E"/>
    <w:rsid w:val="3C1E17EA"/>
    <w:rsid w:val="3C4A35F1"/>
    <w:rsid w:val="3E9D7E49"/>
    <w:rsid w:val="3F9B7EF1"/>
    <w:rsid w:val="40215B23"/>
    <w:rsid w:val="415A7E63"/>
    <w:rsid w:val="42E701E3"/>
    <w:rsid w:val="43193F4E"/>
    <w:rsid w:val="44A8314C"/>
    <w:rsid w:val="44D414C9"/>
    <w:rsid w:val="459B4931"/>
    <w:rsid w:val="45AE252B"/>
    <w:rsid w:val="45BA6458"/>
    <w:rsid w:val="45C37365"/>
    <w:rsid w:val="460D1423"/>
    <w:rsid w:val="46472D5E"/>
    <w:rsid w:val="46772BA7"/>
    <w:rsid w:val="468E0BD5"/>
    <w:rsid w:val="469B4709"/>
    <w:rsid w:val="46A85B41"/>
    <w:rsid w:val="47CB2C71"/>
    <w:rsid w:val="49332FB5"/>
    <w:rsid w:val="4B3A1BDA"/>
    <w:rsid w:val="4C1966EB"/>
    <w:rsid w:val="4C535432"/>
    <w:rsid w:val="4D392B7F"/>
    <w:rsid w:val="4DC759F3"/>
    <w:rsid w:val="4DD3333C"/>
    <w:rsid w:val="4E040B17"/>
    <w:rsid w:val="4EA560D6"/>
    <w:rsid w:val="4EAB70C1"/>
    <w:rsid w:val="525522E2"/>
    <w:rsid w:val="528404F0"/>
    <w:rsid w:val="53463775"/>
    <w:rsid w:val="53523D60"/>
    <w:rsid w:val="53AA5AAD"/>
    <w:rsid w:val="547776C9"/>
    <w:rsid w:val="54E6749C"/>
    <w:rsid w:val="55734D49"/>
    <w:rsid w:val="55C3156A"/>
    <w:rsid w:val="57593089"/>
    <w:rsid w:val="582B703A"/>
    <w:rsid w:val="599017B7"/>
    <w:rsid w:val="5A492CEC"/>
    <w:rsid w:val="5DE84119"/>
    <w:rsid w:val="5EB72BF2"/>
    <w:rsid w:val="5F8E0C51"/>
    <w:rsid w:val="5F9A39E4"/>
    <w:rsid w:val="5FE724D4"/>
    <w:rsid w:val="60395037"/>
    <w:rsid w:val="60546075"/>
    <w:rsid w:val="608606DE"/>
    <w:rsid w:val="639D46DC"/>
    <w:rsid w:val="6424058D"/>
    <w:rsid w:val="64650003"/>
    <w:rsid w:val="663511C3"/>
    <w:rsid w:val="663B2A3B"/>
    <w:rsid w:val="66C35559"/>
    <w:rsid w:val="66D91A76"/>
    <w:rsid w:val="67977F0F"/>
    <w:rsid w:val="68B337CC"/>
    <w:rsid w:val="69311D38"/>
    <w:rsid w:val="6A287B5E"/>
    <w:rsid w:val="6A485E7E"/>
    <w:rsid w:val="6A6B37FA"/>
    <w:rsid w:val="6B303A1A"/>
    <w:rsid w:val="6C141EE0"/>
    <w:rsid w:val="6CF02B48"/>
    <w:rsid w:val="6D897695"/>
    <w:rsid w:val="6DAA2FDF"/>
    <w:rsid w:val="6E121228"/>
    <w:rsid w:val="70873960"/>
    <w:rsid w:val="70B81233"/>
    <w:rsid w:val="70D1495F"/>
    <w:rsid w:val="7129638F"/>
    <w:rsid w:val="72285ED2"/>
    <w:rsid w:val="73641402"/>
    <w:rsid w:val="74E73186"/>
    <w:rsid w:val="74F238E6"/>
    <w:rsid w:val="76015DEA"/>
    <w:rsid w:val="763B2CF0"/>
    <w:rsid w:val="764E470D"/>
    <w:rsid w:val="765A69D1"/>
    <w:rsid w:val="76850D49"/>
    <w:rsid w:val="76EB7161"/>
    <w:rsid w:val="77E67240"/>
    <w:rsid w:val="7842124A"/>
    <w:rsid w:val="79435213"/>
    <w:rsid w:val="79527737"/>
    <w:rsid w:val="79D51B6D"/>
    <w:rsid w:val="7B2B3FE2"/>
    <w:rsid w:val="7B3B73B5"/>
    <w:rsid w:val="7C233754"/>
    <w:rsid w:val="7C766170"/>
    <w:rsid w:val="7CC45B07"/>
    <w:rsid w:val="7CC84BE5"/>
    <w:rsid w:val="7D26550D"/>
    <w:rsid w:val="7D2D6A7C"/>
    <w:rsid w:val="7D3A3102"/>
    <w:rsid w:val="7E3420E0"/>
    <w:rsid w:val="7E405052"/>
    <w:rsid w:val="7F1A0C44"/>
    <w:rsid w:val="7F8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6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7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paragraph" w:styleId="3">
    <w:name w:val="Body Text"/>
    <w:basedOn w:val="4"/>
    <w:next w:val="4"/>
    <w:unhideWhenUsed/>
    <w:qFormat/>
    <w:uiPriority w:val="99"/>
    <w:pPr>
      <w:spacing w:after="120"/>
    </w:pPr>
  </w:style>
  <w:style w:type="paragraph" w:styleId="4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8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9">
    <w:name w:val="annotation text"/>
    <w:basedOn w:val="1"/>
    <w:qFormat/>
    <w:uiPriority w:val="0"/>
    <w:pPr>
      <w:jc w:val="left"/>
    </w:pPr>
  </w:style>
  <w:style w:type="paragraph" w:styleId="10">
    <w:name w:val="Body Text Indent"/>
    <w:basedOn w:val="1"/>
    <w:qFormat/>
    <w:uiPriority w:val="0"/>
    <w:pPr>
      <w:spacing w:after="120"/>
      <w:ind w:left="420" w:leftChars="200"/>
    </w:pPr>
  </w:style>
  <w:style w:type="paragraph" w:styleId="11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7">
    <w:name w:val="_Style 5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8">
    <w:name w:val="报告正文"/>
    <w:basedOn w:val="1"/>
    <w:qFormat/>
    <w:uiPriority w:val="0"/>
    <w:pPr>
      <w:ind w:firstLine="200" w:firstLineChars="200"/>
      <w:textAlignment w:val="baseline"/>
    </w:pPr>
    <w:rPr>
      <w:color w:val="FF0000"/>
      <w:kern w:val="0"/>
    </w:rPr>
  </w:style>
  <w:style w:type="character" w:customStyle="1" w:styleId="19">
    <w:name w:val="font3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799</Words>
  <Characters>876</Characters>
  <Lines>0</Lines>
  <Paragraphs>0</Paragraphs>
  <TotalTime>2</TotalTime>
  <ScaleCrop>false</ScaleCrop>
  <LinksUpToDate>false</LinksUpToDate>
  <CharactersWithSpaces>884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gzry15</cp:lastModifiedBy>
  <cp:lastPrinted>2022-02-11T02:00:00Z</cp:lastPrinted>
  <dcterms:modified xsi:type="dcterms:W3CDTF">2026-01-28T13:48:28Z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73835F76BF764BE78CA5B736F9F46997</vt:lpwstr>
  </property>
  <property fmtid="{D5CDD505-2E9C-101B-9397-08002B2CF9AE}" pid="4" name="KSOTemplateDocerSaveRecord">
    <vt:lpwstr>eyJoZGlkIjoiOWMzZWJlZGFiODZmYjkzOTUxYmQwNmE0NjI3NTQ4MzUiLCJ1c2VySWQiOiIyMjkzNDYwOTEifQ==</vt:lpwstr>
  </property>
</Properties>
</file>