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line="360" w:lineRule="auto"/>
        <w:jc w:val="center"/>
        <w:rPr>
          <w:rFonts w:hint="default" w:asciiTheme="minorEastAsia" w:hAnsiTheme="minorEastAsia" w:eastAsiaTheme="minorEastAsia" w:cstheme="minorEastAsia"/>
          <w:b/>
          <w:bCs/>
          <w:snapToGrid w:val="0"/>
          <w:color w:val="auto"/>
          <w:sz w:val="32"/>
          <w:szCs w:val="32"/>
          <w:highlight w:val="none"/>
          <w:u w:val="single"/>
          <w:lang w:val="en-US" w:eastAsia="zh-CN"/>
        </w:rPr>
      </w:pPr>
      <w:r>
        <w:rPr>
          <w:rFonts w:hint="eastAsia" w:asciiTheme="minorEastAsia" w:hAnsiTheme="minorEastAsia" w:eastAsiaTheme="minorEastAsia" w:cstheme="minorEastAsia"/>
          <w:b/>
          <w:bCs/>
          <w:snapToGrid w:val="0"/>
          <w:color w:val="auto"/>
          <w:sz w:val="32"/>
          <w:szCs w:val="32"/>
          <w:highlight w:val="none"/>
          <w:u w:val="single"/>
          <w:lang w:val="en-US" w:eastAsia="zh-CN"/>
        </w:rPr>
        <w:t>标的5</w:t>
      </w:r>
    </w:p>
    <w:p>
      <w:pPr>
        <w:pStyle w:val="9"/>
        <w:spacing w:line="360" w:lineRule="auto"/>
        <w:jc w:val="center"/>
        <w:rPr>
          <w:rFonts w:asciiTheme="minorEastAsia" w:hAnsiTheme="minorEastAsia" w:eastAsiaTheme="minorEastAsia" w:cstheme="minorEastAsia"/>
          <w:b/>
          <w:bCs/>
          <w:snapToGrid w:val="0"/>
          <w:color w:val="auto"/>
          <w:sz w:val="28"/>
          <w:szCs w:val="28"/>
          <w:highlight w:val="none"/>
        </w:rPr>
      </w:pPr>
      <w:r>
        <w:rPr>
          <w:rFonts w:hint="eastAsia" w:asciiTheme="minorEastAsia" w:hAnsiTheme="minorEastAsia" w:eastAsiaTheme="minorEastAsia" w:cstheme="minorEastAsia"/>
          <w:b/>
          <w:bCs/>
          <w:snapToGrid w:val="0"/>
          <w:color w:val="auto"/>
          <w:sz w:val="28"/>
          <w:szCs w:val="28"/>
          <w:highlight w:val="none"/>
          <w:lang w:val="en-US" w:eastAsia="zh-CN"/>
        </w:rPr>
        <w:t>项目</w:t>
      </w:r>
      <w:r>
        <w:rPr>
          <w:rFonts w:hint="eastAsia" w:asciiTheme="minorEastAsia" w:hAnsiTheme="minorEastAsia" w:eastAsiaTheme="minorEastAsia" w:cstheme="minorEastAsia"/>
          <w:b/>
          <w:bCs/>
          <w:snapToGrid w:val="0"/>
          <w:color w:val="auto"/>
          <w:sz w:val="28"/>
          <w:szCs w:val="28"/>
          <w:highlight w:val="none"/>
        </w:rPr>
        <w:t>名称：</w:t>
      </w:r>
      <w:r>
        <w:rPr>
          <w:rFonts w:hint="eastAsia" w:asciiTheme="minorEastAsia" w:hAnsiTheme="minorEastAsia" w:eastAsiaTheme="minorEastAsia" w:cstheme="minorEastAsia"/>
          <w:b/>
          <w:bCs/>
          <w:snapToGrid w:val="0"/>
          <w:color w:val="auto"/>
          <w:sz w:val="28"/>
          <w:szCs w:val="28"/>
          <w:highlight w:val="none"/>
          <w:u w:val="single"/>
          <w:lang w:val="en-US" w:eastAsia="zh-CN"/>
        </w:rPr>
        <w:t>广西</w:t>
      </w:r>
      <w:r>
        <w:rPr>
          <w:rFonts w:hint="eastAsia" w:asciiTheme="minorEastAsia" w:hAnsiTheme="minorEastAsia" w:eastAsiaTheme="minorEastAsia" w:cstheme="minorEastAsia"/>
          <w:b/>
          <w:bCs/>
          <w:snapToGrid w:val="0"/>
          <w:color w:val="auto"/>
          <w:sz w:val="28"/>
          <w:szCs w:val="28"/>
          <w:highlight w:val="none"/>
          <w:u w:val="single"/>
          <w:lang w:eastAsia="zh-CN"/>
        </w:rPr>
        <w:t>220kV航洋（渔万）送变电工程施工</w:t>
      </w:r>
    </w:p>
    <w:tbl>
      <w:tblPr>
        <w:tblStyle w:val="14"/>
        <w:tblW w:w="66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2263"/>
        <w:gridCol w:w="3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9"/>
              <w:spacing w:line="360" w:lineRule="auto"/>
              <w:jc w:val="center"/>
              <w:rPr>
                <w:rFonts w:hAnsi="宋体" w:cs="宋体"/>
                <w:b/>
                <w:bCs/>
                <w:snapToGrid w:val="0"/>
                <w:color w:val="auto"/>
                <w:sz w:val="24"/>
                <w:szCs w:val="24"/>
                <w:highlight w:val="none"/>
                <w:u w:val="none"/>
              </w:rPr>
            </w:pPr>
            <w:r>
              <w:rPr>
                <w:rFonts w:hint="eastAsia" w:hAnsi="宋体" w:cs="宋体"/>
                <w:b/>
                <w:bCs/>
                <w:snapToGrid w:val="0"/>
                <w:color w:val="auto"/>
                <w:sz w:val="24"/>
                <w:szCs w:val="24"/>
                <w:highlight w:val="none"/>
                <w:u w:val="none"/>
              </w:rPr>
              <w:t>序号</w:t>
            </w:r>
          </w:p>
        </w:tc>
        <w:tc>
          <w:tcPr>
            <w:tcW w:w="2263" w:type="dxa"/>
          </w:tcPr>
          <w:p>
            <w:pPr>
              <w:pStyle w:val="9"/>
              <w:spacing w:line="360" w:lineRule="auto"/>
              <w:jc w:val="center"/>
              <w:rPr>
                <w:rFonts w:hAnsi="宋体" w:cs="宋体"/>
                <w:b/>
                <w:bCs/>
                <w:snapToGrid w:val="0"/>
                <w:color w:val="auto"/>
                <w:sz w:val="24"/>
                <w:szCs w:val="24"/>
                <w:highlight w:val="none"/>
                <w:u w:val="none"/>
              </w:rPr>
            </w:pPr>
            <w:r>
              <w:rPr>
                <w:rFonts w:hint="eastAsia" w:hAnsi="宋体" w:cs="宋体"/>
                <w:b/>
                <w:bCs/>
                <w:snapToGrid w:val="0"/>
                <w:color w:val="auto"/>
                <w:sz w:val="24"/>
                <w:szCs w:val="24"/>
                <w:highlight w:val="none"/>
                <w:u w:val="none"/>
              </w:rPr>
              <w:t>文件名称</w:t>
            </w:r>
          </w:p>
        </w:tc>
        <w:tc>
          <w:tcPr>
            <w:tcW w:w="3574" w:type="dxa"/>
          </w:tcPr>
          <w:p>
            <w:pPr>
              <w:pStyle w:val="9"/>
              <w:spacing w:line="360" w:lineRule="auto"/>
              <w:jc w:val="center"/>
              <w:rPr>
                <w:rFonts w:hAnsi="宋体" w:cs="宋体"/>
                <w:b/>
                <w:bCs/>
                <w:snapToGrid w:val="0"/>
                <w:color w:val="auto"/>
                <w:sz w:val="24"/>
                <w:szCs w:val="24"/>
                <w:highlight w:val="none"/>
                <w:u w:val="none"/>
              </w:rPr>
            </w:pPr>
            <w:r>
              <w:rPr>
                <w:rFonts w:hint="eastAsia" w:hAnsi="宋体" w:cs="宋体"/>
                <w:b/>
                <w:bCs/>
                <w:snapToGrid w:val="0"/>
                <w:color w:val="auto"/>
                <w:sz w:val="24"/>
                <w:szCs w:val="24"/>
                <w:highlight w:val="none"/>
                <w:u w:val="none"/>
              </w:rPr>
              <w:t>文件文号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top"/>
          </w:tcPr>
          <w:p>
            <w:pPr>
              <w:pStyle w:val="9"/>
              <w:spacing w:line="360" w:lineRule="auto"/>
              <w:jc w:val="center"/>
              <w:rPr>
                <w:rFonts w:hAnsi="宋体" w:cs="宋体"/>
                <w:b/>
                <w:bCs/>
                <w:snapToGrid w:val="0"/>
                <w:color w:val="auto"/>
                <w:sz w:val="24"/>
                <w:szCs w:val="24"/>
                <w:highlight w:val="none"/>
                <w:u w:val="none"/>
              </w:rPr>
            </w:pPr>
            <w:r>
              <w:rPr>
                <w:rFonts w:hint="eastAsia" w:hAnsi="宋体" w:cs="宋体"/>
                <w:b/>
                <w:bCs/>
                <w:snapToGrid w:val="0"/>
                <w:color w:val="auto"/>
                <w:sz w:val="24"/>
                <w:szCs w:val="24"/>
                <w:u w:val="none"/>
              </w:rPr>
              <w:t>1</w:t>
            </w:r>
          </w:p>
        </w:tc>
        <w:tc>
          <w:tcPr>
            <w:tcW w:w="2263"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Ansi="宋体" w:cs="宋体"/>
                <w:b/>
                <w:bCs/>
                <w:snapToGrid w:val="0"/>
                <w:color w:val="auto"/>
                <w:sz w:val="24"/>
                <w:szCs w:val="24"/>
                <w:highlight w:val="none"/>
                <w:u w:val="none"/>
              </w:rPr>
            </w:pPr>
            <w:r>
              <w:rPr>
                <w:rFonts w:hint="eastAsia" w:ascii="宋体" w:hAnsi="宋体" w:eastAsia="宋体" w:cs="宋体"/>
                <w:b/>
                <w:bCs/>
                <w:snapToGrid w:val="0"/>
                <w:color w:val="auto"/>
                <w:kern w:val="0"/>
                <w:sz w:val="21"/>
                <w:szCs w:val="21"/>
                <w:highlight w:val="none"/>
                <w:u w:val="none"/>
                <w:vertAlign w:val="baseline"/>
                <w:lang w:val="en-US" w:eastAsia="zh-CN"/>
              </w:rPr>
              <w:t>可研批复文号</w:t>
            </w:r>
          </w:p>
        </w:tc>
        <w:tc>
          <w:tcPr>
            <w:tcW w:w="3574" w:type="dxa"/>
            <w:vAlign w:val="top"/>
          </w:tcPr>
          <w:p>
            <w:pPr>
              <w:pStyle w:val="9"/>
              <w:spacing w:line="360" w:lineRule="auto"/>
              <w:jc w:val="center"/>
              <w:rPr>
                <w:rFonts w:hint="eastAsia" w:hAnsi="宋体" w:cs="宋体"/>
                <w:color w:val="auto"/>
                <w:sz w:val="21"/>
                <w:szCs w:val="21"/>
                <w:highlight w:val="none"/>
                <w:u w:val="none"/>
              </w:rPr>
            </w:pPr>
            <w:r>
              <w:rPr>
                <w:rFonts w:hint="eastAsia" w:hAnsi="宋体" w:cs="宋体"/>
                <w:i w:val="0"/>
                <w:strike w:val="0"/>
                <w:color w:val="auto"/>
                <w:spacing w:val="0"/>
                <w:sz w:val="21"/>
                <w:u w:val="none"/>
                <w:lang w:eastAsia="zh-CN"/>
              </w:rPr>
              <w:t>桂电计</w:t>
            </w:r>
            <w:r>
              <w:rPr>
                <w:rFonts w:hint="eastAsia" w:ascii="宋体" w:hAnsi="宋体" w:eastAsia="宋体" w:cs="宋体"/>
                <w:i w:val="0"/>
                <w:strike w:val="0"/>
                <w:color w:val="auto"/>
                <w:spacing w:val="0"/>
                <w:sz w:val="21"/>
                <w:u w:val="none"/>
              </w:rPr>
              <w:t>〔202</w:t>
            </w:r>
            <w:r>
              <w:rPr>
                <w:rFonts w:hint="eastAsia" w:hAnsi="宋体" w:cs="宋体"/>
                <w:i w:val="0"/>
                <w:strike w:val="0"/>
                <w:color w:val="auto"/>
                <w:spacing w:val="0"/>
                <w:sz w:val="21"/>
                <w:u w:val="none"/>
                <w:lang w:val="en-US" w:eastAsia="zh-CN"/>
              </w:rPr>
              <w:t>1</w:t>
            </w:r>
            <w:r>
              <w:rPr>
                <w:rFonts w:hint="eastAsia" w:ascii="宋体" w:hAnsi="宋体" w:eastAsia="宋体" w:cs="宋体"/>
                <w:i w:val="0"/>
                <w:strike w:val="0"/>
                <w:color w:val="auto"/>
                <w:spacing w:val="0"/>
                <w:sz w:val="21"/>
                <w:u w:val="none"/>
              </w:rPr>
              <w:t>〕</w:t>
            </w:r>
            <w:r>
              <w:rPr>
                <w:rFonts w:hint="eastAsia" w:hAnsi="宋体" w:cs="宋体"/>
                <w:i w:val="0"/>
                <w:strike w:val="0"/>
                <w:color w:val="auto"/>
                <w:spacing w:val="0"/>
                <w:sz w:val="21"/>
                <w:u w:val="none"/>
                <w:lang w:val="en-US" w:eastAsia="zh-CN"/>
              </w:rPr>
              <w:t>94</w:t>
            </w:r>
            <w:r>
              <w:rPr>
                <w:rFonts w:hint="eastAsia" w:ascii="宋体" w:hAnsi="宋体" w:eastAsia="宋体" w:cs="宋体"/>
                <w:i w:val="0"/>
                <w:strike w:val="0"/>
                <w:color w:val="auto"/>
                <w:spacing w:val="0"/>
                <w:sz w:val="21"/>
                <w:u w:val="none"/>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top"/>
          </w:tcPr>
          <w:p>
            <w:pPr>
              <w:pStyle w:val="9"/>
              <w:spacing w:line="360" w:lineRule="auto"/>
              <w:jc w:val="center"/>
              <w:rPr>
                <w:rFonts w:hAnsi="宋体" w:cs="宋体"/>
                <w:b/>
                <w:bCs/>
                <w:snapToGrid w:val="0"/>
                <w:color w:val="auto"/>
                <w:sz w:val="24"/>
                <w:szCs w:val="24"/>
                <w:highlight w:val="none"/>
                <w:u w:val="none"/>
              </w:rPr>
            </w:pPr>
            <w:r>
              <w:rPr>
                <w:rFonts w:hint="eastAsia" w:hAnsi="宋体" w:cs="宋体"/>
                <w:b/>
                <w:bCs/>
                <w:snapToGrid w:val="0"/>
                <w:color w:val="auto"/>
                <w:sz w:val="24"/>
                <w:szCs w:val="24"/>
                <w:u w:val="none"/>
              </w:rPr>
              <w:t>2</w:t>
            </w:r>
          </w:p>
        </w:tc>
        <w:tc>
          <w:tcPr>
            <w:tcW w:w="2263"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Ansi="宋体" w:cs="宋体"/>
                <w:b/>
                <w:bCs/>
                <w:snapToGrid w:val="0"/>
                <w:color w:val="auto"/>
                <w:sz w:val="24"/>
                <w:szCs w:val="24"/>
                <w:highlight w:val="none"/>
                <w:u w:val="none"/>
              </w:rPr>
            </w:pPr>
            <w:r>
              <w:rPr>
                <w:rFonts w:hint="eastAsia" w:ascii="宋体" w:hAnsi="宋体" w:eastAsia="宋体" w:cs="宋体"/>
                <w:b/>
                <w:bCs/>
                <w:snapToGrid w:val="0"/>
                <w:color w:val="auto"/>
                <w:kern w:val="0"/>
                <w:sz w:val="21"/>
                <w:szCs w:val="21"/>
                <w:highlight w:val="none"/>
                <w:u w:val="none"/>
                <w:vertAlign w:val="baseline"/>
                <w:lang w:val="en-US" w:eastAsia="zh-CN"/>
              </w:rPr>
              <w:t>项目</w:t>
            </w:r>
            <w:r>
              <w:rPr>
                <w:rFonts w:hint="eastAsia" w:hAnsi="宋体" w:eastAsia="宋体" w:cs="宋体"/>
                <w:b/>
                <w:bCs/>
                <w:snapToGrid w:val="0"/>
                <w:color w:val="auto"/>
                <w:kern w:val="0"/>
                <w:sz w:val="21"/>
                <w:szCs w:val="21"/>
                <w:highlight w:val="none"/>
                <w:u w:val="none"/>
                <w:vertAlign w:val="baseline"/>
                <w:lang w:val="en-US" w:eastAsia="zh-CN"/>
              </w:rPr>
              <w:t>核准、</w:t>
            </w:r>
            <w:r>
              <w:rPr>
                <w:rFonts w:hint="eastAsia" w:ascii="宋体" w:hAnsi="宋体" w:eastAsia="宋体" w:cs="宋体"/>
                <w:b/>
                <w:bCs/>
                <w:snapToGrid w:val="0"/>
                <w:color w:val="auto"/>
                <w:kern w:val="0"/>
                <w:sz w:val="21"/>
                <w:szCs w:val="21"/>
                <w:highlight w:val="none"/>
                <w:u w:val="none"/>
                <w:vertAlign w:val="baseline"/>
                <w:lang w:val="en-US" w:eastAsia="zh-CN"/>
              </w:rPr>
              <w:t>备案文号</w:t>
            </w:r>
          </w:p>
        </w:tc>
        <w:tc>
          <w:tcPr>
            <w:tcW w:w="3574" w:type="dxa"/>
            <w:vAlign w:val="top"/>
          </w:tcPr>
          <w:p>
            <w:pPr>
              <w:pStyle w:val="9"/>
              <w:spacing w:line="360" w:lineRule="auto"/>
              <w:jc w:val="center"/>
              <w:rPr>
                <w:rFonts w:hint="default" w:hAnsi="宋体" w:cs="宋体"/>
                <w:color w:val="auto"/>
                <w:sz w:val="21"/>
                <w:szCs w:val="21"/>
                <w:highlight w:val="none"/>
                <w:u w:val="none"/>
                <w:lang w:val="en-US" w:eastAsia="zh-CN"/>
              </w:rPr>
            </w:pPr>
            <w:r>
              <w:rPr>
                <w:rFonts w:hint="eastAsia" w:hAnsi="宋体" w:cs="宋体"/>
                <w:color w:val="auto"/>
                <w:sz w:val="21"/>
                <w:szCs w:val="21"/>
                <w:highlight w:val="none"/>
                <w:u w:val="none"/>
                <w:lang w:val="en-US" w:eastAsia="zh-CN"/>
              </w:rPr>
              <w:t xml:space="preserve"> 防审批投资〔2025〕45号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top"/>
          </w:tcPr>
          <w:p>
            <w:pPr>
              <w:pStyle w:val="9"/>
              <w:spacing w:line="360" w:lineRule="auto"/>
              <w:jc w:val="center"/>
              <w:rPr>
                <w:rFonts w:hAnsi="宋体" w:cs="宋体"/>
                <w:b/>
                <w:bCs/>
                <w:snapToGrid w:val="0"/>
                <w:color w:val="auto"/>
                <w:sz w:val="24"/>
                <w:szCs w:val="24"/>
                <w:highlight w:val="none"/>
                <w:u w:val="none"/>
              </w:rPr>
            </w:pPr>
            <w:r>
              <w:rPr>
                <w:rFonts w:hint="eastAsia" w:hAnsi="宋体" w:cs="宋体"/>
                <w:b/>
                <w:bCs/>
                <w:snapToGrid w:val="0"/>
                <w:color w:val="auto"/>
                <w:sz w:val="24"/>
                <w:szCs w:val="24"/>
                <w:highlight w:val="none"/>
                <w:u w:val="none"/>
              </w:rPr>
              <w:t>3</w:t>
            </w:r>
          </w:p>
        </w:tc>
        <w:tc>
          <w:tcPr>
            <w:tcW w:w="2263"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Ansi="宋体" w:cs="宋体"/>
                <w:b/>
                <w:bCs/>
                <w:snapToGrid w:val="0"/>
                <w:color w:val="auto"/>
                <w:sz w:val="24"/>
                <w:szCs w:val="24"/>
                <w:highlight w:val="none"/>
                <w:u w:val="none"/>
              </w:rPr>
            </w:pPr>
            <w:r>
              <w:rPr>
                <w:rFonts w:hint="eastAsia" w:ascii="宋体" w:hAnsi="宋体" w:eastAsia="宋体" w:cs="宋体"/>
                <w:b/>
                <w:bCs/>
                <w:snapToGrid w:val="0"/>
                <w:color w:val="auto"/>
                <w:kern w:val="0"/>
                <w:sz w:val="21"/>
                <w:szCs w:val="21"/>
                <w:highlight w:val="none"/>
                <w:u w:val="none"/>
                <w:vertAlign w:val="baseline"/>
                <w:lang w:val="en-US" w:eastAsia="zh-CN"/>
              </w:rPr>
              <w:t>初设批复文号</w:t>
            </w:r>
          </w:p>
        </w:tc>
        <w:tc>
          <w:tcPr>
            <w:tcW w:w="3574" w:type="dxa"/>
            <w:vAlign w:val="top"/>
          </w:tcPr>
          <w:p>
            <w:pPr>
              <w:pStyle w:val="9"/>
              <w:spacing w:line="360" w:lineRule="auto"/>
              <w:jc w:val="center"/>
              <w:rPr>
                <w:rFonts w:hint="default" w:hAnsi="宋体" w:eastAsia="宋体" w:cs="宋体"/>
                <w:color w:val="auto"/>
                <w:sz w:val="21"/>
                <w:szCs w:val="21"/>
                <w:highlight w:val="none"/>
                <w:u w:val="none"/>
                <w:lang w:val="en-US" w:eastAsia="zh-CN"/>
              </w:rPr>
            </w:pPr>
            <w:r>
              <w:rPr>
                <w:rFonts w:hint="eastAsia" w:hAnsi="宋体" w:cs="宋体"/>
                <w:color w:val="auto"/>
                <w:sz w:val="21"/>
                <w:szCs w:val="21"/>
                <w:highlight w:val="none"/>
                <w:u w:val="none"/>
                <w:lang w:val="en-US" w:eastAsia="zh-CN"/>
              </w:rPr>
              <w:t>桂电基建</w:t>
            </w:r>
            <w:r>
              <w:rPr>
                <w:rFonts w:hint="default" w:hAnsi="宋体" w:eastAsia="宋体" w:cs="宋体"/>
                <w:color w:val="auto"/>
                <w:sz w:val="21"/>
                <w:szCs w:val="21"/>
                <w:highlight w:val="none"/>
                <w:u w:val="none"/>
                <w:lang w:val="en-US" w:eastAsia="zh-CN"/>
              </w:rPr>
              <w:t>〔2025〕</w:t>
            </w:r>
            <w:r>
              <w:rPr>
                <w:rFonts w:hint="eastAsia" w:hAnsi="宋体" w:cs="宋体"/>
                <w:color w:val="auto"/>
                <w:sz w:val="21"/>
                <w:szCs w:val="21"/>
                <w:highlight w:val="none"/>
                <w:u w:val="none"/>
                <w:lang w:val="en-US" w:eastAsia="zh-CN"/>
              </w:rPr>
              <w:t>53</w:t>
            </w:r>
            <w:r>
              <w:rPr>
                <w:rFonts w:hint="default" w:hAnsi="宋体" w:eastAsia="宋体" w:cs="宋体"/>
                <w:color w:val="auto"/>
                <w:sz w:val="21"/>
                <w:szCs w:val="21"/>
                <w:highlight w:val="none"/>
                <w:u w:val="none"/>
                <w:lang w:val="en-US" w:eastAsia="zh-CN"/>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top"/>
          </w:tcPr>
          <w:p>
            <w:pPr>
              <w:pStyle w:val="9"/>
              <w:spacing w:line="360" w:lineRule="auto"/>
              <w:jc w:val="center"/>
              <w:rPr>
                <w:rFonts w:hAnsi="宋体" w:cs="宋体"/>
                <w:b/>
                <w:bCs/>
                <w:snapToGrid w:val="0"/>
                <w:color w:val="auto"/>
                <w:sz w:val="24"/>
                <w:szCs w:val="24"/>
                <w:highlight w:val="none"/>
                <w:u w:val="none"/>
              </w:rPr>
            </w:pPr>
            <w:r>
              <w:rPr>
                <w:rFonts w:hint="eastAsia" w:hAnsi="宋体" w:cs="宋体"/>
                <w:b/>
                <w:bCs/>
                <w:snapToGrid w:val="0"/>
                <w:color w:val="auto"/>
                <w:sz w:val="24"/>
                <w:szCs w:val="24"/>
                <w:highlight w:val="none"/>
                <w:u w:val="none"/>
              </w:rPr>
              <w:t>4</w:t>
            </w:r>
          </w:p>
        </w:tc>
        <w:tc>
          <w:tcPr>
            <w:tcW w:w="2263"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Ansi="宋体" w:cs="宋体"/>
                <w:b/>
                <w:bCs/>
                <w:color w:val="auto"/>
                <w:sz w:val="21"/>
                <w:szCs w:val="21"/>
                <w:highlight w:val="none"/>
                <w:u w:val="none"/>
              </w:rPr>
            </w:pPr>
            <w:r>
              <w:rPr>
                <w:rFonts w:hint="eastAsia" w:ascii="宋体" w:hAnsi="宋体" w:eastAsia="宋体" w:cs="宋体"/>
                <w:b/>
                <w:bCs/>
                <w:snapToGrid w:val="0"/>
                <w:color w:val="auto"/>
                <w:kern w:val="0"/>
                <w:sz w:val="21"/>
                <w:szCs w:val="21"/>
                <w:highlight w:val="none"/>
                <w:u w:val="none"/>
                <w:vertAlign w:val="baseline"/>
                <w:lang w:val="en-US" w:eastAsia="zh-CN"/>
              </w:rPr>
              <w:t>资金落实情况</w:t>
            </w:r>
          </w:p>
        </w:tc>
        <w:tc>
          <w:tcPr>
            <w:tcW w:w="3574" w:type="dxa"/>
            <w:vAlign w:val="center"/>
          </w:tcPr>
          <w:p>
            <w:pPr>
              <w:pStyle w:val="9"/>
              <w:spacing w:line="360" w:lineRule="auto"/>
              <w:jc w:val="center"/>
              <w:rPr>
                <w:rFonts w:hint="eastAsia" w:hAnsi="宋体" w:eastAsia="宋体" w:cs="宋体"/>
                <w:color w:val="auto"/>
                <w:sz w:val="21"/>
                <w:szCs w:val="21"/>
                <w:highlight w:val="none"/>
                <w:u w:val="none"/>
                <w:lang w:eastAsia="zh-CN"/>
              </w:rPr>
            </w:pPr>
            <w:r>
              <w:rPr>
                <w:rFonts w:hint="eastAsia" w:hAnsi="宋体" w:eastAsia="宋体" w:cs="宋体"/>
                <w:color w:val="auto"/>
                <w:sz w:val="21"/>
                <w:szCs w:val="21"/>
                <w:highlight w:val="none"/>
                <w:u w:val="none"/>
                <w:lang w:eastAsia="zh-CN"/>
              </w:rPr>
              <w:t>桂电规划〔2025〕27号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top"/>
          </w:tcPr>
          <w:p>
            <w:pPr>
              <w:pStyle w:val="9"/>
              <w:spacing w:line="360" w:lineRule="auto"/>
              <w:jc w:val="center"/>
              <w:rPr>
                <w:rFonts w:hAnsi="宋体" w:cs="宋体"/>
                <w:b/>
                <w:bCs/>
                <w:snapToGrid w:val="0"/>
                <w:color w:val="auto"/>
                <w:sz w:val="24"/>
                <w:szCs w:val="24"/>
                <w:highlight w:val="none"/>
                <w:u w:val="none"/>
              </w:rPr>
            </w:pPr>
            <w:r>
              <w:rPr>
                <w:rFonts w:hint="eastAsia" w:hAnsi="宋体" w:cs="宋体"/>
                <w:b/>
                <w:bCs/>
                <w:snapToGrid w:val="0"/>
                <w:color w:val="auto"/>
                <w:sz w:val="24"/>
                <w:szCs w:val="24"/>
                <w:highlight w:val="none"/>
                <w:u w:val="none"/>
              </w:rPr>
              <w:t>5</w:t>
            </w:r>
          </w:p>
        </w:tc>
        <w:tc>
          <w:tcPr>
            <w:tcW w:w="2263"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Ansi="宋体" w:cs="宋体"/>
                <w:b/>
                <w:bCs/>
                <w:color w:val="auto"/>
                <w:sz w:val="21"/>
                <w:szCs w:val="21"/>
                <w:highlight w:val="none"/>
                <w:u w:val="none"/>
              </w:rPr>
            </w:pPr>
            <w:r>
              <w:rPr>
                <w:rFonts w:hint="eastAsia" w:ascii="宋体" w:hAnsi="宋体" w:eastAsia="宋体" w:cs="宋体"/>
                <w:b/>
                <w:bCs/>
                <w:snapToGrid w:val="0"/>
                <w:color w:val="auto"/>
                <w:kern w:val="0"/>
                <w:sz w:val="21"/>
                <w:szCs w:val="21"/>
                <w:highlight w:val="none"/>
                <w:u w:val="none"/>
                <w:vertAlign w:val="baseline"/>
                <w:lang w:val="en-US" w:eastAsia="zh-CN"/>
              </w:rPr>
              <w:t>施工图预算批复文号</w:t>
            </w:r>
          </w:p>
        </w:tc>
        <w:tc>
          <w:tcPr>
            <w:tcW w:w="3574" w:type="dxa"/>
            <w:vAlign w:val="top"/>
          </w:tcPr>
          <w:p>
            <w:pPr>
              <w:pStyle w:val="9"/>
              <w:spacing w:line="360" w:lineRule="auto"/>
              <w:jc w:val="center"/>
              <w:rPr>
                <w:rFonts w:hint="eastAsia" w:hAnsi="宋体" w:eastAsia="宋体" w:cs="宋体"/>
                <w:color w:val="auto"/>
                <w:sz w:val="21"/>
                <w:szCs w:val="21"/>
                <w:highlight w:val="none"/>
                <w:u w:val="none"/>
                <w:lang w:val="en-US" w:eastAsia="zh-CN"/>
              </w:rPr>
            </w:pPr>
            <w:r>
              <w:rPr>
                <w:rFonts w:hint="eastAsia" w:hAnsi="宋体" w:cs="宋体"/>
                <w:i w:val="0"/>
                <w:strike w:val="0"/>
                <w:color w:val="auto"/>
                <w:spacing w:val="0"/>
                <w:sz w:val="21"/>
                <w:highlight w:val="none"/>
                <w:u w:val="no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top"/>
          </w:tcPr>
          <w:p>
            <w:pPr>
              <w:pStyle w:val="9"/>
              <w:spacing w:line="360" w:lineRule="auto"/>
              <w:jc w:val="center"/>
              <w:rPr>
                <w:rFonts w:hAnsi="宋体" w:cs="宋体"/>
                <w:b/>
                <w:bCs/>
                <w:snapToGrid w:val="0"/>
                <w:color w:val="auto"/>
                <w:sz w:val="24"/>
                <w:szCs w:val="24"/>
                <w:highlight w:val="none"/>
                <w:u w:val="none"/>
              </w:rPr>
            </w:pPr>
            <w:r>
              <w:rPr>
                <w:rFonts w:hint="eastAsia" w:hAnsi="宋体" w:cs="宋体"/>
                <w:b/>
                <w:bCs/>
                <w:snapToGrid w:val="0"/>
                <w:color w:val="auto"/>
                <w:sz w:val="24"/>
                <w:szCs w:val="24"/>
                <w:highlight w:val="none"/>
                <w:u w:val="none"/>
              </w:rPr>
              <w:t>6</w:t>
            </w:r>
          </w:p>
        </w:tc>
        <w:tc>
          <w:tcPr>
            <w:tcW w:w="2263"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Ansi="宋体" w:cs="宋体"/>
                <w:b/>
                <w:bCs/>
                <w:color w:val="auto"/>
                <w:sz w:val="21"/>
                <w:szCs w:val="21"/>
                <w:highlight w:val="none"/>
                <w:u w:val="none"/>
              </w:rPr>
            </w:pPr>
            <w:r>
              <w:rPr>
                <w:rFonts w:hint="eastAsia" w:ascii="宋体" w:hAnsi="宋体" w:eastAsia="宋体" w:cs="宋体"/>
                <w:b/>
                <w:bCs/>
                <w:snapToGrid w:val="0"/>
                <w:color w:val="auto"/>
                <w:kern w:val="0"/>
                <w:sz w:val="21"/>
                <w:szCs w:val="21"/>
                <w:highlight w:val="none"/>
                <w:u w:val="none"/>
                <w:vertAlign w:val="baseline"/>
                <w:lang w:val="en-US" w:eastAsia="zh-CN"/>
              </w:rPr>
              <w:t>项目建设单位</w:t>
            </w:r>
          </w:p>
        </w:tc>
        <w:tc>
          <w:tcPr>
            <w:tcW w:w="3574" w:type="dxa"/>
            <w:vAlign w:val="top"/>
          </w:tcPr>
          <w:p>
            <w:pPr>
              <w:pStyle w:val="9"/>
              <w:spacing w:line="240" w:lineRule="auto"/>
              <w:jc w:val="center"/>
              <w:rPr>
                <w:rFonts w:hint="eastAsia" w:hAnsi="宋体" w:cs="宋体"/>
                <w:color w:val="auto"/>
                <w:sz w:val="21"/>
                <w:szCs w:val="21"/>
                <w:highlight w:val="none"/>
                <w:u w:val="none"/>
              </w:rPr>
            </w:pPr>
            <w:r>
              <w:rPr>
                <w:rFonts w:ascii="宋体" w:hAnsi="宋体" w:eastAsia="宋体" w:cs="宋体"/>
                <w:i w:val="0"/>
                <w:strike w:val="0"/>
                <w:color w:val="auto"/>
                <w:spacing w:val="0"/>
                <w:sz w:val="21"/>
                <w:highlight w:val="none"/>
                <w:u w:val="none"/>
              </w:rPr>
              <w:t>广西电网有限责任公司电网建设分公司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top"/>
          </w:tcPr>
          <w:p>
            <w:pPr>
              <w:pStyle w:val="9"/>
              <w:spacing w:line="360" w:lineRule="auto"/>
              <w:jc w:val="center"/>
              <w:rPr>
                <w:rFonts w:hAnsi="宋体" w:cs="宋体"/>
                <w:b/>
                <w:bCs/>
                <w:snapToGrid w:val="0"/>
                <w:color w:val="auto"/>
                <w:sz w:val="24"/>
                <w:szCs w:val="24"/>
                <w:highlight w:val="none"/>
                <w:u w:val="none"/>
              </w:rPr>
            </w:pPr>
            <w:r>
              <w:rPr>
                <w:rFonts w:hint="eastAsia" w:hAnsi="宋体" w:cs="宋体"/>
                <w:b/>
                <w:bCs/>
                <w:snapToGrid w:val="0"/>
                <w:color w:val="auto"/>
                <w:sz w:val="24"/>
                <w:szCs w:val="24"/>
                <w:highlight w:val="none"/>
                <w:u w:val="none"/>
              </w:rPr>
              <w:t>7</w:t>
            </w:r>
          </w:p>
        </w:tc>
        <w:tc>
          <w:tcPr>
            <w:tcW w:w="2263"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Ansi="宋体" w:cs="宋体"/>
                <w:b/>
                <w:bCs/>
                <w:color w:val="auto"/>
                <w:sz w:val="21"/>
                <w:szCs w:val="21"/>
                <w:highlight w:val="none"/>
                <w:u w:val="none"/>
              </w:rPr>
            </w:pPr>
            <w:r>
              <w:rPr>
                <w:rFonts w:hint="eastAsia" w:ascii="宋体" w:hAnsi="宋体" w:eastAsia="宋体" w:cs="宋体"/>
                <w:b/>
                <w:bCs/>
                <w:snapToGrid w:val="0"/>
                <w:color w:val="auto"/>
                <w:kern w:val="0"/>
                <w:sz w:val="21"/>
                <w:szCs w:val="21"/>
                <w:highlight w:val="none"/>
                <w:u w:val="none"/>
                <w:vertAlign w:val="baseline"/>
                <w:lang w:val="en-US" w:eastAsia="zh-CN"/>
              </w:rPr>
              <w:t>项目建设地点</w:t>
            </w:r>
          </w:p>
        </w:tc>
        <w:tc>
          <w:tcPr>
            <w:tcW w:w="3574" w:type="dxa"/>
            <w:vAlign w:val="top"/>
          </w:tcPr>
          <w:p>
            <w:pPr>
              <w:pStyle w:val="9"/>
              <w:spacing w:line="360" w:lineRule="auto"/>
              <w:jc w:val="center"/>
              <w:rPr>
                <w:rFonts w:hint="default" w:hAnsi="宋体" w:eastAsia="宋体" w:cs="宋体"/>
                <w:color w:val="auto"/>
                <w:sz w:val="21"/>
                <w:szCs w:val="21"/>
                <w:highlight w:val="none"/>
                <w:u w:val="none"/>
                <w:lang w:val="en-US" w:eastAsia="zh-CN"/>
              </w:rPr>
            </w:pPr>
            <w:r>
              <w:rPr>
                <w:rFonts w:ascii="宋体" w:hAnsi="宋体" w:eastAsia="宋体" w:cs="宋体"/>
                <w:i w:val="0"/>
                <w:strike w:val="0"/>
                <w:color w:val="auto"/>
                <w:spacing w:val="0"/>
                <w:sz w:val="21"/>
                <w:highlight w:val="none"/>
                <w:u w:val="none"/>
              </w:rPr>
              <w:t>广西</w:t>
            </w:r>
            <w:r>
              <w:rPr>
                <w:rFonts w:hint="eastAsia" w:hAnsi="宋体" w:cs="宋体"/>
                <w:i w:val="0"/>
                <w:strike w:val="0"/>
                <w:color w:val="auto"/>
                <w:spacing w:val="0"/>
                <w:sz w:val="21"/>
                <w:highlight w:val="none"/>
                <w:u w:val="none"/>
                <w:lang w:eastAsia="zh-CN"/>
              </w:rPr>
              <w:t>防城港</w:t>
            </w:r>
            <w:r>
              <w:rPr>
                <w:rFonts w:hint="eastAsia" w:hAnsi="宋体" w:cs="宋体"/>
                <w:i w:val="0"/>
                <w:strike w:val="0"/>
                <w:color w:val="auto"/>
                <w:spacing w:val="0"/>
                <w:sz w:val="21"/>
                <w:highlight w:val="none"/>
                <w:u w:val="none"/>
                <w:lang w:val="en-US" w:eastAsia="zh-CN"/>
              </w:rPr>
              <w:t>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hAnsi="宋体" w:cs="宋体"/>
                <w:b/>
                <w:bCs/>
                <w:snapToGrid w:val="0"/>
                <w:color w:val="auto"/>
                <w:sz w:val="24"/>
                <w:szCs w:val="24"/>
                <w:highlight w:val="none"/>
                <w:u w:val="none"/>
              </w:rPr>
            </w:pPr>
            <w:r>
              <w:rPr>
                <w:rFonts w:hint="eastAsia" w:hAnsi="宋体" w:cs="宋体"/>
                <w:b/>
                <w:bCs/>
                <w:snapToGrid w:val="0"/>
                <w:color w:val="auto"/>
                <w:kern w:val="0"/>
                <w:sz w:val="21"/>
                <w:szCs w:val="21"/>
                <w:highlight w:val="none"/>
                <w:u w:val="none"/>
                <w:vertAlign w:val="baseline"/>
                <w:lang w:val="en-US" w:eastAsia="zh-CN"/>
              </w:rPr>
              <w:t>8</w:t>
            </w:r>
          </w:p>
        </w:tc>
        <w:tc>
          <w:tcPr>
            <w:tcW w:w="2263"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hAnsi="宋体" w:cs="宋体"/>
                <w:b/>
                <w:bCs/>
                <w:color w:val="auto"/>
                <w:sz w:val="21"/>
                <w:szCs w:val="21"/>
                <w:highlight w:val="none"/>
                <w:u w:val="none"/>
              </w:rPr>
            </w:pPr>
            <w:r>
              <w:rPr>
                <w:rFonts w:hint="eastAsia" w:ascii="宋体" w:hAnsi="宋体" w:eastAsia="宋体" w:cs="宋体"/>
                <w:b/>
                <w:bCs/>
                <w:snapToGrid w:val="0"/>
                <w:color w:val="auto"/>
                <w:kern w:val="0"/>
                <w:sz w:val="21"/>
                <w:szCs w:val="21"/>
                <w:highlight w:val="none"/>
                <w:u w:val="none"/>
                <w:vertAlign w:val="baseline"/>
                <w:lang w:val="en-US" w:eastAsia="zh-CN"/>
              </w:rPr>
              <w:t>前期的设计或咨询服务单位名称</w:t>
            </w:r>
          </w:p>
        </w:tc>
        <w:tc>
          <w:tcPr>
            <w:tcW w:w="3574" w:type="dxa"/>
            <w:vAlign w:val="center"/>
          </w:tcPr>
          <w:p>
            <w:pPr>
              <w:pStyle w:val="9"/>
              <w:spacing w:line="240" w:lineRule="auto"/>
              <w:jc w:val="center"/>
              <w:rPr>
                <w:rFonts w:hint="default" w:ascii="宋体" w:hAnsi="宋体" w:eastAsia="宋体" w:cs="宋体"/>
                <w:i w:val="0"/>
                <w:strike w:val="0"/>
                <w:color w:val="auto"/>
                <w:spacing w:val="0"/>
                <w:sz w:val="21"/>
                <w:highlight w:val="none"/>
                <w:u w:val="none"/>
                <w:lang w:val="en-US"/>
              </w:rPr>
            </w:pPr>
            <w:r>
              <w:rPr>
                <w:rFonts w:hint="eastAsia" w:hAnsi="宋体" w:cs="宋体"/>
                <w:i w:val="0"/>
                <w:strike w:val="0"/>
                <w:color w:val="auto"/>
                <w:spacing w:val="0"/>
                <w:sz w:val="21"/>
                <w:highlight w:val="none"/>
                <w:u w:val="none"/>
                <w:lang w:val="en-US" w:eastAsia="zh-CN"/>
              </w:rPr>
              <w:t>广西绿能电力勘察设计有限公司、广州竣盛工程造价咨询有限公司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hAnsi="宋体" w:cs="宋体"/>
                <w:b/>
                <w:bCs/>
                <w:snapToGrid w:val="0"/>
                <w:color w:val="auto"/>
                <w:sz w:val="24"/>
                <w:szCs w:val="24"/>
                <w:highlight w:val="none"/>
                <w:u w:val="none"/>
              </w:rPr>
            </w:pPr>
            <w:r>
              <w:rPr>
                <w:rFonts w:hint="eastAsia" w:hAnsi="宋体" w:cs="宋体"/>
                <w:b/>
                <w:bCs/>
                <w:snapToGrid w:val="0"/>
                <w:color w:val="auto"/>
                <w:kern w:val="0"/>
                <w:sz w:val="21"/>
                <w:szCs w:val="21"/>
                <w:highlight w:val="none"/>
                <w:u w:val="none"/>
                <w:vertAlign w:val="baseline"/>
                <w:lang w:val="en-US" w:eastAsia="zh-CN"/>
              </w:rPr>
              <w:t>9</w:t>
            </w:r>
          </w:p>
        </w:tc>
        <w:tc>
          <w:tcPr>
            <w:tcW w:w="2263"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hAnsi="宋体" w:cs="宋体"/>
                <w:b/>
                <w:bCs/>
                <w:color w:val="auto"/>
                <w:sz w:val="21"/>
                <w:szCs w:val="21"/>
                <w:highlight w:val="none"/>
                <w:u w:val="none"/>
              </w:rPr>
            </w:pPr>
            <w:r>
              <w:rPr>
                <w:rFonts w:hint="eastAsia" w:ascii="宋体" w:hAnsi="宋体" w:eastAsia="宋体" w:cs="宋体"/>
                <w:b/>
                <w:bCs/>
                <w:snapToGrid w:val="0"/>
                <w:color w:val="auto"/>
                <w:kern w:val="0"/>
                <w:sz w:val="21"/>
                <w:szCs w:val="21"/>
                <w:highlight w:val="none"/>
                <w:u w:val="none"/>
                <w:vertAlign w:val="baseline"/>
                <w:lang w:val="en-US" w:eastAsia="zh-CN"/>
              </w:rPr>
              <w:t>项目监理单位</w:t>
            </w:r>
          </w:p>
        </w:tc>
        <w:tc>
          <w:tcPr>
            <w:tcW w:w="3574" w:type="dxa"/>
            <w:vAlign w:val="top"/>
          </w:tcPr>
          <w:p>
            <w:pPr>
              <w:pStyle w:val="9"/>
              <w:spacing w:line="240" w:lineRule="auto"/>
              <w:jc w:val="center"/>
              <w:rPr>
                <w:rFonts w:ascii="宋体" w:hAnsi="宋体" w:eastAsia="宋体" w:cs="宋体"/>
                <w:i w:val="0"/>
                <w:strike w:val="0"/>
                <w:color w:val="auto"/>
                <w:spacing w:val="0"/>
                <w:sz w:val="21"/>
                <w:highlight w:val="none"/>
                <w:u w:val="none"/>
              </w:rPr>
            </w:pPr>
            <w:r>
              <w:rPr>
                <w:rFonts w:hint="eastAsia" w:ascii="宋体" w:hAnsi="宋体" w:eastAsia="宋体" w:cs="宋体"/>
                <w:i w:val="0"/>
                <w:strike w:val="0"/>
                <w:color w:val="auto"/>
                <w:spacing w:val="0"/>
                <w:sz w:val="21"/>
                <w:highlight w:val="none"/>
                <w:u w:val="none"/>
              </w:rPr>
              <w:t>广西桂能工程咨询集团有限公司</w:t>
            </w:r>
          </w:p>
        </w:tc>
      </w:tr>
    </w:tbl>
    <w:p>
      <w:pPr>
        <w:pStyle w:val="9"/>
        <w:spacing w:line="360" w:lineRule="auto"/>
        <w:rPr>
          <w:rFonts w:asciiTheme="minorEastAsia" w:hAnsiTheme="minorEastAsia" w:eastAsiaTheme="minorEastAsia" w:cstheme="minorEastAsia"/>
          <w:b/>
          <w:bCs/>
          <w:color w:val="auto"/>
          <w:sz w:val="24"/>
          <w:szCs w:val="24"/>
          <w:highlight w:val="none"/>
        </w:rPr>
      </w:pPr>
    </w:p>
    <w:p>
      <w:pPr>
        <w:pStyle w:val="9"/>
        <w:numPr>
          <w:ilvl w:val="0"/>
          <w:numId w:val="0"/>
        </w:numPr>
        <w:spacing w:line="360" w:lineRule="auto"/>
        <w:outlineLvl w:val="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bCs/>
          <w:color w:val="auto"/>
          <w:sz w:val="24"/>
          <w:szCs w:val="24"/>
          <w:highlight w:val="none"/>
          <w:lang w:val="en-US" w:eastAsia="zh-CN"/>
        </w:rPr>
        <w:t>一、</w:t>
      </w:r>
      <w:r>
        <w:rPr>
          <w:rFonts w:hint="eastAsia" w:hAnsi="宋体" w:cs="宋体"/>
          <w:b/>
          <w:bCs/>
          <w:color w:val="auto"/>
          <w:sz w:val="24"/>
          <w:szCs w:val="24"/>
          <w:lang w:val="en-US" w:eastAsia="zh-CN"/>
        </w:rPr>
        <w:t>建设规模</w:t>
      </w:r>
      <w:r>
        <w:rPr>
          <w:rFonts w:hint="eastAsia" w:asciiTheme="minorEastAsia" w:hAnsiTheme="minorEastAsia" w:eastAsiaTheme="minorEastAsia" w:cstheme="minorEastAsia"/>
          <w:color w:val="auto"/>
          <w:sz w:val="24"/>
          <w:szCs w:val="24"/>
          <w:highlight w:val="none"/>
        </w:rPr>
        <w:t>：</w:t>
      </w:r>
      <w:bookmarkStart w:id="0" w:name="_Toc13498"/>
      <w:bookmarkStart w:id="1" w:name="_Toc4755"/>
      <w:bookmarkStart w:id="2" w:name="_Toc28718"/>
    </w:p>
    <w:bookmarkEnd w:id="0"/>
    <w:bookmarkEnd w:id="1"/>
    <w:bookmarkEnd w:id="2"/>
    <w:p>
      <w:pPr>
        <w:numPr>
          <w:ilvl w:val="0"/>
          <w:numId w:val="0"/>
        </w:numPr>
        <w:spacing w:line="360" w:lineRule="auto"/>
        <w:ind w:firstLine="480"/>
        <w:outlineLvl w:val="9"/>
        <w:rPr>
          <w:rFonts w:hint="eastAsia" w:ascii="宋体" w:hAnsi="宋体" w:eastAsia="宋体" w:cs="宋体"/>
          <w:b w:val="0"/>
          <w:bCs/>
          <w:i w:val="0"/>
          <w:iCs/>
          <w:color w:val="auto"/>
          <w:sz w:val="24"/>
          <w:szCs w:val="24"/>
          <w:highlight w:val="none"/>
          <w:lang w:val="en-US" w:eastAsia="zh-CN"/>
        </w:rPr>
      </w:pPr>
      <w:r>
        <w:rPr>
          <w:rFonts w:hint="eastAsia" w:ascii="宋体" w:hAnsi="宋体" w:eastAsia="宋体" w:cs="宋体"/>
          <w:b w:val="0"/>
          <w:bCs/>
          <w:i w:val="0"/>
          <w:iCs/>
          <w:color w:val="auto"/>
          <w:sz w:val="24"/>
          <w:szCs w:val="24"/>
          <w:highlight w:val="none"/>
          <w:lang w:val="en-US" w:eastAsia="zh-CN"/>
        </w:rPr>
        <w:t>2</w:t>
      </w:r>
      <w:r>
        <w:rPr>
          <w:rFonts w:hint="eastAsia" w:ascii="宋体" w:hAnsi="宋体" w:cs="宋体"/>
          <w:b w:val="0"/>
          <w:bCs/>
          <w:i w:val="0"/>
          <w:iCs/>
          <w:color w:val="auto"/>
          <w:sz w:val="24"/>
          <w:szCs w:val="24"/>
          <w:highlight w:val="none"/>
          <w:lang w:val="en-US" w:eastAsia="zh-CN"/>
        </w:rPr>
        <w:t>2</w:t>
      </w:r>
      <w:r>
        <w:rPr>
          <w:rFonts w:hint="eastAsia" w:ascii="宋体" w:hAnsi="宋体" w:eastAsia="宋体" w:cs="宋体"/>
          <w:b w:val="0"/>
          <w:bCs/>
          <w:i w:val="0"/>
          <w:iCs/>
          <w:color w:val="auto"/>
          <w:sz w:val="24"/>
          <w:szCs w:val="24"/>
          <w:highlight w:val="none"/>
          <w:lang w:val="en-US" w:eastAsia="zh-CN"/>
        </w:rPr>
        <w:t>0kV航洋变电站工程，海港～新兴I、Ⅱ回220kV线路改接入航洋站工程，竹坪～新兴220kV线路改接入航洋站工程，500kV海港站间隔工程及相关光纤通信工程。</w:t>
      </w:r>
    </w:p>
    <w:p>
      <w:pPr>
        <w:numPr>
          <w:ilvl w:val="0"/>
          <w:numId w:val="1"/>
        </w:numPr>
        <w:spacing w:line="580" w:lineRule="exact"/>
        <w:ind w:firstLine="480" w:firstLineChars="200"/>
        <w:outlineLvl w:val="1"/>
        <w:rPr>
          <w:rFonts w:hint="eastAsia" w:ascii="宋体" w:hAnsi="宋体" w:eastAsia="宋体" w:cs="宋体"/>
          <w:b w:val="0"/>
          <w:bCs/>
          <w:i w:val="0"/>
          <w:iCs/>
          <w:color w:val="auto"/>
          <w:sz w:val="24"/>
          <w:szCs w:val="24"/>
          <w:highlight w:val="none"/>
        </w:rPr>
      </w:pPr>
      <w:r>
        <w:rPr>
          <w:rFonts w:hint="eastAsia" w:ascii="宋体" w:hAnsi="宋体" w:eastAsia="宋体" w:cs="宋体"/>
          <w:b w:val="0"/>
          <w:bCs/>
          <w:i w:val="0"/>
          <w:iCs/>
          <w:color w:val="auto"/>
          <w:sz w:val="24"/>
          <w:szCs w:val="24"/>
          <w:highlight w:val="none"/>
        </w:rPr>
        <w:t>※变电部分:</w:t>
      </w:r>
    </w:p>
    <w:p>
      <w:pPr>
        <w:numPr>
          <w:ilvl w:val="0"/>
          <w:numId w:val="0"/>
        </w:numPr>
        <w:spacing w:line="360" w:lineRule="auto"/>
        <w:ind w:firstLine="480"/>
        <w:outlineLvl w:val="9"/>
        <w:rPr>
          <w:rFonts w:hint="eastAsia" w:ascii="宋体" w:hAnsi="宋体" w:eastAsia="宋体" w:cs="宋体"/>
          <w:b w:val="0"/>
          <w:bCs/>
          <w:i w:val="0"/>
          <w:iCs/>
          <w:color w:val="auto"/>
          <w:sz w:val="24"/>
          <w:szCs w:val="24"/>
          <w:highlight w:val="none"/>
          <w:lang w:val="en-US" w:eastAsia="zh-CN"/>
        </w:rPr>
      </w:pPr>
      <w:r>
        <w:rPr>
          <w:rFonts w:hint="eastAsia" w:ascii="宋体" w:hAnsi="宋体" w:eastAsia="宋体" w:cs="宋体"/>
          <w:b w:val="0"/>
          <w:bCs/>
          <w:i w:val="0"/>
          <w:iCs/>
          <w:color w:val="auto"/>
          <w:sz w:val="24"/>
          <w:szCs w:val="24"/>
          <w:highlight w:val="none"/>
          <w:lang w:val="en-US" w:eastAsia="zh-CN"/>
        </w:rPr>
        <w:t>1） 220kV航洋变电站工程：主变压器终期4×180MVA，本期1×180MVA；220kV出线终期6回，本期4回；110kV出线终期14回，本期7回；10kV出线终期30回，本期10回；10kV并联电容器终期 4×（5×6）Mvar，本期1×（5×6）Mvar；10kV并联电抗器终期3×10Mvar，本期 1×10Mvar；10kV限流电抗器终期4×3台，本期1×3台。220kV终期采用双母线单分段接线，本期采用双母线单分段接线；110kV终期采用双母线双分段接线，本期采用双母线双分段接线；10kV终期前三台主变采用单母线双分段四段母线接线、第四台主变采用单元接线，本期采用单母线接线。本站按全户内GIS变电站布置，并按三级重点目标配置反恐措施，二次设备（保护、自动化、网络安全）及相关通信设备采用安全自主可控设备。主变采用三相油浸自冷三绕组有载调压变压器（按 LCC 采购），</w:t>
      </w:r>
    </w:p>
    <w:p>
      <w:pPr>
        <w:numPr>
          <w:ilvl w:val="0"/>
          <w:numId w:val="0"/>
        </w:numPr>
        <w:spacing w:line="360" w:lineRule="auto"/>
        <w:outlineLvl w:val="9"/>
        <w:rPr>
          <w:rFonts w:hint="eastAsia" w:ascii="宋体" w:hAnsi="宋体" w:eastAsia="宋体" w:cs="宋体"/>
          <w:b w:val="0"/>
          <w:bCs/>
          <w:i w:val="0"/>
          <w:iCs/>
          <w:color w:val="auto"/>
          <w:sz w:val="24"/>
          <w:szCs w:val="24"/>
          <w:highlight w:val="none"/>
          <w:lang w:val="en-US" w:eastAsia="zh-CN"/>
        </w:rPr>
      </w:pPr>
      <w:r>
        <w:rPr>
          <w:rFonts w:hint="eastAsia" w:ascii="宋体" w:hAnsi="宋体" w:eastAsia="宋体" w:cs="宋体"/>
          <w:b w:val="0"/>
          <w:bCs/>
          <w:i w:val="0"/>
          <w:iCs/>
          <w:color w:val="auto"/>
          <w:sz w:val="24"/>
          <w:szCs w:val="24"/>
          <w:highlight w:val="none"/>
          <w:lang w:val="en-US" w:eastAsia="zh-CN"/>
        </w:rPr>
        <w:t>220kV采用户内GIS设备（按LCC采购），110kV采用户内GIS设备，10kV采用户内开关柜。</w:t>
      </w:r>
      <w:r>
        <w:rPr>
          <w:rFonts w:hint="eastAsia" w:ascii="宋体" w:hAnsi="宋体" w:cs="宋体"/>
          <w:b w:val="0"/>
          <w:bCs/>
          <w:i w:val="0"/>
          <w:iCs/>
          <w:color w:val="auto"/>
          <w:sz w:val="24"/>
          <w:szCs w:val="24"/>
          <w:highlight w:val="none"/>
          <w:lang w:val="en-US" w:eastAsia="zh-CN"/>
        </w:rPr>
        <w:t>本站站址位于防城港市区，</w:t>
      </w:r>
      <w:r>
        <w:rPr>
          <w:rFonts w:hint="eastAsia" w:ascii="宋体" w:hAnsi="宋体" w:eastAsia="宋体" w:cs="宋体"/>
          <w:b w:val="0"/>
          <w:bCs/>
          <w:i w:val="0"/>
          <w:iCs/>
          <w:color w:val="auto"/>
          <w:sz w:val="24"/>
          <w:szCs w:val="24"/>
          <w:highlight w:val="none"/>
          <w:lang w:val="en-US" w:eastAsia="zh-CN"/>
        </w:rPr>
        <w:t>本工程按最终规模一次征地，总征地面积0.983651公顷（14.755亩），其中围墙内占地0.816839公顷（12.2526亩）。全站总建筑面积11509.46m</w:t>
      </w:r>
      <w:r>
        <w:rPr>
          <w:rFonts w:hint="eastAsia" w:ascii="宋体" w:hAnsi="宋体" w:eastAsia="宋体" w:cs="宋体"/>
          <w:b w:val="0"/>
          <w:bCs/>
          <w:i w:val="0"/>
          <w:iCs/>
          <w:color w:val="auto"/>
          <w:sz w:val="24"/>
          <w:szCs w:val="24"/>
          <w:highlight w:val="none"/>
          <w:vertAlign w:val="superscript"/>
          <w:lang w:val="en-US" w:eastAsia="zh-CN"/>
        </w:rPr>
        <w:t>2</w:t>
      </w:r>
      <w:r>
        <w:rPr>
          <w:rFonts w:hint="eastAsia" w:ascii="宋体" w:hAnsi="宋体" w:eastAsia="宋体" w:cs="宋体"/>
          <w:b w:val="0"/>
          <w:bCs/>
          <w:i w:val="0"/>
          <w:iCs/>
          <w:color w:val="auto"/>
          <w:sz w:val="24"/>
          <w:szCs w:val="24"/>
          <w:highlight w:val="none"/>
          <w:lang w:val="en-US" w:eastAsia="zh-CN"/>
        </w:rPr>
        <w:t>，其中配电装置楼11035.73m</w:t>
      </w:r>
      <w:r>
        <w:rPr>
          <w:rFonts w:hint="eastAsia" w:ascii="宋体" w:hAnsi="宋体" w:eastAsia="宋体" w:cs="宋体"/>
          <w:b w:val="0"/>
          <w:bCs/>
          <w:i w:val="0"/>
          <w:iCs/>
          <w:color w:val="auto"/>
          <w:sz w:val="24"/>
          <w:szCs w:val="24"/>
          <w:highlight w:val="none"/>
          <w:vertAlign w:val="superscript"/>
          <w:lang w:val="en-US" w:eastAsia="zh-CN"/>
        </w:rPr>
        <w:t>2</w:t>
      </w:r>
      <w:r>
        <w:rPr>
          <w:rFonts w:hint="eastAsia" w:ascii="宋体" w:hAnsi="宋体" w:eastAsia="宋体" w:cs="宋体"/>
          <w:b w:val="0"/>
          <w:bCs/>
          <w:i w:val="0"/>
          <w:iCs/>
          <w:color w:val="auto"/>
          <w:sz w:val="24"/>
          <w:szCs w:val="24"/>
          <w:highlight w:val="none"/>
          <w:lang w:val="en-US" w:eastAsia="zh-CN"/>
        </w:rPr>
        <w:t>。</w:t>
      </w:r>
    </w:p>
    <w:p>
      <w:pPr>
        <w:numPr>
          <w:ilvl w:val="0"/>
          <w:numId w:val="0"/>
        </w:numPr>
        <w:spacing w:line="360" w:lineRule="auto"/>
        <w:ind w:firstLine="480" w:firstLineChars="200"/>
        <w:outlineLvl w:val="9"/>
        <w:rPr>
          <w:rFonts w:hint="eastAsia" w:ascii="宋体" w:hAnsi="宋体" w:eastAsia="宋体" w:cs="宋体"/>
          <w:b w:val="0"/>
          <w:bCs/>
          <w:i w:val="0"/>
          <w:iCs/>
          <w:color w:val="auto"/>
          <w:sz w:val="24"/>
          <w:szCs w:val="24"/>
          <w:highlight w:val="none"/>
          <w:lang w:val="en-US" w:eastAsia="zh-CN"/>
        </w:rPr>
      </w:pPr>
      <w:r>
        <w:rPr>
          <w:rFonts w:hint="eastAsia" w:ascii="宋体" w:hAnsi="宋体" w:cs="宋体"/>
          <w:b w:val="0"/>
          <w:bCs/>
          <w:i w:val="0"/>
          <w:iCs/>
          <w:color w:val="auto"/>
          <w:sz w:val="24"/>
          <w:szCs w:val="24"/>
          <w:highlight w:val="none"/>
          <w:lang w:val="en-US" w:eastAsia="zh-CN"/>
        </w:rPr>
        <w:t>2</w:t>
      </w:r>
      <w:r>
        <w:rPr>
          <w:rFonts w:hint="eastAsia" w:ascii="宋体" w:hAnsi="宋体" w:eastAsia="宋体" w:cs="宋体"/>
          <w:b w:val="0"/>
          <w:bCs/>
          <w:i w:val="0"/>
          <w:iCs/>
          <w:color w:val="auto"/>
          <w:sz w:val="24"/>
          <w:szCs w:val="24"/>
          <w:highlight w:val="none"/>
          <w:lang w:val="en-US" w:eastAsia="zh-CN"/>
        </w:rPr>
        <w:t xml:space="preserve">） </w:t>
      </w:r>
      <w:r>
        <w:rPr>
          <w:rFonts w:hint="default" w:ascii="宋体" w:hAnsi="宋体" w:eastAsia="宋体" w:cs="宋体"/>
          <w:b w:val="0"/>
          <w:bCs/>
          <w:i w:val="0"/>
          <w:iCs/>
          <w:color w:val="auto"/>
          <w:sz w:val="24"/>
          <w:szCs w:val="24"/>
          <w:highlight w:val="none"/>
          <w:lang w:val="en-US" w:eastAsia="zh-CN"/>
        </w:rPr>
        <w:t>500kV海港站间隔工程</w:t>
      </w:r>
      <w:r>
        <w:rPr>
          <w:rFonts w:hint="eastAsia" w:ascii="宋体" w:hAnsi="宋体" w:eastAsia="宋体" w:cs="宋体"/>
          <w:b w:val="0"/>
          <w:bCs/>
          <w:i w:val="0"/>
          <w:iCs/>
          <w:color w:val="auto"/>
          <w:sz w:val="24"/>
          <w:szCs w:val="24"/>
          <w:highlight w:val="none"/>
          <w:lang w:val="en-US" w:eastAsia="zh-CN"/>
        </w:rPr>
        <w:t>：</w:t>
      </w:r>
      <w:r>
        <w:rPr>
          <w:rFonts w:hint="eastAsia" w:ascii="宋体" w:hAnsi="宋体" w:cs="宋体"/>
          <w:b w:val="0"/>
          <w:bCs/>
          <w:i w:val="0"/>
          <w:iCs/>
          <w:color w:val="auto"/>
          <w:sz w:val="24"/>
          <w:szCs w:val="24"/>
          <w:highlight w:val="none"/>
          <w:lang w:val="en-US" w:eastAsia="zh-CN"/>
        </w:rPr>
        <w:t>本期</w:t>
      </w:r>
      <w:r>
        <w:rPr>
          <w:rFonts w:hint="eastAsia" w:ascii="宋体" w:hAnsi="宋体" w:eastAsia="宋体" w:cs="宋体"/>
          <w:b w:val="0"/>
          <w:bCs/>
          <w:i w:val="0"/>
          <w:iCs/>
          <w:color w:val="auto"/>
          <w:sz w:val="24"/>
          <w:szCs w:val="24"/>
          <w:highlight w:val="none"/>
          <w:lang w:val="en-US" w:eastAsia="zh-CN"/>
        </w:rPr>
        <w:t>在现有场地扩建220kV出线间隔1个作为航洋Ⅱ间隔，采用户外AIS设备；利用原备用竹坪220kV间隔作为航洋I</w:t>
      </w:r>
      <w:r>
        <w:rPr>
          <w:rFonts w:hint="eastAsia" w:ascii="宋体" w:hAnsi="宋体" w:cs="宋体"/>
          <w:b w:val="0"/>
          <w:bCs/>
          <w:i w:val="0"/>
          <w:iCs/>
          <w:color w:val="auto"/>
          <w:sz w:val="24"/>
          <w:szCs w:val="24"/>
          <w:highlight w:val="none"/>
          <w:lang w:val="en-US" w:eastAsia="zh-CN"/>
        </w:rPr>
        <w:t xml:space="preserve"> </w:t>
      </w:r>
      <w:r>
        <w:rPr>
          <w:rFonts w:hint="eastAsia" w:ascii="宋体" w:hAnsi="宋体" w:eastAsia="宋体" w:cs="宋体"/>
          <w:b w:val="0"/>
          <w:bCs/>
          <w:i w:val="0"/>
          <w:iCs/>
          <w:color w:val="auto"/>
          <w:sz w:val="24"/>
          <w:szCs w:val="24"/>
          <w:highlight w:val="none"/>
          <w:lang w:val="en-US" w:eastAsia="zh-CN"/>
        </w:rPr>
        <w:t>220kV间隔。</w:t>
      </w:r>
      <w:r>
        <w:rPr>
          <w:rFonts w:hint="eastAsia" w:ascii="宋体" w:hAnsi="宋体" w:cs="宋体"/>
          <w:b w:val="0"/>
          <w:bCs/>
          <w:i w:val="0"/>
          <w:iCs/>
          <w:color w:val="auto"/>
          <w:sz w:val="24"/>
          <w:szCs w:val="24"/>
          <w:highlight w:val="none"/>
          <w:lang w:val="en-US" w:eastAsia="zh-CN"/>
        </w:rPr>
        <w:t>海港站220kV配电装置前期采用户外支持式管型母线、断路器双列布置在站区南侧，本期利用海港站原备用竹坪220kV间隔作为本期航洋I 220kV间隔，在从站外面向变电站220kV配电装置右起第5个间隔位置扩建航洋Ⅱ 220kV间隔。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i w:val="0"/>
          <w:iCs/>
          <w:color w:val="auto"/>
          <w:sz w:val="24"/>
          <w:szCs w:val="24"/>
          <w:highlight w:val="none"/>
        </w:rPr>
      </w:pPr>
      <w:r>
        <w:rPr>
          <w:rFonts w:hint="eastAsia" w:ascii="宋体" w:hAnsi="宋体" w:cs="宋体"/>
          <w:b w:val="0"/>
          <w:bCs/>
          <w:i w:val="0"/>
          <w:iCs/>
          <w:color w:val="auto"/>
          <w:sz w:val="24"/>
          <w:szCs w:val="24"/>
          <w:highlight w:val="none"/>
          <w:lang w:val="en-US" w:eastAsia="zh-CN"/>
        </w:rPr>
        <w:t>3</w:t>
      </w:r>
      <w:r>
        <w:rPr>
          <w:rFonts w:hint="eastAsia" w:ascii="宋体" w:hAnsi="宋体" w:eastAsia="宋体" w:cs="宋体"/>
          <w:b w:val="0"/>
          <w:bCs/>
          <w:i w:val="0"/>
          <w:iCs/>
          <w:color w:val="auto"/>
          <w:sz w:val="24"/>
          <w:szCs w:val="24"/>
          <w:highlight w:val="none"/>
        </w:rPr>
        <w:t>）光纤通信工程：</w:t>
      </w:r>
    </w:p>
    <w:p>
      <w:pPr>
        <w:pStyle w:val="12"/>
        <w:keepNext w:val="0"/>
        <w:keepLines w:val="0"/>
        <w:pageBreakBefore w:val="0"/>
        <w:widowControl w:val="0"/>
        <w:numPr>
          <w:ilvl w:val="0"/>
          <w:numId w:val="0"/>
        </w:numPr>
        <w:kinsoku/>
        <w:wordWrap/>
        <w:overflowPunct/>
        <w:topLinePunct w:val="0"/>
        <w:autoSpaceDE/>
        <w:autoSpaceDN/>
        <w:bidi w:val="0"/>
        <w:adjustRightInd/>
        <w:snapToGrid/>
        <w:spacing w:beforeLines="0" w:afterLines="0" w:line="360" w:lineRule="auto"/>
        <w:ind w:leftChars="0" w:firstLine="480" w:firstLineChars="200"/>
        <w:textAlignment w:val="auto"/>
        <w:rPr>
          <w:rFonts w:hint="eastAsia" w:ascii="宋体" w:hAnsi="宋体" w:eastAsia="宋体" w:cs="宋体"/>
          <w:b w:val="0"/>
          <w:bCs/>
          <w:i w:val="0"/>
          <w:iCs/>
          <w:color w:val="auto"/>
          <w:kern w:val="2"/>
          <w:sz w:val="24"/>
          <w:szCs w:val="24"/>
          <w:highlight w:val="none"/>
          <w:lang w:val="en-US" w:eastAsia="zh-CN" w:bidi="ar-SA"/>
        </w:rPr>
      </w:pPr>
      <w:r>
        <w:rPr>
          <w:rFonts w:hint="eastAsia" w:ascii="宋体" w:hAnsi="宋体" w:eastAsia="宋体" w:cs="宋体"/>
          <w:b w:val="0"/>
          <w:bCs/>
          <w:i w:val="0"/>
          <w:iCs/>
          <w:color w:val="auto"/>
          <w:kern w:val="2"/>
          <w:sz w:val="24"/>
          <w:szCs w:val="24"/>
          <w:highlight w:val="none"/>
          <w:lang w:val="en-US" w:eastAsia="zh-CN" w:bidi="ar-SA"/>
        </w:rPr>
        <w:t>（1）海港～新兴I、Ⅱ回220kV线路改接入航洋站工程</w:t>
      </w:r>
    </w:p>
    <w:p>
      <w:pPr>
        <w:pStyle w:val="12"/>
        <w:keepNext w:val="0"/>
        <w:keepLines w:val="0"/>
        <w:pageBreakBefore w:val="0"/>
        <w:widowControl w:val="0"/>
        <w:numPr>
          <w:ilvl w:val="0"/>
          <w:numId w:val="0"/>
        </w:numPr>
        <w:kinsoku/>
        <w:wordWrap/>
        <w:overflowPunct/>
        <w:topLinePunct w:val="0"/>
        <w:autoSpaceDE/>
        <w:autoSpaceDN/>
        <w:bidi w:val="0"/>
        <w:adjustRightInd/>
        <w:snapToGrid/>
        <w:spacing w:beforeLines="0" w:afterLines="0" w:line="360" w:lineRule="auto"/>
        <w:ind w:leftChars="0" w:firstLine="480" w:firstLineChars="200"/>
        <w:textAlignment w:val="auto"/>
        <w:rPr>
          <w:rFonts w:hint="eastAsia" w:ascii="宋体" w:hAnsi="宋体" w:eastAsia="宋体" w:cs="宋体"/>
          <w:b w:val="0"/>
          <w:bCs/>
          <w:i w:val="0"/>
          <w:iCs/>
          <w:color w:val="auto"/>
          <w:kern w:val="2"/>
          <w:sz w:val="24"/>
          <w:szCs w:val="24"/>
          <w:highlight w:val="none"/>
          <w:lang w:val="en-US" w:eastAsia="zh-CN" w:bidi="ar-SA"/>
        </w:rPr>
      </w:pPr>
      <w:r>
        <w:rPr>
          <w:rFonts w:hint="eastAsia" w:ascii="宋体" w:hAnsi="宋体" w:eastAsia="宋体" w:cs="宋体"/>
          <w:b w:val="0"/>
          <w:bCs/>
          <w:i w:val="0"/>
          <w:iCs/>
          <w:color w:val="auto"/>
          <w:kern w:val="2"/>
          <w:sz w:val="24"/>
          <w:szCs w:val="24"/>
          <w:highlight w:val="none"/>
          <w:lang w:val="en-US" w:eastAsia="zh-CN" w:bidi="ar-SA"/>
        </w:rPr>
        <w:t>沿新建架空线路航洋站至红树林大桥南侧段杆塔架设3根48芯OPGW复合光缆，其中2根用于建设海港站～航洋站2回48芯光缆路由，另1根用于恢复建设新兴站～东湾站1回24芯光缆路由，光缆路径长度约3×0.6km。</w:t>
      </w:r>
    </w:p>
    <w:p>
      <w:pPr>
        <w:pStyle w:val="12"/>
        <w:keepNext w:val="0"/>
        <w:keepLines w:val="0"/>
        <w:pageBreakBefore w:val="0"/>
        <w:widowControl w:val="0"/>
        <w:numPr>
          <w:ilvl w:val="0"/>
          <w:numId w:val="0"/>
        </w:numPr>
        <w:kinsoku/>
        <w:wordWrap/>
        <w:overflowPunct/>
        <w:topLinePunct w:val="0"/>
        <w:autoSpaceDE/>
        <w:autoSpaceDN/>
        <w:bidi w:val="0"/>
        <w:adjustRightInd/>
        <w:snapToGrid/>
        <w:spacing w:beforeLines="0" w:afterLines="0" w:line="360" w:lineRule="auto"/>
        <w:ind w:leftChars="0" w:firstLine="480" w:firstLineChars="200"/>
        <w:textAlignment w:val="auto"/>
        <w:rPr>
          <w:rFonts w:hint="eastAsia" w:ascii="宋体" w:hAnsi="宋体" w:eastAsia="宋体" w:cs="宋体"/>
          <w:b w:val="0"/>
          <w:bCs/>
          <w:i w:val="0"/>
          <w:iCs/>
          <w:color w:val="auto"/>
          <w:kern w:val="2"/>
          <w:sz w:val="24"/>
          <w:szCs w:val="24"/>
          <w:highlight w:val="none"/>
          <w:lang w:val="en-US" w:eastAsia="zh-CN" w:bidi="ar-SA"/>
        </w:rPr>
      </w:pPr>
      <w:r>
        <w:rPr>
          <w:rFonts w:hint="eastAsia" w:ascii="宋体" w:hAnsi="宋体" w:eastAsia="宋体" w:cs="宋体"/>
          <w:b w:val="0"/>
          <w:bCs/>
          <w:i w:val="0"/>
          <w:iCs/>
          <w:color w:val="auto"/>
          <w:kern w:val="2"/>
          <w:sz w:val="24"/>
          <w:szCs w:val="24"/>
          <w:highlight w:val="none"/>
          <w:lang w:val="en-US" w:eastAsia="zh-CN" w:bidi="ar-SA"/>
        </w:rPr>
        <w:t>沿新建架空线路红树林南侧至北侧段杆塔架设2根96芯0PGW复合光缆，其中1根96芯光缆中的48芯用于建设海港站～航洋站Ⅰ回光缆路由，另48芯用于恢复建设新兴站～东湾站1回24芯光缆路由；另1根96芯光缆中的48芯用于建设海港站～航洋站Ⅱ回光缆路由，另48芯备用；光缆路径长度约2×1.1km。</w:t>
      </w:r>
    </w:p>
    <w:p>
      <w:pPr>
        <w:pStyle w:val="12"/>
        <w:keepNext w:val="0"/>
        <w:keepLines w:val="0"/>
        <w:pageBreakBefore w:val="0"/>
        <w:widowControl w:val="0"/>
        <w:numPr>
          <w:ilvl w:val="0"/>
          <w:numId w:val="0"/>
        </w:numPr>
        <w:kinsoku/>
        <w:wordWrap/>
        <w:overflowPunct/>
        <w:topLinePunct w:val="0"/>
        <w:autoSpaceDE/>
        <w:autoSpaceDN/>
        <w:bidi w:val="0"/>
        <w:adjustRightInd/>
        <w:snapToGrid/>
        <w:spacing w:beforeLines="0" w:afterLines="0" w:line="360" w:lineRule="auto"/>
        <w:ind w:leftChars="0" w:firstLine="480" w:firstLineChars="200"/>
        <w:textAlignment w:val="auto"/>
        <w:rPr>
          <w:rFonts w:hint="eastAsia" w:ascii="宋体" w:hAnsi="宋体" w:eastAsia="宋体" w:cs="宋体"/>
          <w:b w:val="0"/>
          <w:bCs/>
          <w:i w:val="0"/>
          <w:iCs/>
          <w:color w:val="auto"/>
          <w:kern w:val="2"/>
          <w:sz w:val="24"/>
          <w:szCs w:val="24"/>
          <w:highlight w:val="none"/>
          <w:lang w:val="en-US" w:eastAsia="zh-CN" w:bidi="ar-SA"/>
        </w:rPr>
      </w:pPr>
      <w:r>
        <w:rPr>
          <w:rFonts w:hint="eastAsia" w:ascii="宋体" w:hAnsi="宋体" w:eastAsia="宋体" w:cs="宋体"/>
          <w:b w:val="0"/>
          <w:bCs/>
          <w:i w:val="0"/>
          <w:iCs/>
          <w:color w:val="auto"/>
          <w:kern w:val="2"/>
          <w:sz w:val="24"/>
          <w:szCs w:val="24"/>
          <w:highlight w:val="none"/>
          <w:lang w:val="en-US" w:eastAsia="zh-CN" w:bidi="ar-SA"/>
        </w:rPr>
        <w:t>沿新建架空线路榕木江大桥东侧至锦和大道路口段架设4根48芯OPGW复合光缆，其中2根用于建设海港站～航洋站2回48芯光缆路由，另2根分别用于恢复建设新兴站～石板田站2回24芯光缆路由，光缆路径长度约4×1.5km。</w:t>
      </w:r>
    </w:p>
    <w:p>
      <w:pPr>
        <w:pStyle w:val="12"/>
        <w:keepNext w:val="0"/>
        <w:keepLines w:val="0"/>
        <w:pageBreakBefore w:val="0"/>
        <w:widowControl w:val="0"/>
        <w:numPr>
          <w:ilvl w:val="0"/>
          <w:numId w:val="0"/>
        </w:numPr>
        <w:kinsoku/>
        <w:wordWrap/>
        <w:overflowPunct/>
        <w:topLinePunct w:val="0"/>
        <w:autoSpaceDE/>
        <w:autoSpaceDN/>
        <w:bidi w:val="0"/>
        <w:adjustRightInd/>
        <w:snapToGrid/>
        <w:spacing w:beforeLines="0" w:afterLines="0" w:line="360" w:lineRule="auto"/>
        <w:ind w:leftChars="0" w:firstLine="480" w:firstLineChars="200"/>
        <w:textAlignment w:val="auto"/>
        <w:rPr>
          <w:rFonts w:hint="eastAsia" w:ascii="宋体" w:hAnsi="宋体" w:eastAsia="宋体" w:cs="宋体"/>
          <w:b w:val="0"/>
          <w:bCs/>
          <w:i w:val="0"/>
          <w:iCs/>
          <w:color w:val="auto"/>
          <w:kern w:val="2"/>
          <w:sz w:val="24"/>
          <w:szCs w:val="24"/>
          <w:highlight w:val="none"/>
          <w:lang w:val="en-US" w:eastAsia="zh-CN" w:bidi="ar-SA"/>
        </w:rPr>
      </w:pPr>
      <w:r>
        <w:rPr>
          <w:rFonts w:hint="eastAsia" w:ascii="宋体" w:hAnsi="宋体" w:eastAsia="宋体" w:cs="宋体"/>
          <w:b w:val="0"/>
          <w:bCs/>
          <w:i w:val="0"/>
          <w:iCs/>
          <w:color w:val="auto"/>
          <w:kern w:val="2"/>
          <w:sz w:val="24"/>
          <w:szCs w:val="24"/>
          <w:highlight w:val="none"/>
          <w:lang w:val="en-US" w:eastAsia="zh-CN" w:bidi="ar-SA"/>
        </w:rPr>
        <w:t>在海港站内沿二次电缆沟敷设2根48芯导引光缆，光缆路径长度约2×0.35km。</w:t>
      </w:r>
    </w:p>
    <w:p>
      <w:pPr>
        <w:pStyle w:val="12"/>
        <w:keepNext w:val="0"/>
        <w:keepLines w:val="0"/>
        <w:pageBreakBefore w:val="0"/>
        <w:widowControl w:val="0"/>
        <w:numPr>
          <w:ilvl w:val="0"/>
          <w:numId w:val="0"/>
        </w:numPr>
        <w:kinsoku/>
        <w:wordWrap/>
        <w:overflowPunct/>
        <w:topLinePunct w:val="0"/>
        <w:autoSpaceDE/>
        <w:autoSpaceDN/>
        <w:bidi w:val="0"/>
        <w:adjustRightInd/>
        <w:snapToGrid/>
        <w:spacing w:beforeLines="0" w:afterLines="0" w:line="360" w:lineRule="auto"/>
        <w:ind w:leftChars="0" w:firstLine="480" w:firstLineChars="200"/>
        <w:textAlignment w:val="auto"/>
        <w:rPr>
          <w:rFonts w:hint="eastAsia" w:ascii="宋体" w:hAnsi="宋体" w:eastAsia="宋体" w:cs="宋体"/>
          <w:b w:val="0"/>
          <w:bCs/>
          <w:i w:val="0"/>
          <w:iCs/>
          <w:color w:val="auto"/>
          <w:kern w:val="2"/>
          <w:sz w:val="24"/>
          <w:szCs w:val="24"/>
          <w:highlight w:val="none"/>
          <w:lang w:val="en-US" w:eastAsia="zh-CN" w:bidi="ar-SA"/>
        </w:rPr>
      </w:pPr>
      <w:r>
        <w:rPr>
          <w:rFonts w:hint="eastAsia" w:ascii="宋体" w:hAnsi="宋体" w:eastAsia="宋体" w:cs="宋体"/>
          <w:b w:val="0"/>
          <w:bCs/>
          <w:i w:val="0"/>
          <w:iCs/>
          <w:color w:val="auto"/>
          <w:kern w:val="2"/>
          <w:sz w:val="24"/>
          <w:szCs w:val="24"/>
          <w:highlight w:val="none"/>
          <w:lang w:val="en-US" w:eastAsia="zh-CN" w:bidi="ar-SA"/>
        </w:rPr>
        <w:t>随本期新建电缆及其他新建架空段线路分别敷设2根48芯导引光缆和架设2根48芯OPGW复合光缆，路径长度约2×10.55km。</w:t>
      </w:r>
    </w:p>
    <w:p>
      <w:pPr>
        <w:pStyle w:val="12"/>
        <w:keepNext w:val="0"/>
        <w:keepLines w:val="0"/>
        <w:pageBreakBefore w:val="0"/>
        <w:widowControl w:val="0"/>
        <w:numPr>
          <w:ilvl w:val="0"/>
          <w:numId w:val="0"/>
        </w:numPr>
        <w:kinsoku/>
        <w:wordWrap/>
        <w:overflowPunct/>
        <w:topLinePunct w:val="0"/>
        <w:autoSpaceDE/>
        <w:autoSpaceDN/>
        <w:bidi w:val="0"/>
        <w:adjustRightInd/>
        <w:snapToGrid/>
        <w:spacing w:beforeLines="0" w:afterLines="0" w:line="360" w:lineRule="auto"/>
        <w:ind w:leftChars="0" w:firstLine="480" w:firstLineChars="200"/>
        <w:textAlignment w:val="auto"/>
        <w:rPr>
          <w:rFonts w:hint="eastAsia" w:ascii="宋体" w:hAnsi="宋体" w:eastAsia="宋体" w:cs="宋体"/>
          <w:b w:val="0"/>
          <w:bCs/>
          <w:i w:val="0"/>
          <w:iCs/>
          <w:color w:val="auto"/>
          <w:kern w:val="2"/>
          <w:sz w:val="24"/>
          <w:szCs w:val="24"/>
          <w:highlight w:val="none"/>
          <w:lang w:val="en-US" w:eastAsia="zh-CN" w:bidi="ar-SA"/>
        </w:rPr>
      </w:pPr>
      <w:r>
        <w:rPr>
          <w:rFonts w:hint="eastAsia" w:ascii="宋体" w:hAnsi="宋体" w:eastAsia="宋体" w:cs="宋体"/>
          <w:b w:val="0"/>
          <w:bCs/>
          <w:i w:val="0"/>
          <w:iCs/>
          <w:color w:val="auto"/>
          <w:kern w:val="2"/>
          <w:sz w:val="24"/>
          <w:szCs w:val="24"/>
          <w:highlight w:val="none"/>
          <w:lang w:val="en-US" w:eastAsia="zh-CN" w:bidi="ar-SA"/>
        </w:rPr>
        <w:t>将原已建停运的海港～新兴I、Ⅱ220kV线路#04至#36塔段的2根GJ-50钢绞线更换为2根48芯0PGW复合光缆，更换光缆路径长度约2×9.8km。</w:t>
      </w:r>
    </w:p>
    <w:p>
      <w:pPr>
        <w:pStyle w:val="12"/>
        <w:keepNext w:val="0"/>
        <w:keepLines w:val="0"/>
        <w:pageBreakBefore w:val="0"/>
        <w:widowControl w:val="0"/>
        <w:numPr>
          <w:ilvl w:val="0"/>
          <w:numId w:val="0"/>
        </w:numPr>
        <w:kinsoku/>
        <w:wordWrap/>
        <w:overflowPunct/>
        <w:topLinePunct w:val="0"/>
        <w:autoSpaceDE/>
        <w:autoSpaceDN/>
        <w:bidi w:val="0"/>
        <w:adjustRightInd/>
        <w:snapToGrid/>
        <w:spacing w:beforeLines="0" w:afterLines="0" w:line="360" w:lineRule="auto"/>
        <w:ind w:leftChars="0" w:firstLine="480" w:firstLineChars="200"/>
        <w:textAlignment w:val="auto"/>
        <w:rPr>
          <w:rFonts w:hint="eastAsia" w:ascii="宋体" w:hAnsi="宋体" w:eastAsia="宋体" w:cs="宋体"/>
          <w:b w:val="0"/>
          <w:bCs/>
          <w:i w:val="0"/>
          <w:iCs/>
          <w:color w:val="auto"/>
          <w:kern w:val="2"/>
          <w:sz w:val="24"/>
          <w:szCs w:val="24"/>
          <w:highlight w:val="none"/>
          <w:lang w:val="en-US" w:eastAsia="zh-CN" w:bidi="ar-SA"/>
        </w:rPr>
      </w:pPr>
      <w:r>
        <w:rPr>
          <w:rFonts w:hint="eastAsia" w:ascii="宋体" w:hAnsi="宋体" w:eastAsia="宋体" w:cs="宋体"/>
          <w:b w:val="0"/>
          <w:bCs/>
          <w:i w:val="0"/>
          <w:iCs/>
          <w:color w:val="auto"/>
          <w:kern w:val="2"/>
          <w:sz w:val="24"/>
          <w:szCs w:val="24"/>
          <w:highlight w:val="none"/>
          <w:lang w:val="en-US" w:eastAsia="zh-CN" w:bidi="ar-SA"/>
        </w:rPr>
        <w:t>（2）竹坪～新兴220kV线路改接入航洋站工程</w:t>
      </w:r>
    </w:p>
    <w:p>
      <w:pPr>
        <w:pStyle w:val="12"/>
        <w:keepNext w:val="0"/>
        <w:keepLines w:val="0"/>
        <w:pageBreakBefore w:val="0"/>
        <w:widowControl w:val="0"/>
        <w:numPr>
          <w:ilvl w:val="0"/>
          <w:numId w:val="0"/>
        </w:numPr>
        <w:kinsoku/>
        <w:wordWrap/>
        <w:overflowPunct/>
        <w:topLinePunct w:val="0"/>
        <w:autoSpaceDE/>
        <w:autoSpaceDN/>
        <w:bidi w:val="0"/>
        <w:adjustRightInd/>
        <w:snapToGrid/>
        <w:spacing w:beforeLines="0" w:afterLines="0" w:line="360" w:lineRule="auto"/>
        <w:ind w:leftChars="0" w:firstLine="480" w:firstLineChars="200"/>
        <w:textAlignment w:val="auto"/>
        <w:rPr>
          <w:rFonts w:hint="eastAsia" w:ascii="宋体" w:hAnsi="宋体" w:eastAsia="宋体" w:cs="宋体"/>
          <w:b w:val="0"/>
          <w:bCs/>
          <w:i w:val="0"/>
          <w:iCs/>
          <w:color w:val="auto"/>
          <w:kern w:val="2"/>
          <w:sz w:val="24"/>
          <w:szCs w:val="24"/>
          <w:highlight w:val="none"/>
          <w:lang w:val="en-US" w:eastAsia="zh-CN" w:bidi="ar-SA"/>
        </w:rPr>
      </w:pPr>
      <w:r>
        <w:rPr>
          <w:rFonts w:hint="eastAsia" w:ascii="宋体" w:hAnsi="宋体" w:eastAsia="宋体" w:cs="宋体"/>
          <w:b w:val="0"/>
          <w:bCs/>
          <w:i w:val="0"/>
          <w:iCs/>
          <w:color w:val="auto"/>
          <w:kern w:val="2"/>
          <w:sz w:val="24"/>
          <w:szCs w:val="24"/>
          <w:highlight w:val="none"/>
          <w:lang w:val="en-US" w:eastAsia="zh-CN" w:bidi="ar-SA"/>
        </w:rPr>
        <w:t>沿新建架空线路航洋站至红树林大桥南侧段和红树林大桥北侧至北湖街东湾大道路口段分别架设4根48芯OPGW复合光缆，其中2根用于建设航洋站～新兴站的2回24芯光缆路由，2根预留用于建设航洋站110kV配套光缆，路径长度约4×2.1km。</w:t>
      </w:r>
    </w:p>
    <w:p>
      <w:pPr>
        <w:pStyle w:val="12"/>
        <w:keepNext w:val="0"/>
        <w:keepLines w:val="0"/>
        <w:pageBreakBefore w:val="0"/>
        <w:widowControl w:val="0"/>
        <w:numPr>
          <w:ilvl w:val="0"/>
          <w:numId w:val="0"/>
        </w:numPr>
        <w:kinsoku/>
        <w:wordWrap/>
        <w:overflowPunct/>
        <w:topLinePunct w:val="0"/>
        <w:autoSpaceDE/>
        <w:autoSpaceDN/>
        <w:bidi w:val="0"/>
        <w:adjustRightInd/>
        <w:snapToGrid/>
        <w:spacing w:beforeLines="0" w:afterLines="0" w:line="360" w:lineRule="auto"/>
        <w:ind w:leftChars="0" w:firstLine="480" w:firstLineChars="200"/>
        <w:textAlignment w:val="auto"/>
        <w:rPr>
          <w:rFonts w:hint="eastAsia" w:ascii="宋体" w:hAnsi="宋体" w:eastAsia="宋体" w:cs="宋体"/>
          <w:b w:val="0"/>
          <w:bCs/>
          <w:i w:val="0"/>
          <w:iCs/>
          <w:color w:val="auto"/>
          <w:kern w:val="2"/>
          <w:sz w:val="24"/>
          <w:szCs w:val="24"/>
          <w:highlight w:val="none"/>
          <w:lang w:val="en-US" w:eastAsia="zh-CN" w:bidi="ar-SA"/>
        </w:rPr>
      </w:pPr>
      <w:r>
        <w:rPr>
          <w:rFonts w:hint="eastAsia" w:ascii="宋体" w:hAnsi="宋体" w:eastAsia="宋体" w:cs="宋体"/>
          <w:b w:val="0"/>
          <w:bCs/>
          <w:i w:val="0"/>
          <w:iCs/>
          <w:color w:val="auto"/>
          <w:kern w:val="2"/>
          <w:sz w:val="24"/>
          <w:szCs w:val="24"/>
          <w:highlight w:val="none"/>
          <w:lang w:val="en-US" w:eastAsia="zh-CN" w:bidi="ar-SA"/>
        </w:rPr>
        <w:t>沿新建架空线路红树林大桥南侧至北侧段架设2根96芯OPGW复合光缆，其中每根96芯光缆中的48芯用于建设航洋站～新兴站Ⅰ回光缆路由，另48芯预留用于建设航洋站110kV配套光缆，光缆路径长度约2×1.1km。</w:t>
      </w:r>
    </w:p>
    <w:p>
      <w:pPr>
        <w:pStyle w:val="12"/>
        <w:keepNext w:val="0"/>
        <w:keepLines w:val="0"/>
        <w:pageBreakBefore w:val="0"/>
        <w:widowControl w:val="0"/>
        <w:numPr>
          <w:ilvl w:val="0"/>
          <w:numId w:val="0"/>
        </w:numPr>
        <w:kinsoku/>
        <w:wordWrap/>
        <w:overflowPunct/>
        <w:topLinePunct w:val="0"/>
        <w:autoSpaceDE/>
        <w:autoSpaceDN/>
        <w:bidi w:val="0"/>
        <w:adjustRightInd/>
        <w:snapToGrid/>
        <w:spacing w:beforeLines="0" w:afterLines="0" w:line="360" w:lineRule="auto"/>
        <w:ind w:leftChars="0" w:firstLine="480" w:firstLineChars="200"/>
        <w:textAlignment w:val="auto"/>
        <w:rPr>
          <w:rFonts w:hint="eastAsia" w:ascii="宋体" w:hAnsi="宋体" w:eastAsia="宋体" w:cs="宋体"/>
          <w:b w:val="0"/>
          <w:bCs/>
          <w:i w:val="0"/>
          <w:iCs/>
          <w:color w:val="auto"/>
          <w:kern w:val="2"/>
          <w:sz w:val="24"/>
          <w:szCs w:val="24"/>
          <w:highlight w:val="none"/>
          <w:lang w:val="en-US" w:eastAsia="zh-CN" w:bidi="ar-SA"/>
        </w:rPr>
      </w:pPr>
      <w:r>
        <w:rPr>
          <w:rFonts w:hint="eastAsia" w:ascii="宋体" w:hAnsi="宋体" w:eastAsia="宋体" w:cs="宋体"/>
          <w:b w:val="0"/>
          <w:bCs/>
          <w:i w:val="0"/>
          <w:iCs/>
          <w:color w:val="auto"/>
          <w:kern w:val="2"/>
          <w:sz w:val="24"/>
          <w:szCs w:val="24"/>
          <w:highlight w:val="none"/>
          <w:lang w:val="en-US" w:eastAsia="zh-CN" w:bidi="ar-SA"/>
        </w:rPr>
        <w:t>在竹坪站内沿二次电缆沟敷设1根48芯导引光缆，光缆路径长度约0.25km。</w:t>
      </w:r>
    </w:p>
    <w:p>
      <w:pPr>
        <w:pStyle w:val="12"/>
        <w:keepNext w:val="0"/>
        <w:keepLines w:val="0"/>
        <w:pageBreakBefore w:val="0"/>
        <w:widowControl w:val="0"/>
        <w:numPr>
          <w:ilvl w:val="0"/>
          <w:numId w:val="0"/>
        </w:numPr>
        <w:kinsoku/>
        <w:wordWrap/>
        <w:overflowPunct/>
        <w:topLinePunct w:val="0"/>
        <w:autoSpaceDE/>
        <w:autoSpaceDN/>
        <w:bidi w:val="0"/>
        <w:adjustRightInd/>
        <w:snapToGrid/>
        <w:spacing w:beforeLines="0" w:afterLines="0" w:line="360" w:lineRule="auto"/>
        <w:ind w:leftChars="0" w:firstLine="480" w:firstLineChars="200"/>
        <w:textAlignment w:val="auto"/>
        <w:rPr>
          <w:rFonts w:hint="eastAsia" w:ascii="宋体" w:hAnsi="宋体" w:eastAsia="宋体" w:cs="宋体"/>
          <w:b w:val="0"/>
          <w:bCs/>
          <w:i w:val="0"/>
          <w:iCs/>
          <w:color w:val="auto"/>
          <w:kern w:val="2"/>
          <w:sz w:val="24"/>
          <w:szCs w:val="24"/>
          <w:highlight w:val="none"/>
          <w:lang w:val="en-US" w:eastAsia="zh-CN" w:bidi="ar-SA"/>
        </w:rPr>
      </w:pPr>
      <w:r>
        <w:rPr>
          <w:rFonts w:hint="eastAsia" w:ascii="宋体" w:hAnsi="宋体" w:eastAsia="宋体" w:cs="宋体"/>
          <w:b w:val="0"/>
          <w:bCs/>
          <w:i w:val="0"/>
          <w:iCs/>
          <w:color w:val="auto"/>
          <w:kern w:val="2"/>
          <w:sz w:val="24"/>
          <w:szCs w:val="24"/>
          <w:highlight w:val="none"/>
          <w:lang w:val="en-US" w:eastAsia="zh-CN" w:bidi="ar-SA"/>
        </w:rPr>
        <w:t>随本期新建电缆及其他新建架空段线路分别敷设2根48芯导引光缆和架设2根48芯OPGW复合光缆，光缆路径长度约2×5.5km。</w:t>
      </w:r>
    </w:p>
    <w:p>
      <w:pPr>
        <w:pStyle w:val="12"/>
        <w:keepNext w:val="0"/>
        <w:keepLines w:val="0"/>
        <w:pageBreakBefore w:val="0"/>
        <w:widowControl w:val="0"/>
        <w:numPr>
          <w:ilvl w:val="0"/>
          <w:numId w:val="0"/>
        </w:numPr>
        <w:kinsoku/>
        <w:wordWrap/>
        <w:overflowPunct/>
        <w:topLinePunct w:val="0"/>
        <w:autoSpaceDE/>
        <w:autoSpaceDN/>
        <w:bidi w:val="0"/>
        <w:adjustRightInd/>
        <w:snapToGrid/>
        <w:spacing w:beforeLines="0" w:afterLines="0" w:line="360" w:lineRule="auto"/>
        <w:ind w:leftChars="0" w:firstLine="480" w:firstLineChars="200"/>
        <w:textAlignment w:val="auto"/>
        <w:rPr>
          <w:rFonts w:hint="eastAsia" w:ascii="宋体" w:hAnsi="宋体" w:eastAsia="宋体" w:cs="宋体"/>
          <w:b w:val="0"/>
          <w:bCs/>
          <w:i w:val="0"/>
          <w:iCs/>
          <w:color w:val="auto"/>
          <w:kern w:val="2"/>
          <w:sz w:val="24"/>
          <w:szCs w:val="24"/>
          <w:highlight w:val="none"/>
          <w:lang w:val="en-US" w:eastAsia="zh-CN" w:bidi="ar-SA"/>
        </w:rPr>
      </w:pPr>
      <w:r>
        <w:rPr>
          <w:rFonts w:hint="eastAsia" w:ascii="宋体" w:hAnsi="宋体" w:eastAsia="宋体" w:cs="宋体"/>
          <w:b w:val="0"/>
          <w:bCs/>
          <w:i w:val="0"/>
          <w:iCs/>
          <w:color w:val="auto"/>
          <w:kern w:val="2"/>
          <w:sz w:val="24"/>
          <w:szCs w:val="24"/>
          <w:highlight w:val="none"/>
          <w:lang w:val="en-US" w:eastAsia="zh-CN" w:bidi="ar-SA"/>
        </w:rPr>
        <w:t>另在改接点处π断原竹坪～新兴的1根24芯光缆；同时，将原已建220kV双回（一回为竹坪～新兴220kV线路，另一回仙鹤～竹坪220kV线路）线路竹坪站至本π接点段中1根24芯OPGW复合光缆更换为1根48芯OPGW复合光缆，更换路径长度约17.0km。</w:t>
      </w:r>
    </w:p>
    <w:p>
      <w:pPr>
        <w:pStyle w:val="12"/>
        <w:keepNext w:val="0"/>
        <w:keepLines w:val="0"/>
        <w:pageBreakBefore w:val="0"/>
        <w:widowControl w:val="0"/>
        <w:numPr>
          <w:ilvl w:val="0"/>
          <w:numId w:val="0"/>
        </w:numPr>
        <w:kinsoku/>
        <w:wordWrap/>
        <w:overflowPunct/>
        <w:topLinePunct w:val="0"/>
        <w:autoSpaceDE/>
        <w:autoSpaceDN/>
        <w:bidi w:val="0"/>
        <w:adjustRightInd/>
        <w:snapToGrid/>
        <w:spacing w:beforeLines="0" w:afterLines="0" w:line="360" w:lineRule="auto"/>
        <w:ind w:leftChars="0" w:firstLine="480" w:firstLineChars="200"/>
        <w:textAlignment w:val="auto"/>
        <w:rPr>
          <w:rFonts w:hint="eastAsia" w:ascii="宋体" w:hAnsi="宋体" w:eastAsia="宋体" w:cs="宋体"/>
          <w:b w:val="0"/>
          <w:bCs/>
          <w:i w:val="0"/>
          <w:iCs/>
          <w:color w:val="auto"/>
          <w:kern w:val="2"/>
          <w:sz w:val="24"/>
          <w:szCs w:val="24"/>
          <w:highlight w:val="none"/>
          <w:lang w:val="en-US" w:eastAsia="zh-CN" w:bidi="ar-SA"/>
        </w:rPr>
      </w:pPr>
      <w:r>
        <w:rPr>
          <w:rFonts w:hint="eastAsia" w:ascii="宋体" w:hAnsi="宋体" w:eastAsia="宋体" w:cs="宋体"/>
          <w:b w:val="0"/>
          <w:bCs/>
          <w:i w:val="0"/>
          <w:iCs/>
          <w:color w:val="auto"/>
          <w:kern w:val="2"/>
          <w:sz w:val="24"/>
          <w:szCs w:val="24"/>
          <w:highlight w:val="none"/>
          <w:lang w:val="en-US" w:eastAsia="zh-CN" w:bidi="ar-SA"/>
        </w:rPr>
        <w:t>最后将上述光缆进行相关接续，最终形成航洋站～竹坪站的1回48芯光缆路由，路由总长度约25.95km（含导引光缆长）。形成航洋站～新兴站的1回24芯光缆路由，路由总长度约12.35km（含导引光缆长）。</w:t>
      </w:r>
    </w:p>
    <w:p>
      <w:pPr>
        <w:pStyle w:val="12"/>
        <w:keepNext w:val="0"/>
        <w:keepLines w:val="0"/>
        <w:pageBreakBefore w:val="0"/>
        <w:widowControl w:val="0"/>
        <w:numPr>
          <w:ilvl w:val="0"/>
          <w:numId w:val="0"/>
        </w:numPr>
        <w:kinsoku/>
        <w:wordWrap/>
        <w:overflowPunct/>
        <w:topLinePunct w:val="0"/>
        <w:autoSpaceDE/>
        <w:autoSpaceDN/>
        <w:bidi w:val="0"/>
        <w:adjustRightInd/>
        <w:snapToGrid/>
        <w:spacing w:beforeLines="0" w:afterLines="0" w:line="360" w:lineRule="auto"/>
        <w:ind w:leftChars="0" w:firstLine="480" w:firstLineChars="200"/>
        <w:textAlignment w:val="auto"/>
        <w:rPr>
          <w:rFonts w:hint="default"/>
          <w:highlight w:val="none"/>
          <w:lang w:val="en-US" w:eastAsia="zh-CN"/>
        </w:rPr>
      </w:pPr>
      <w:r>
        <w:rPr>
          <w:rFonts w:hint="default" w:ascii="宋体" w:hAnsi="宋体" w:eastAsia="宋体" w:cs="宋体"/>
          <w:b w:val="0"/>
          <w:bCs/>
          <w:i w:val="0"/>
          <w:iCs/>
          <w:color w:val="auto"/>
          <w:sz w:val="24"/>
          <w:szCs w:val="24"/>
          <w:highlight w:val="none"/>
          <w:lang w:val="en-US" w:eastAsia="zh-CN"/>
        </w:rPr>
        <w:t>同步建设</w:t>
      </w:r>
      <w:r>
        <w:rPr>
          <w:rFonts w:hint="eastAsia" w:ascii="宋体" w:hAnsi="宋体" w:eastAsia="宋体" w:cs="宋体"/>
          <w:b w:val="0"/>
          <w:bCs/>
          <w:i w:val="0"/>
          <w:iCs/>
          <w:color w:val="auto"/>
          <w:sz w:val="24"/>
          <w:szCs w:val="24"/>
          <w:highlight w:val="none"/>
          <w:lang w:val="en-US" w:eastAsia="zh-CN"/>
        </w:rPr>
        <w:t>广西省级传输网A</w:t>
      </w:r>
      <w:r>
        <w:rPr>
          <w:rFonts w:hint="default" w:ascii="宋体" w:hAnsi="宋体" w:eastAsia="宋体" w:cs="宋体"/>
          <w:b w:val="0"/>
          <w:bCs/>
          <w:i w:val="0"/>
          <w:iCs/>
          <w:color w:val="auto"/>
          <w:sz w:val="24"/>
          <w:szCs w:val="24"/>
          <w:highlight w:val="none"/>
          <w:lang w:val="en-US" w:eastAsia="zh-CN"/>
        </w:rPr>
        <w:t>、保底通信网（广西域）</w:t>
      </w:r>
      <w:r>
        <w:rPr>
          <w:rFonts w:hint="eastAsia" w:ascii="宋体" w:hAnsi="宋体" w:eastAsia="宋体" w:cs="宋体"/>
          <w:b w:val="0"/>
          <w:bCs/>
          <w:i w:val="0"/>
          <w:iCs/>
          <w:color w:val="auto"/>
          <w:sz w:val="24"/>
          <w:szCs w:val="24"/>
          <w:highlight w:val="none"/>
          <w:lang w:val="en-US" w:eastAsia="zh-CN"/>
        </w:rPr>
        <w:t>、地区传输网B</w:t>
      </w:r>
      <w:r>
        <w:rPr>
          <w:rFonts w:hint="default" w:ascii="宋体" w:hAnsi="宋体" w:eastAsia="宋体" w:cs="宋体"/>
          <w:b w:val="0"/>
          <w:bCs/>
          <w:i w:val="0"/>
          <w:iCs/>
          <w:color w:val="auto"/>
          <w:sz w:val="24"/>
          <w:szCs w:val="24"/>
          <w:highlight w:val="none"/>
          <w:lang w:val="en-US" w:eastAsia="zh-CN"/>
        </w:rPr>
        <w:t>相关光纤通信电路，并考虑过渡通信方案</w:t>
      </w:r>
      <w:r>
        <w:rPr>
          <w:rFonts w:hint="eastAsia" w:ascii="宋体" w:hAnsi="宋体" w:eastAsia="宋体" w:cs="宋体"/>
          <w:b w:val="0"/>
          <w:bCs/>
          <w:i w:val="0"/>
          <w:iCs/>
          <w:color w:val="auto"/>
          <w:sz w:val="24"/>
          <w:szCs w:val="24"/>
          <w:highlight w:val="none"/>
          <w:lang w:val="en-US" w:eastAsia="zh-CN"/>
        </w:rPr>
        <w:t>。</w:t>
      </w:r>
      <w:r>
        <w:rPr>
          <w:rFonts w:hint="default" w:ascii="宋体" w:hAnsi="宋体" w:eastAsia="宋体" w:cs="宋体"/>
          <w:b w:val="0"/>
          <w:bCs/>
          <w:i w:val="0"/>
          <w:iCs/>
          <w:color w:val="auto"/>
          <w:sz w:val="24"/>
          <w:szCs w:val="24"/>
          <w:highlight w:val="none"/>
          <w:lang w:val="en-US" w:eastAsia="zh-CN"/>
        </w:rPr>
        <w:t>建设</w:t>
      </w:r>
      <w:r>
        <w:rPr>
          <w:rFonts w:hint="eastAsia" w:ascii="宋体" w:hAnsi="宋体" w:eastAsia="宋体" w:cs="宋体"/>
          <w:b w:val="0"/>
          <w:bCs/>
          <w:i w:val="0"/>
          <w:iCs/>
          <w:color w:val="auto"/>
          <w:sz w:val="24"/>
          <w:szCs w:val="24"/>
          <w:highlight w:val="none"/>
          <w:lang w:val="en-US" w:eastAsia="zh-CN"/>
        </w:rPr>
        <w:t>安装调度数据网、综合数据网、通信电源、调度交换设备、无线局域网、配线柜等系统通信设备。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b w:val="0"/>
          <w:bCs/>
          <w:i w:val="0"/>
          <w:iCs/>
          <w:color w:val="auto"/>
          <w:sz w:val="24"/>
          <w:szCs w:val="24"/>
        </w:rPr>
      </w:pPr>
      <w:r>
        <w:rPr>
          <w:rFonts w:hint="eastAsia" w:asciiTheme="minorEastAsia" w:hAnsiTheme="minorEastAsia" w:eastAsiaTheme="minorEastAsia" w:cstheme="minorEastAsia"/>
          <w:b w:val="0"/>
          <w:bCs/>
          <w:i w:val="0"/>
          <w:iCs/>
          <w:color w:val="auto"/>
          <w:sz w:val="24"/>
          <w:szCs w:val="24"/>
          <w:lang w:eastAsia="zh-CN"/>
        </w:rPr>
        <w:t>（</w:t>
      </w:r>
      <w:r>
        <w:rPr>
          <w:rFonts w:hint="eastAsia" w:asciiTheme="minorEastAsia" w:hAnsiTheme="minorEastAsia" w:eastAsiaTheme="minorEastAsia" w:cstheme="minorEastAsia"/>
          <w:b w:val="0"/>
          <w:bCs/>
          <w:i w:val="0"/>
          <w:iCs/>
          <w:color w:val="auto"/>
          <w:sz w:val="24"/>
          <w:szCs w:val="24"/>
          <w:lang w:val="en-US" w:eastAsia="zh-CN"/>
        </w:rPr>
        <w:t>二</w:t>
      </w:r>
      <w:r>
        <w:rPr>
          <w:rFonts w:hint="eastAsia" w:asciiTheme="minorEastAsia" w:hAnsiTheme="minorEastAsia" w:eastAsiaTheme="minorEastAsia" w:cstheme="minorEastAsia"/>
          <w:b w:val="0"/>
          <w:bCs/>
          <w:i w:val="0"/>
          <w:iCs/>
          <w:color w:val="auto"/>
          <w:sz w:val="24"/>
          <w:szCs w:val="24"/>
          <w:lang w:eastAsia="zh-CN"/>
        </w:rPr>
        <w:t>）</w:t>
      </w:r>
      <w:r>
        <w:rPr>
          <w:rFonts w:hint="eastAsia" w:asciiTheme="minorEastAsia" w:hAnsiTheme="minorEastAsia" w:eastAsiaTheme="minorEastAsia" w:cstheme="minorEastAsia"/>
          <w:b w:val="0"/>
          <w:bCs/>
          <w:i w:val="0"/>
          <w:iCs/>
          <w:color w:val="auto"/>
          <w:sz w:val="24"/>
          <w:szCs w:val="24"/>
        </w:rPr>
        <w:t>※线路部分:</w:t>
      </w:r>
    </w:p>
    <w:p>
      <w:pPr>
        <w:spacing w:line="360" w:lineRule="auto"/>
        <w:ind w:firstLine="480" w:firstLineChars="200"/>
        <w:outlineLvl w:val="9"/>
        <w:rPr>
          <w:rFonts w:hint="eastAsia" w:asciiTheme="minorEastAsia" w:hAnsiTheme="minorEastAsia" w:eastAsiaTheme="minorEastAsia" w:cstheme="minorEastAsia"/>
          <w:b w:val="0"/>
          <w:bCs/>
          <w:i w:val="0"/>
          <w:iCs/>
          <w:color w:val="auto"/>
          <w:sz w:val="24"/>
          <w:szCs w:val="24"/>
        </w:rPr>
      </w:pPr>
      <w:r>
        <w:rPr>
          <w:rFonts w:hint="eastAsia" w:asciiTheme="minorEastAsia" w:hAnsiTheme="minorEastAsia" w:eastAsiaTheme="minorEastAsia" w:cstheme="minorEastAsia"/>
          <w:b w:val="0"/>
          <w:bCs/>
          <w:i w:val="0"/>
          <w:iCs/>
          <w:color w:val="auto"/>
          <w:sz w:val="24"/>
          <w:szCs w:val="24"/>
        </w:rPr>
        <w:t>1）</w:t>
      </w:r>
      <w:r>
        <w:rPr>
          <w:rFonts w:hint="eastAsia" w:asciiTheme="minorEastAsia" w:hAnsiTheme="minorEastAsia" w:eastAsiaTheme="minorEastAsia" w:cstheme="minorEastAsia"/>
          <w:b w:val="0"/>
          <w:bCs/>
          <w:i w:val="0"/>
          <w:iCs/>
          <w:color w:val="auto"/>
          <w:sz w:val="24"/>
          <w:szCs w:val="24"/>
          <w:lang w:val="zh-CN"/>
        </w:rPr>
        <w:t>海港</w:t>
      </w:r>
      <w:r>
        <w:rPr>
          <w:rFonts w:hint="eastAsia" w:asciiTheme="minorEastAsia" w:hAnsiTheme="minorEastAsia" w:eastAsiaTheme="minorEastAsia" w:cstheme="minorEastAsia"/>
          <w:b w:val="0"/>
          <w:bCs/>
          <w:i w:val="0"/>
          <w:iCs/>
          <w:color w:val="auto"/>
          <w:sz w:val="24"/>
          <w:szCs w:val="24"/>
        </w:rPr>
        <w:t>～</w:t>
      </w:r>
      <w:r>
        <w:rPr>
          <w:rFonts w:hint="eastAsia" w:asciiTheme="minorEastAsia" w:hAnsiTheme="minorEastAsia" w:eastAsiaTheme="minorEastAsia" w:cstheme="minorEastAsia"/>
          <w:b w:val="0"/>
          <w:bCs/>
          <w:i w:val="0"/>
          <w:iCs/>
          <w:color w:val="auto"/>
          <w:sz w:val="24"/>
          <w:szCs w:val="24"/>
          <w:lang w:val="zh-CN"/>
        </w:rPr>
        <w:t>新兴</w:t>
      </w:r>
      <w:r>
        <w:rPr>
          <w:rFonts w:hint="eastAsia" w:asciiTheme="minorEastAsia" w:hAnsiTheme="minorEastAsia" w:eastAsiaTheme="minorEastAsia" w:cstheme="minorEastAsia"/>
          <w:b w:val="0"/>
          <w:bCs/>
          <w:i w:val="0"/>
          <w:iCs/>
          <w:color w:val="auto"/>
          <w:sz w:val="24"/>
          <w:szCs w:val="24"/>
        </w:rPr>
        <w:t>I、Ⅱ回220kV线路改接入航洋站工程</w:t>
      </w:r>
    </w:p>
    <w:p>
      <w:pPr>
        <w:spacing w:line="360" w:lineRule="auto"/>
        <w:ind w:firstLine="480" w:firstLineChars="200"/>
        <w:outlineLvl w:val="9"/>
        <w:rPr>
          <w:rFonts w:hint="eastAsia" w:asciiTheme="minorEastAsia" w:hAnsiTheme="minorEastAsia" w:eastAsiaTheme="minorEastAsia" w:cstheme="minorEastAsia"/>
          <w:b w:val="0"/>
          <w:bCs/>
          <w:i w:val="0"/>
          <w:iCs/>
          <w:color w:val="auto"/>
          <w:sz w:val="24"/>
          <w:szCs w:val="24"/>
          <w:lang w:eastAsia="zh-CN"/>
        </w:rPr>
      </w:pPr>
      <w:r>
        <w:rPr>
          <w:rFonts w:hint="eastAsia" w:asciiTheme="minorEastAsia" w:hAnsiTheme="minorEastAsia" w:eastAsiaTheme="minorEastAsia" w:cstheme="minorEastAsia"/>
          <w:b w:val="0"/>
          <w:bCs/>
          <w:i w:val="0"/>
          <w:iCs/>
          <w:color w:val="auto"/>
          <w:sz w:val="24"/>
          <w:szCs w:val="24"/>
          <w:lang w:val="en-US" w:eastAsia="zh-CN"/>
        </w:rPr>
        <w:t>（1）</w:t>
      </w:r>
      <w:r>
        <w:rPr>
          <w:rFonts w:hint="eastAsia" w:asciiTheme="minorEastAsia" w:hAnsiTheme="minorEastAsia" w:eastAsiaTheme="minorEastAsia" w:cstheme="minorEastAsia"/>
          <w:b w:val="0"/>
          <w:bCs/>
          <w:i w:val="0"/>
          <w:iCs/>
          <w:color w:val="auto"/>
          <w:sz w:val="24"/>
          <w:szCs w:val="24"/>
          <w:lang w:eastAsia="zh-CN"/>
        </w:rPr>
        <w:t>新建改接</w:t>
      </w:r>
      <w:r>
        <w:rPr>
          <w:rFonts w:hint="eastAsia" w:asciiTheme="minorEastAsia" w:hAnsiTheme="minorEastAsia" w:eastAsiaTheme="minorEastAsia" w:cstheme="minorEastAsia"/>
          <w:b w:val="0"/>
          <w:bCs/>
          <w:i w:val="0"/>
          <w:iCs/>
          <w:color w:val="auto"/>
          <w:sz w:val="24"/>
          <w:szCs w:val="24"/>
          <w:lang w:val="en-US" w:eastAsia="zh-CN"/>
        </w:rPr>
        <w:t>220kV</w:t>
      </w:r>
      <w:r>
        <w:rPr>
          <w:rFonts w:hint="eastAsia" w:asciiTheme="minorEastAsia" w:hAnsiTheme="minorEastAsia" w:eastAsiaTheme="minorEastAsia" w:cstheme="minorEastAsia"/>
          <w:b w:val="0"/>
          <w:bCs/>
          <w:i w:val="0"/>
          <w:iCs/>
          <w:color w:val="auto"/>
          <w:sz w:val="24"/>
          <w:szCs w:val="24"/>
          <w:lang w:eastAsia="zh-CN"/>
        </w:rPr>
        <w:t>线路路径长度约</w:t>
      </w:r>
      <w:r>
        <w:rPr>
          <w:rFonts w:hint="eastAsia" w:asciiTheme="minorEastAsia" w:hAnsiTheme="minorEastAsia" w:eastAsiaTheme="minorEastAsia" w:cstheme="minorEastAsia"/>
          <w:b w:val="0"/>
          <w:bCs/>
          <w:i w:val="0"/>
          <w:iCs/>
          <w:color w:val="auto"/>
          <w:sz w:val="24"/>
          <w:szCs w:val="24"/>
          <w:lang w:val="en-US" w:eastAsia="zh-CN"/>
        </w:rPr>
        <w:t>14.68</w:t>
      </w:r>
      <w:r>
        <w:rPr>
          <w:rFonts w:hint="eastAsia" w:asciiTheme="minorEastAsia" w:hAnsiTheme="minorEastAsia" w:eastAsiaTheme="minorEastAsia" w:cstheme="minorEastAsia"/>
          <w:b w:val="0"/>
          <w:bCs/>
          <w:i w:val="0"/>
          <w:iCs/>
          <w:color w:val="auto"/>
          <w:sz w:val="24"/>
          <w:szCs w:val="24"/>
          <w:lang w:eastAsia="zh-CN"/>
        </w:rPr>
        <w:t>km。其中</w:t>
      </w:r>
      <w:r>
        <w:rPr>
          <w:rFonts w:hint="eastAsia" w:asciiTheme="minorEastAsia" w:hAnsiTheme="minorEastAsia" w:eastAsiaTheme="minorEastAsia" w:cstheme="minorEastAsia"/>
          <w:b w:val="0"/>
          <w:bCs/>
          <w:i w:val="0"/>
          <w:iCs/>
          <w:color w:val="auto"/>
          <w:sz w:val="24"/>
          <w:szCs w:val="24"/>
          <w:lang w:val="en-US" w:eastAsia="zh-CN"/>
        </w:rPr>
        <w:t>220kV</w:t>
      </w:r>
      <w:r>
        <w:rPr>
          <w:rFonts w:hint="eastAsia" w:asciiTheme="minorEastAsia" w:hAnsiTheme="minorEastAsia" w:eastAsiaTheme="minorEastAsia" w:cstheme="minorEastAsia"/>
          <w:b w:val="0"/>
          <w:bCs/>
          <w:i w:val="0"/>
          <w:iCs/>
          <w:color w:val="auto"/>
          <w:sz w:val="24"/>
          <w:szCs w:val="24"/>
          <w:lang w:eastAsia="zh-CN"/>
        </w:rPr>
        <w:t>双回路角钢塔双</w:t>
      </w:r>
      <w:r>
        <w:rPr>
          <w:rFonts w:hint="eastAsia" w:asciiTheme="minorEastAsia" w:hAnsiTheme="minorEastAsia" w:eastAsiaTheme="minorEastAsia" w:cstheme="minorEastAsia"/>
          <w:b w:val="0"/>
          <w:bCs/>
          <w:i w:val="0"/>
          <w:iCs/>
          <w:color w:val="auto"/>
          <w:sz w:val="24"/>
          <w:szCs w:val="24"/>
          <w:lang w:val="en-US" w:eastAsia="zh-CN"/>
        </w:rPr>
        <w:t>侧</w:t>
      </w:r>
      <w:r>
        <w:rPr>
          <w:rFonts w:hint="eastAsia" w:asciiTheme="minorEastAsia" w:hAnsiTheme="minorEastAsia" w:eastAsiaTheme="minorEastAsia" w:cstheme="minorEastAsia"/>
          <w:b w:val="0"/>
          <w:bCs/>
          <w:i w:val="0"/>
          <w:iCs/>
          <w:color w:val="auto"/>
          <w:sz w:val="24"/>
          <w:szCs w:val="24"/>
          <w:lang w:eastAsia="zh-CN"/>
        </w:rPr>
        <w:t>挂线段路径长度约</w:t>
      </w:r>
      <w:r>
        <w:rPr>
          <w:rFonts w:hint="eastAsia" w:asciiTheme="minorEastAsia" w:hAnsiTheme="minorEastAsia" w:eastAsiaTheme="minorEastAsia" w:cstheme="minorEastAsia"/>
          <w:b w:val="0"/>
          <w:bCs/>
          <w:i w:val="0"/>
          <w:iCs/>
          <w:color w:val="auto"/>
          <w:sz w:val="24"/>
          <w:szCs w:val="24"/>
          <w:lang w:val="en-US" w:eastAsia="zh-CN"/>
        </w:rPr>
        <w:t>2.3</w:t>
      </w:r>
      <w:r>
        <w:rPr>
          <w:rFonts w:hint="eastAsia" w:asciiTheme="minorEastAsia" w:hAnsiTheme="minorEastAsia" w:eastAsiaTheme="minorEastAsia" w:cstheme="minorEastAsia"/>
          <w:b w:val="0"/>
          <w:bCs/>
          <w:i w:val="0"/>
          <w:iCs/>
          <w:color w:val="auto"/>
          <w:sz w:val="24"/>
          <w:szCs w:val="24"/>
          <w:lang w:eastAsia="zh-CN"/>
        </w:rPr>
        <w:t>km，</w:t>
      </w:r>
      <w:r>
        <w:rPr>
          <w:rFonts w:hint="eastAsia" w:asciiTheme="minorEastAsia" w:hAnsiTheme="minorEastAsia" w:eastAsiaTheme="minorEastAsia" w:cstheme="minorEastAsia"/>
          <w:b w:val="0"/>
          <w:bCs/>
          <w:i w:val="0"/>
          <w:iCs/>
          <w:color w:val="auto"/>
          <w:sz w:val="24"/>
          <w:szCs w:val="24"/>
          <w:lang w:val="en-US" w:eastAsia="zh-CN"/>
        </w:rPr>
        <w:t>混压三</w:t>
      </w:r>
      <w:r>
        <w:rPr>
          <w:rFonts w:hint="eastAsia" w:asciiTheme="minorEastAsia" w:hAnsiTheme="minorEastAsia" w:eastAsiaTheme="minorEastAsia" w:cstheme="minorEastAsia"/>
          <w:b w:val="0"/>
          <w:bCs/>
          <w:i w:val="0"/>
          <w:iCs/>
          <w:color w:val="auto"/>
          <w:sz w:val="24"/>
          <w:szCs w:val="24"/>
          <w:lang w:eastAsia="zh-CN"/>
        </w:rPr>
        <w:t>回路角钢塔（上层</w:t>
      </w:r>
      <w:r>
        <w:rPr>
          <w:rFonts w:hint="eastAsia" w:asciiTheme="minorEastAsia" w:hAnsiTheme="minorEastAsia" w:eastAsiaTheme="minorEastAsia" w:cstheme="minorEastAsia"/>
          <w:b w:val="0"/>
          <w:bCs/>
          <w:i w:val="0"/>
          <w:iCs/>
          <w:color w:val="auto"/>
          <w:sz w:val="24"/>
          <w:szCs w:val="24"/>
          <w:lang w:val="en-US" w:eastAsia="zh-CN"/>
        </w:rPr>
        <w:t>2</w:t>
      </w:r>
      <w:r>
        <w:rPr>
          <w:rFonts w:hint="eastAsia" w:asciiTheme="minorEastAsia" w:hAnsiTheme="minorEastAsia" w:eastAsiaTheme="minorEastAsia" w:cstheme="minorEastAsia"/>
          <w:b w:val="0"/>
          <w:bCs/>
          <w:i w:val="0"/>
          <w:iCs/>
          <w:color w:val="auto"/>
          <w:sz w:val="24"/>
          <w:szCs w:val="24"/>
          <w:lang w:eastAsia="zh-CN"/>
        </w:rPr>
        <w:t>回220kV，下层</w:t>
      </w:r>
      <w:r>
        <w:rPr>
          <w:rFonts w:hint="eastAsia" w:asciiTheme="minorEastAsia" w:hAnsiTheme="minorEastAsia" w:eastAsiaTheme="minorEastAsia" w:cstheme="minorEastAsia"/>
          <w:b w:val="0"/>
          <w:bCs/>
          <w:i w:val="0"/>
          <w:iCs/>
          <w:color w:val="auto"/>
          <w:sz w:val="24"/>
          <w:szCs w:val="24"/>
          <w:lang w:val="en-US" w:eastAsia="zh-CN"/>
        </w:rPr>
        <w:t>1</w:t>
      </w:r>
      <w:r>
        <w:rPr>
          <w:rFonts w:hint="eastAsia" w:asciiTheme="minorEastAsia" w:hAnsiTheme="minorEastAsia" w:eastAsiaTheme="minorEastAsia" w:cstheme="minorEastAsia"/>
          <w:b w:val="0"/>
          <w:bCs/>
          <w:i w:val="0"/>
          <w:iCs/>
          <w:color w:val="auto"/>
          <w:sz w:val="24"/>
          <w:szCs w:val="24"/>
          <w:lang w:eastAsia="zh-CN"/>
        </w:rPr>
        <w:t>回110kV）</w:t>
      </w:r>
      <w:r>
        <w:rPr>
          <w:rFonts w:hint="eastAsia" w:asciiTheme="minorEastAsia" w:hAnsiTheme="minorEastAsia" w:eastAsiaTheme="minorEastAsia" w:cstheme="minorEastAsia"/>
          <w:b w:val="0"/>
          <w:bCs/>
          <w:i w:val="0"/>
          <w:iCs/>
          <w:color w:val="auto"/>
          <w:sz w:val="24"/>
          <w:szCs w:val="24"/>
          <w:lang w:val="en-US" w:eastAsia="zh-CN"/>
        </w:rPr>
        <w:t>三侧</w:t>
      </w:r>
      <w:r>
        <w:rPr>
          <w:rFonts w:hint="eastAsia" w:asciiTheme="minorEastAsia" w:hAnsiTheme="minorEastAsia" w:eastAsiaTheme="minorEastAsia" w:cstheme="minorEastAsia"/>
          <w:b w:val="0"/>
          <w:bCs/>
          <w:i w:val="0"/>
          <w:iCs/>
          <w:color w:val="auto"/>
          <w:sz w:val="24"/>
          <w:szCs w:val="24"/>
          <w:lang w:eastAsia="zh-CN"/>
        </w:rPr>
        <w:t>挂线段路径长度约</w:t>
      </w:r>
      <w:r>
        <w:rPr>
          <w:rFonts w:hint="eastAsia" w:asciiTheme="minorEastAsia" w:hAnsiTheme="minorEastAsia" w:eastAsiaTheme="minorEastAsia" w:cstheme="minorEastAsia"/>
          <w:b w:val="0"/>
          <w:bCs/>
          <w:i w:val="0"/>
          <w:iCs/>
          <w:color w:val="auto"/>
          <w:sz w:val="24"/>
          <w:szCs w:val="24"/>
          <w:lang w:val="en-US" w:eastAsia="zh-CN"/>
        </w:rPr>
        <w:t>0.5</w:t>
      </w:r>
      <w:r>
        <w:rPr>
          <w:rFonts w:hint="eastAsia" w:asciiTheme="minorEastAsia" w:hAnsiTheme="minorEastAsia" w:eastAsiaTheme="minorEastAsia" w:cstheme="minorEastAsia"/>
          <w:b w:val="0"/>
          <w:bCs/>
          <w:i w:val="0"/>
          <w:iCs/>
          <w:color w:val="auto"/>
          <w:sz w:val="24"/>
          <w:szCs w:val="24"/>
          <w:lang w:eastAsia="zh-CN"/>
        </w:rPr>
        <w:t>km，</w:t>
      </w:r>
      <w:r>
        <w:rPr>
          <w:rFonts w:hint="eastAsia" w:asciiTheme="minorEastAsia" w:hAnsiTheme="minorEastAsia" w:eastAsiaTheme="minorEastAsia" w:cstheme="minorEastAsia"/>
          <w:b w:val="0"/>
          <w:bCs/>
          <w:i w:val="0"/>
          <w:iCs/>
          <w:color w:val="auto"/>
          <w:sz w:val="24"/>
          <w:szCs w:val="24"/>
          <w:lang w:val="en-US" w:eastAsia="zh-CN"/>
        </w:rPr>
        <w:t>混压</w:t>
      </w:r>
      <w:r>
        <w:rPr>
          <w:rFonts w:hint="eastAsia" w:asciiTheme="minorEastAsia" w:hAnsiTheme="minorEastAsia" w:eastAsiaTheme="minorEastAsia" w:cstheme="minorEastAsia"/>
          <w:b w:val="0"/>
          <w:bCs/>
          <w:i w:val="0"/>
          <w:iCs/>
          <w:color w:val="auto"/>
          <w:sz w:val="24"/>
          <w:szCs w:val="24"/>
          <w:lang w:eastAsia="zh-CN"/>
        </w:rPr>
        <w:t>四回路角钢塔（上层</w:t>
      </w:r>
      <w:r>
        <w:rPr>
          <w:rFonts w:hint="eastAsia" w:asciiTheme="minorEastAsia" w:hAnsiTheme="minorEastAsia" w:eastAsiaTheme="minorEastAsia" w:cstheme="minorEastAsia"/>
          <w:b w:val="0"/>
          <w:bCs/>
          <w:i w:val="0"/>
          <w:iCs/>
          <w:color w:val="auto"/>
          <w:sz w:val="24"/>
          <w:szCs w:val="24"/>
          <w:lang w:val="en-US" w:eastAsia="zh-CN"/>
        </w:rPr>
        <w:t>2</w:t>
      </w:r>
      <w:r>
        <w:rPr>
          <w:rFonts w:hint="eastAsia" w:asciiTheme="minorEastAsia" w:hAnsiTheme="minorEastAsia" w:eastAsiaTheme="minorEastAsia" w:cstheme="minorEastAsia"/>
          <w:b w:val="0"/>
          <w:bCs/>
          <w:i w:val="0"/>
          <w:iCs/>
          <w:color w:val="auto"/>
          <w:sz w:val="24"/>
          <w:szCs w:val="24"/>
          <w:lang w:eastAsia="zh-CN"/>
        </w:rPr>
        <w:t>回220kV，下层</w:t>
      </w:r>
      <w:r>
        <w:rPr>
          <w:rFonts w:hint="eastAsia" w:asciiTheme="minorEastAsia" w:hAnsiTheme="minorEastAsia" w:eastAsiaTheme="minorEastAsia" w:cstheme="minorEastAsia"/>
          <w:b w:val="0"/>
          <w:bCs/>
          <w:i w:val="0"/>
          <w:iCs/>
          <w:color w:val="auto"/>
          <w:sz w:val="24"/>
          <w:szCs w:val="24"/>
          <w:lang w:val="en-US" w:eastAsia="zh-CN"/>
        </w:rPr>
        <w:t>2</w:t>
      </w:r>
      <w:r>
        <w:rPr>
          <w:rFonts w:hint="eastAsia" w:asciiTheme="minorEastAsia" w:hAnsiTheme="minorEastAsia" w:eastAsiaTheme="minorEastAsia" w:cstheme="minorEastAsia"/>
          <w:b w:val="0"/>
          <w:bCs/>
          <w:i w:val="0"/>
          <w:iCs/>
          <w:color w:val="auto"/>
          <w:sz w:val="24"/>
          <w:szCs w:val="24"/>
          <w:lang w:eastAsia="zh-CN"/>
        </w:rPr>
        <w:t>回110kV）四</w:t>
      </w:r>
      <w:r>
        <w:rPr>
          <w:rFonts w:hint="eastAsia" w:asciiTheme="minorEastAsia" w:hAnsiTheme="minorEastAsia" w:eastAsiaTheme="minorEastAsia" w:cstheme="minorEastAsia"/>
          <w:b w:val="0"/>
          <w:bCs/>
          <w:i w:val="0"/>
          <w:iCs/>
          <w:color w:val="auto"/>
          <w:sz w:val="24"/>
          <w:szCs w:val="24"/>
          <w:lang w:val="en-US" w:eastAsia="zh-CN"/>
        </w:rPr>
        <w:t>侧</w:t>
      </w:r>
      <w:r>
        <w:rPr>
          <w:rFonts w:hint="eastAsia" w:asciiTheme="minorEastAsia" w:hAnsiTheme="minorEastAsia" w:eastAsiaTheme="minorEastAsia" w:cstheme="minorEastAsia"/>
          <w:b w:val="0"/>
          <w:bCs/>
          <w:i w:val="0"/>
          <w:iCs/>
          <w:color w:val="auto"/>
          <w:sz w:val="24"/>
          <w:szCs w:val="24"/>
          <w:lang w:eastAsia="zh-CN"/>
        </w:rPr>
        <w:t>挂线段路径长度约</w:t>
      </w:r>
      <w:r>
        <w:rPr>
          <w:rFonts w:hint="eastAsia" w:asciiTheme="minorEastAsia" w:hAnsiTheme="minorEastAsia" w:eastAsiaTheme="minorEastAsia" w:cstheme="minorEastAsia"/>
          <w:b w:val="0"/>
          <w:bCs/>
          <w:i w:val="0"/>
          <w:iCs/>
          <w:color w:val="auto"/>
          <w:sz w:val="24"/>
          <w:szCs w:val="24"/>
          <w:lang w:val="en-US" w:eastAsia="zh-CN"/>
        </w:rPr>
        <w:t>1.1</w:t>
      </w:r>
      <w:r>
        <w:rPr>
          <w:rFonts w:hint="eastAsia" w:asciiTheme="minorEastAsia" w:hAnsiTheme="minorEastAsia" w:eastAsiaTheme="minorEastAsia" w:cstheme="minorEastAsia"/>
          <w:b w:val="0"/>
          <w:bCs/>
          <w:i w:val="0"/>
          <w:iCs/>
          <w:color w:val="auto"/>
          <w:sz w:val="24"/>
          <w:szCs w:val="24"/>
          <w:lang w:eastAsia="zh-CN"/>
        </w:rPr>
        <w:t>km，</w:t>
      </w:r>
      <w:r>
        <w:rPr>
          <w:rFonts w:hint="eastAsia" w:asciiTheme="minorEastAsia" w:hAnsiTheme="minorEastAsia" w:eastAsiaTheme="minorEastAsia" w:cstheme="minorEastAsia"/>
          <w:b w:val="0"/>
          <w:bCs/>
          <w:i w:val="0"/>
          <w:iCs/>
          <w:color w:val="auto"/>
          <w:sz w:val="24"/>
          <w:szCs w:val="24"/>
          <w:lang w:val="en-US" w:eastAsia="zh-CN"/>
        </w:rPr>
        <w:t>220kV</w:t>
      </w:r>
      <w:r>
        <w:rPr>
          <w:rFonts w:hint="eastAsia" w:asciiTheme="minorEastAsia" w:hAnsiTheme="minorEastAsia" w:eastAsiaTheme="minorEastAsia" w:cstheme="minorEastAsia"/>
          <w:b w:val="0"/>
          <w:bCs/>
          <w:i w:val="0"/>
          <w:iCs/>
          <w:color w:val="auto"/>
          <w:sz w:val="24"/>
          <w:szCs w:val="24"/>
          <w:lang w:eastAsia="zh-CN"/>
        </w:rPr>
        <w:t>双回路钢管杆双</w:t>
      </w:r>
      <w:r>
        <w:rPr>
          <w:rFonts w:hint="eastAsia" w:asciiTheme="minorEastAsia" w:hAnsiTheme="minorEastAsia" w:eastAsiaTheme="minorEastAsia" w:cstheme="minorEastAsia"/>
          <w:b w:val="0"/>
          <w:bCs/>
          <w:i w:val="0"/>
          <w:iCs/>
          <w:color w:val="auto"/>
          <w:sz w:val="24"/>
          <w:szCs w:val="24"/>
          <w:lang w:val="en-US" w:eastAsia="zh-CN"/>
        </w:rPr>
        <w:t>侧</w:t>
      </w:r>
      <w:r>
        <w:rPr>
          <w:rFonts w:hint="eastAsia" w:asciiTheme="minorEastAsia" w:hAnsiTheme="minorEastAsia" w:eastAsiaTheme="minorEastAsia" w:cstheme="minorEastAsia"/>
          <w:b w:val="0"/>
          <w:bCs/>
          <w:i w:val="0"/>
          <w:iCs/>
          <w:color w:val="auto"/>
          <w:sz w:val="24"/>
          <w:szCs w:val="24"/>
          <w:lang w:eastAsia="zh-CN"/>
        </w:rPr>
        <w:t>挂线段路径长度约</w:t>
      </w:r>
      <w:r>
        <w:rPr>
          <w:rFonts w:hint="eastAsia" w:asciiTheme="minorEastAsia" w:hAnsiTheme="minorEastAsia" w:eastAsiaTheme="minorEastAsia" w:cstheme="minorEastAsia"/>
          <w:b w:val="0"/>
          <w:bCs/>
          <w:i w:val="0"/>
          <w:iCs/>
          <w:color w:val="auto"/>
          <w:sz w:val="24"/>
          <w:szCs w:val="24"/>
          <w:lang w:val="en-US" w:eastAsia="zh-CN"/>
        </w:rPr>
        <w:t>8.2</w:t>
      </w:r>
      <w:r>
        <w:rPr>
          <w:rFonts w:hint="eastAsia" w:asciiTheme="minorEastAsia" w:hAnsiTheme="minorEastAsia" w:eastAsiaTheme="minorEastAsia" w:cstheme="minorEastAsia"/>
          <w:b w:val="0"/>
          <w:bCs/>
          <w:i w:val="0"/>
          <w:iCs/>
          <w:color w:val="auto"/>
          <w:sz w:val="24"/>
          <w:szCs w:val="24"/>
          <w:lang w:eastAsia="zh-CN"/>
        </w:rPr>
        <w:t>km，</w:t>
      </w:r>
      <w:r>
        <w:rPr>
          <w:rFonts w:hint="eastAsia" w:asciiTheme="minorEastAsia" w:hAnsiTheme="minorEastAsia" w:eastAsiaTheme="minorEastAsia" w:cstheme="minorEastAsia"/>
          <w:b w:val="0"/>
          <w:bCs/>
          <w:i w:val="0"/>
          <w:iCs/>
          <w:color w:val="auto"/>
          <w:sz w:val="24"/>
          <w:szCs w:val="24"/>
          <w:lang w:val="en-US" w:eastAsia="zh-CN"/>
        </w:rPr>
        <w:t>混压</w:t>
      </w:r>
      <w:r>
        <w:rPr>
          <w:rFonts w:hint="eastAsia" w:asciiTheme="minorEastAsia" w:hAnsiTheme="minorEastAsia" w:eastAsiaTheme="minorEastAsia" w:cstheme="minorEastAsia"/>
          <w:b w:val="0"/>
          <w:bCs/>
          <w:i w:val="0"/>
          <w:iCs/>
          <w:color w:val="auto"/>
          <w:sz w:val="24"/>
          <w:szCs w:val="24"/>
          <w:lang w:eastAsia="zh-CN"/>
        </w:rPr>
        <w:t>三回路钢管杆（上层</w:t>
      </w:r>
      <w:r>
        <w:rPr>
          <w:rFonts w:hint="eastAsia" w:asciiTheme="minorEastAsia" w:hAnsiTheme="minorEastAsia" w:eastAsiaTheme="minorEastAsia" w:cstheme="minorEastAsia"/>
          <w:b w:val="0"/>
          <w:bCs/>
          <w:i w:val="0"/>
          <w:iCs/>
          <w:color w:val="auto"/>
          <w:sz w:val="24"/>
          <w:szCs w:val="24"/>
          <w:lang w:val="en-US" w:eastAsia="zh-CN"/>
        </w:rPr>
        <w:t>2</w:t>
      </w:r>
      <w:r>
        <w:rPr>
          <w:rFonts w:hint="eastAsia" w:asciiTheme="minorEastAsia" w:hAnsiTheme="minorEastAsia" w:eastAsiaTheme="minorEastAsia" w:cstheme="minorEastAsia"/>
          <w:b w:val="0"/>
          <w:bCs/>
          <w:i w:val="0"/>
          <w:iCs/>
          <w:color w:val="auto"/>
          <w:sz w:val="24"/>
          <w:szCs w:val="24"/>
          <w:lang w:eastAsia="zh-CN"/>
        </w:rPr>
        <w:t>回220kV，下层</w:t>
      </w:r>
      <w:r>
        <w:rPr>
          <w:rFonts w:hint="eastAsia" w:asciiTheme="minorEastAsia" w:hAnsiTheme="minorEastAsia" w:eastAsiaTheme="minorEastAsia" w:cstheme="minorEastAsia"/>
          <w:b w:val="0"/>
          <w:bCs/>
          <w:i w:val="0"/>
          <w:iCs/>
          <w:color w:val="auto"/>
          <w:sz w:val="24"/>
          <w:szCs w:val="24"/>
          <w:lang w:val="en-US" w:eastAsia="zh-CN"/>
        </w:rPr>
        <w:t>1</w:t>
      </w:r>
      <w:r>
        <w:rPr>
          <w:rFonts w:hint="eastAsia" w:asciiTheme="minorEastAsia" w:hAnsiTheme="minorEastAsia" w:eastAsiaTheme="minorEastAsia" w:cstheme="minorEastAsia"/>
          <w:b w:val="0"/>
          <w:bCs/>
          <w:i w:val="0"/>
          <w:iCs/>
          <w:color w:val="auto"/>
          <w:sz w:val="24"/>
          <w:szCs w:val="24"/>
          <w:lang w:eastAsia="zh-CN"/>
        </w:rPr>
        <w:t>回110kV）三</w:t>
      </w:r>
      <w:r>
        <w:rPr>
          <w:rFonts w:hint="eastAsia" w:asciiTheme="minorEastAsia" w:hAnsiTheme="minorEastAsia" w:eastAsiaTheme="minorEastAsia" w:cstheme="minorEastAsia"/>
          <w:b w:val="0"/>
          <w:bCs/>
          <w:i w:val="0"/>
          <w:iCs/>
          <w:color w:val="auto"/>
          <w:sz w:val="24"/>
          <w:szCs w:val="24"/>
          <w:lang w:val="en-US" w:eastAsia="zh-CN"/>
        </w:rPr>
        <w:t>侧</w:t>
      </w:r>
      <w:r>
        <w:rPr>
          <w:rFonts w:hint="eastAsia" w:asciiTheme="minorEastAsia" w:hAnsiTheme="minorEastAsia" w:eastAsiaTheme="minorEastAsia" w:cstheme="minorEastAsia"/>
          <w:b w:val="0"/>
          <w:bCs/>
          <w:i w:val="0"/>
          <w:iCs/>
          <w:color w:val="auto"/>
          <w:sz w:val="24"/>
          <w:szCs w:val="24"/>
          <w:lang w:eastAsia="zh-CN"/>
        </w:rPr>
        <w:t>挂线段路径长度约</w:t>
      </w:r>
      <w:r>
        <w:rPr>
          <w:rFonts w:hint="eastAsia" w:asciiTheme="minorEastAsia" w:hAnsiTheme="minorEastAsia" w:eastAsiaTheme="minorEastAsia" w:cstheme="minorEastAsia"/>
          <w:b w:val="0"/>
          <w:bCs/>
          <w:i w:val="0"/>
          <w:iCs/>
          <w:color w:val="auto"/>
          <w:sz w:val="24"/>
          <w:szCs w:val="24"/>
          <w:lang w:val="en-US" w:eastAsia="zh-CN"/>
        </w:rPr>
        <w:t>0.7</w:t>
      </w:r>
      <w:r>
        <w:rPr>
          <w:rFonts w:hint="eastAsia" w:asciiTheme="minorEastAsia" w:hAnsiTheme="minorEastAsia" w:eastAsiaTheme="minorEastAsia" w:cstheme="minorEastAsia"/>
          <w:b w:val="0"/>
          <w:bCs/>
          <w:i w:val="0"/>
          <w:iCs/>
          <w:color w:val="auto"/>
          <w:sz w:val="24"/>
          <w:szCs w:val="24"/>
          <w:lang w:eastAsia="zh-CN"/>
        </w:rPr>
        <w:t>km，</w:t>
      </w:r>
      <w:r>
        <w:rPr>
          <w:rFonts w:hint="eastAsia" w:asciiTheme="minorEastAsia" w:hAnsiTheme="minorEastAsia" w:eastAsiaTheme="minorEastAsia" w:cstheme="minorEastAsia"/>
          <w:b w:val="0"/>
          <w:bCs/>
          <w:i w:val="0"/>
          <w:iCs/>
          <w:color w:val="auto"/>
          <w:sz w:val="24"/>
          <w:szCs w:val="24"/>
          <w:lang w:val="en-US" w:eastAsia="zh-CN"/>
        </w:rPr>
        <w:t>混压</w:t>
      </w:r>
      <w:r>
        <w:rPr>
          <w:rFonts w:hint="eastAsia" w:asciiTheme="minorEastAsia" w:hAnsiTheme="minorEastAsia" w:eastAsiaTheme="minorEastAsia" w:cstheme="minorEastAsia"/>
          <w:b w:val="0"/>
          <w:bCs/>
          <w:i w:val="0"/>
          <w:iCs/>
          <w:color w:val="auto"/>
          <w:sz w:val="24"/>
          <w:szCs w:val="24"/>
          <w:lang w:eastAsia="zh-CN"/>
        </w:rPr>
        <w:t>四回路钢管杆（上层</w:t>
      </w:r>
      <w:r>
        <w:rPr>
          <w:rFonts w:hint="eastAsia" w:asciiTheme="minorEastAsia" w:hAnsiTheme="minorEastAsia" w:eastAsiaTheme="minorEastAsia" w:cstheme="minorEastAsia"/>
          <w:b w:val="0"/>
          <w:bCs/>
          <w:i w:val="0"/>
          <w:iCs/>
          <w:color w:val="auto"/>
          <w:sz w:val="24"/>
          <w:szCs w:val="24"/>
          <w:lang w:val="en-US" w:eastAsia="zh-CN"/>
        </w:rPr>
        <w:t>2</w:t>
      </w:r>
      <w:r>
        <w:rPr>
          <w:rFonts w:hint="eastAsia" w:asciiTheme="minorEastAsia" w:hAnsiTheme="minorEastAsia" w:eastAsiaTheme="minorEastAsia" w:cstheme="minorEastAsia"/>
          <w:b w:val="0"/>
          <w:bCs/>
          <w:i w:val="0"/>
          <w:iCs/>
          <w:color w:val="auto"/>
          <w:sz w:val="24"/>
          <w:szCs w:val="24"/>
          <w:lang w:eastAsia="zh-CN"/>
        </w:rPr>
        <w:t>回220kV，下层</w:t>
      </w:r>
      <w:r>
        <w:rPr>
          <w:rFonts w:hint="eastAsia" w:asciiTheme="minorEastAsia" w:hAnsiTheme="minorEastAsia" w:eastAsiaTheme="minorEastAsia" w:cstheme="minorEastAsia"/>
          <w:b w:val="0"/>
          <w:bCs/>
          <w:i w:val="0"/>
          <w:iCs/>
          <w:color w:val="auto"/>
          <w:sz w:val="24"/>
          <w:szCs w:val="24"/>
          <w:lang w:val="en-US" w:eastAsia="zh-CN"/>
        </w:rPr>
        <w:t>2</w:t>
      </w:r>
      <w:r>
        <w:rPr>
          <w:rFonts w:hint="eastAsia" w:asciiTheme="minorEastAsia" w:hAnsiTheme="minorEastAsia" w:eastAsiaTheme="minorEastAsia" w:cstheme="minorEastAsia"/>
          <w:b w:val="0"/>
          <w:bCs/>
          <w:i w:val="0"/>
          <w:iCs/>
          <w:color w:val="auto"/>
          <w:sz w:val="24"/>
          <w:szCs w:val="24"/>
          <w:lang w:eastAsia="zh-CN"/>
        </w:rPr>
        <w:t>回110kV）四</w:t>
      </w:r>
      <w:r>
        <w:rPr>
          <w:rFonts w:hint="eastAsia" w:asciiTheme="minorEastAsia" w:hAnsiTheme="minorEastAsia" w:eastAsiaTheme="minorEastAsia" w:cstheme="minorEastAsia"/>
          <w:b w:val="0"/>
          <w:bCs/>
          <w:i w:val="0"/>
          <w:iCs/>
          <w:color w:val="auto"/>
          <w:sz w:val="24"/>
          <w:szCs w:val="24"/>
          <w:lang w:val="en-US" w:eastAsia="zh-CN"/>
        </w:rPr>
        <w:t>侧</w:t>
      </w:r>
      <w:r>
        <w:rPr>
          <w:rFonts w:hint="eastAsia" w:asciiTheme="minorEastAsia" w:hAnsiTheme="minorEastAsia" w:eastAsiaTheme="minorEastAsia" w:cstheme="minorEastAsia"/>
          <w:b w:val="0"/>
          <w:bCs/>
          <w:i w:val="0"/>
          <w:iCs/>
          <w:color w:val="auto"/>
          <w:sz w:val="24"/>
          <w:szCs w:val="24"/>
          <w:lang w:eastAsia="zh-CN"/>
        </w:rPr>
        <w:t>挂线段路径长度约</w:t>
      </w:r>
      <w:r>
        <w:rPr>
          <w:rFonts w:hint="eastAsia" w:asciiTheme="minorEastAsia" w:hAnsiTheme="minorEastAsia" w:eastAsiaTheme="minorEastAsia" w:cstheme="minorEastAsia"/>
          <w:b w:val="0"/>
          <w:bCs/>
          <w:i w:val="0"/>
          <w:iCs/>
          <w:color w:val="auto"/>
          <w:sz w:val="24"/>
          <w:szCs w:val="24"/>
          <w:lang w:val="en-US" w:eastAsia="zh-CN"/>
        </w:rPr>
        <w:t>1.4</w:t>
      </w:r>
      <w:r>
        <w:rPr>
          <w:rFonts w:hint="eastAsia" w:asciiTheme="minorEastAsia" w:hAnsiTheme="minorEastAsia" w:eastAsiaTheme="minorEastAsia" w:cstheme="minorEastAsia"/>
          <w:b w:val="0"/>
          <w:bCs/>
          <w:i w:val="0"/>
          <w:iCs/>
          <w:color w:val="auto"/>
          <w:sz w:val="24"/>
          <w:szCs w:val="24"/>
          <w:lang w:eastAsia="zh-CN"/>
        </w:rPr>
        <w:t>km，</w:t>
      </w:r>
      <w:r>
        <w:rPr>
          <w:rFonts w:hint="eastAsia" w:asciiTheme="minorEastAsia" w:hAnsiTheme="minorEastAsia" w:eastAsiaTheme="minorEastAsia" w:cstheme="minorEastAsia"/>
          <w:b w:val="0"/>
          <w:bCs/>
          <w:i w:val="0"/>
          <w:iCs/>
          <w:color w:val="auto"/>
          <w:sz w:val="24"/>
          <w:szCs w:val="24"/>
          <w:lang w:val="en-US" w:eastAsia="zh-CN"/>
        </w:rPr>
        <w:t>220kV</w:t>
      </w:r>
      <w:r>
        <w:rPr>
          <w:rFonts w:hint="eastAsia" w:asciiTheme="minorEastAsia" w:hAnsiTheme="minorEastAsia" w:eastAsiaTheme="minorEastAsia" w:cstheme="minorEastAsia"/>
          <w:b w:val="0"/>
          <w:bCs/>
          <w:i w:val="0"/>
          <w:iCs/>
          <w:color w:val="auto"/>
          <w:sz w:val="24"/>
          <w:szCs w:val="24"/>
          <w:lang w:eastAsia="zh-CN"/>
        </w:rPr>
        <w:t>电缆段路径长度约</w:t>
      </w:r>
      <w:r>
        <w:rPr>
          <w:rFonts w:hint="eastAsia" w:asciiTheme="minorEastAsia" w:hAnsiTheme="minorEastAsia" w:eastAsiaTheme="minorEastAsia" w:cstheme="minorEastAsia"/>
          <w:b w:val="0"/>
          <w:bCs/>
          <w:i w:val="0"/>
          <w:iCs/>
          <w:color w:val="auto"/>
          <w:sz w:val="24"/>
          <w:szCs w:val="24"/>
          <w:lang w:val="en-US" w:eastAsia="zh-CN"/>
        </w:rPr>
        <w:t>0.48</w:t>
      </w:r>
      <w:r>
        <w:rPr>
          <w:rFonts w:hint="eastAsia" w:asciiTheme="minorEastAsia" w:hAnsiTheme="minorEastAsia" w:eastAsiaTheme="minorEastAsia" w:cstheme="minorEastAsia"/>
          <w:b w:val="0"/>
          <w:bCs/>
          <w:i w:val="0"/>
          <w:iCs/>
          <w:color w:val="auto"/>
          <w:sz w:val="24"/>
          <w:szCs w:val="24"/>
          <w:lang w:eastAsia="zh-CN"/>
        </w:rPr>
        <w:t>km。220kV架空导线截面采用2×630mm2，110kV架空导线截面采用1×300mm2，220kV电缆截面每相采用1×2500mm2。</w:t>
      </w:r>
    </w:p>
    <w:p>
      <w:pPr>
        <w:spacing w:line="360" w:lineRule="auto"/>
        <w:ind w:firstLine="480" w:firstLineChars="200"/>
        <w:outlineLvl w:val="9"/>
        <w:rPr>
          <w:rFonts w:hint="default" w:asciiTheme="minorEastAsia" w:hAnsiTheme="minorEastAsia" w:eastAsiaTheme="minorEastAsia" w:cstheme="minorEastAsia"/>
          <w:b w:val="0"/>
          <w:bCs/>
          <w:i w:val="0"/>
          <w:iCs/>
          <w:color w:val="auto"/>
          <w:sz w:val="24"/>
          <w:szCs w:val="24"/>
          <w:lang w:val="en-US" w:eastAsia="zh-CN"/>
        </w:rPr>
      </w:pPr>
      <w:r>
        <w:rPr>
          <w:rFonts w:hint="eastAsia" w:asciiTheme="minorEastAsia" w:hAnsiTheme="minorEastAsia" w:eastAsiaTheme="minorEastAsia" w:cstheme="minorEastAsia"/>
          <w:b w:val="0"/>
          <w:bCs/>
          <w:i w:val="0"/>
          <w:iCs/>
          <w:color w:val="auto"/>
          <w:sz w:val="24"/>
          <w:szCs w:val="24"/>
          <w:lang w:val="en-US" w:eastAsia="zh-CN"/>
        </w:rPr>
        <w:t>（2）新建改造</w:t>
      </w:r>
      <w:r>
        <w:rPr>
          <w:rFonts w:hint="eastAsia" w:asciiTheme="minorEastAsia" w:hAnsiTheme="minorEastAsia" w:eastAsiaTheme="minorEastAsia" w:cstheme="minorEastAsia"/>
          <w:b w:val="0"/>
          <w:bCs/>
          <w:i w:val="0"/>
          <w:iCs/>
          <w:color w:val="auto"/>
          <w:sz w:val="24"/>
          <w:szCs w:val="24"/>
          <w:lang w:eastAsia="zh-CN"/>
        </w:rPr>
        <w:t>110kV</w:t>
      </w:r>
      <w:r>
        <w:rPr>
          <w:rFonts w:hint="eastAsia" w:asciiTheme="minorEastAsia" w:hAnsiTheme="minorEastAsia" w:eastAsiaTheme="minorEastAsia" w:cstheme="minorEastAsia"/>
          <w:b w:val="0"/>
          <w:bCs/>
          <w:i w:val="0"/>
          <w:iCs/>
          <w:color w:val="auto"/>
          <w:sz w:val="24"/>
          <w:szCs w:val="24"/>
          <w:lang w:val="en-US" w:eastAsia="zh-CN"/>
        </w:rPr>
        <w:t>双回架空线路（即：110</w:t>
      </w:r>
      <w:r>
        <w:rPr>
          <w:rFonts w:hint="eastAsia" w:asciiTheme="minorEastAsia" w:hAnsiTheme="minorEastAsia" w:eastAsiaTheme="minorEastAsia" w:cstheme="minorEastAsia"/>
          <w:b w:val="0"/>
          <w:bCs/>
          <w:i w:val="0"/>
          <w:iCs/>
          <w:color w:val="auto"/>
          <w:sz w:val="24"/>
          <w:szCs w:val="24"/>
          <w:lang w:eastAsia="zh-CN"/>
        </w:rPr>
        <w:t>kV</w:t>
      </w:r>
      <w:r>
        <w:rPr>
          <w:rFonts w:hint="eastAsia" w:asciiTheme="minorEastAsia" w:hAnsiTheme="minorEastAsia" w:eastAsiaTheme="minorEastAsia" w:cstheme="minorEastAsia"/>
          <w:b w:val="0"/>
          <w:bCs/>
          <w:i w:val="0"/>
          <w:iCs/>
          <w:color w:val="auto"/>
          <w:sz w:val="24"/>
          <w:szCs w:val="24"/>
          <w:lang w:val="en-US" w:eastAsia="zh-CN"/>
        </w:rPr>
        <w:t>新东Ⅰ线和110</w:t>
      </w:r>
      <w:r>
        <w:rPr>
          <w:rFonts w:hint="eastAsia" w:asciiTheme="minorEastAsia" w:hAnsiTheme="minorEastAsia" w:eastAsiaTheme="minorEastAsia" w:cstheme="minorEastAsia"/>
          <w:b w:val="0"/>
          <w:bCs/>
          <w:i w:val="0"/>
          <w:iCs/>
          <w:color w:val="auto"/>
          <w:sz w:val="24"/>
          <w:szCs w:val="24"/>
          <w:lang w:eastAsia="zh-CN"/>
        </w:rPr>
        <w:t>kV</w:t>
      </w:r>
      <w:r>
        <w:rPr>
          <w:rFonts w:hint="eastAsia" w:asciiTheme="minorEastAsia" w:hAnsiTheme="minorEastAsia" w:eastAsiaTheme="minorEastAsia" w:cstheme="minorEastAsia"/>
          <w:b w:val="0"/>
          <w:bCs/>
          <w:i w:val="0"/>
          <w:iCs/>
          <w:color w:val="auto"/>
          <w:sz w:val="24"/>
          <w:szCs w:val="24"/>
          <w:lang w:val="en-US" w:eastAsia="zh-CN"/>
        </w:rPr>
        <w:t>新贤东线）路径长度约0.65</w:t>
      </w:r>
      <w:r>
        <w:rPr>
          <w:rFonts w:hint="eastAsia" w:asciiTheme="minorEastAsia" w:hAnsiTheme="minorEastAsia" w:eastAsiaTheme="minorEastAsia" w:cstheme="minorEastAsia"/>
          <w:b w:val="0"/>
          <w:bCs/>
          <w:i w:val="0"/>
          <w:iCs/>
          <w:color w:val="auto"/>
          <w:sz w:val="24"/>
          <w:szCs w:val="24"/>
          <w:lang w:eastAsia="zh-CN"/>
        </w:rPr>
        <w:t>km，新建110kV</w:t>
      </w:r>
      <w:r>
        <w:rPr>
          <w:rFonts w:hint="eastAsia" w:asciiTheme="minorEastAsia" w:hAnsiTheme="minorEastAsia" w:eastAsiaTheme="minorEastAsia" w:cstheme="minorEastAsia"/>
          <w:b w:val="0"/>
          <w:bCs/>
          <w:i w:val="0"/>
          <w:iCs/>
          <w:color w:val="auto"/>
          <w:sz w:val="24"/>
          <w:szCs w:val="24"/>
          <w:lang w:val="en-US" w:eastAsia="zh-CN"/>
        </w:rPr>
        <w:t>双回路钢管杆1基，另本新建改造线路在航洋站南侧需对原已建</w:t>
      </w:r>
      <w:r>
        <w:rPr>
          <w:rFonts w:hint="eastAsia" w:asciiTheme="minorEastAsia" w:hAnsiTheme="minorEastAsia" w:eastAsiaTheme="minorEastAsia" w:cstheme="minorEastAsia"/>
          <w:b w:val="0"/>
          <w:bCs/>
          <w:i w:val="0"/>
          <w:iCs/>
          <w:color w:val="auto"/>
          <w:sz w:val="24"/>
          <w:szCs w:val="24"/>
          <w:lang w:eastAsia="zh-CN"/>
        </w:rPr>
        <w:t>110kV</w:t>
      </w:r>
      <w:r>
        <w:rPr>
          <w:rFonts w:hint="eastAsia" w:asciiTheme="minorEastAsia" w:hAnsiTheme="minorEastAsia" w:eastAsiaTheme="minorEastAsia" w:cstheme="minorEastAsia"/>
          <w:b w:val="0"/>
          <w:bCs/>
          <w:i w:val="0"/>
          <w:iCs/>
          <w:color w:val="auto"/>
          <w:sz w:val="24"/>
          <w:szCs w:val="24"/>
          <w:lang w:val="en-US" w:eastAsia="zh-CN"/>
        </w:rPr>
        <w:t>双回路耐张钢管杆（即：110</w:t>
      </w:r>
      <w:r>
        <w:rPr>
          <w:rFonts w:hint="eastAsia" w:asciiTheme="minorEastAsia" w:hAnsiTheme="minorEastAsia" w:eastAsiaTheme="minorEastAsia" w:cstheme="minorEastAsia"/>
          <w:b w:val="0"/>
          <w:bCs/>
          <w:i w:val="0"/>
          <w:iCs/>
          <w:color w:val="auto"/>
          <w:sz w:val="24"/>
          <w:szCs w:val="24"/>
          <w:lang w:eastAsia="zh-CN"/>
        </w:rPr>
        <w:t>kV</w:t>
      </w:r>
      <w:r>
        <w:rPr>
          <w:rFonts w:hint="eastAsia" w:asciiTheme="minorEastAsia" w:hAnsiTheme="minorEastAsia" w:eastAsiaTheme="minorEastAsia" w:cstheme="minorEastAsia"/>
          <w:b w:val="0"/>
          <w:bCs/>
          <w:i w:val="0"/>
          <w:iCs/>
          <w:color w:val="auto"/>
          <w:sz w:val="24"/>
          <w:szCs w:val="24"/>
          <w:lang w:val="en-US" w:eastAsia="zh-CN"/>
        </w:rPr>
        <w:t>新东Ⅰ#47和新贤东线#47杆）1基进行起吊后重新安装。利用原已建</w:t>
      </w:r>
      <w:r>
        <w:rPr>
          <w:rFonts w:hint="eastAsia" w:asciiTheme="minorEastAsia" w:hAnsiTheme="minorEastAsia" w:eastAsiaTheme="minorEastAsia" w:cstheme="minorEastAsia"/>
          <w:b w:val="0"/>
          <w:bCs/>
          <w:i w:val="0"/>
          <w:iCs/>
          <w:color w:val="auto"/>
          <w:sz w:val="24"/>
          <w:szCs w:val="24"/>
          <w:lang w:eastAsia="zh-CN"/>
        </w:rPr>
        <w:t>110kV</w:t>
      </w:r>
      <w:r>
        <w:rPr>
          <w:rFonts w:hint="eastAsia" w:asciiTheme="minorEastAsia" w:hAnsiTheme="minorEastAsia" w:eastAsiaTheme="minorEastAsia" w:cstheme="minorEastAsia"/>
          <w:b w:val="0"/>
          <w:bCs/>
          <w:i w:val="0"/>
          <w:iCs/>
          <w:color w:val="auto"/>
          <w:sz w:val="24"/>
          <w:szCs w:val="24"/>
          <w:lang w:val="en-US" w:eastAsia="zh-CN"/>
        </w:rPr>
        <w:t>双回线路导地线重新架线。原</w:t>
      </w:r>
      <w:r>
        <w:rPr>
          <w:rFonts w:hint="eastAsia" w:asciiTheme="minorEastAsia" w:hAnsiTheme="minorEastAsia" w:eastAsiaTheme="minorEastAsia" w:cstheme="minorEastAsia"/>
          <w:b w:val="0"/>
          <w:bCs/>
          <w:i w:val="0"/>
          <w:iCs/>
          <w:color w:val="auto"/>
          <w:sz w:val="24"/>
          <w:szCs w:val="24"/>
          <w:lang w:eastAsia="zh-CN"/>
        </w:rPr>
        <w:t>110kV架空导线截面采用1×</w:t>
      </w:r>
      <w:r>
        <w:rPr>
          <w:rFonts w:hint="eastAsia" w:asciiTheme="minorEastAsia" w:hAnsiTheme="minorEastAsia" w:eastAsiaTheme="minorEastAsia" w:cstheme="minorEastAsia"/>
          <w:b w:val="0"/>
          <w:bCs/>
          <w:i w:val="0"/>
          <w:iCs/>
          <w:color w:val="auto"/>
          <w:sz w:val="24"/>
          <w:szCs w:val="24"/>
          <w:lang w:val="en-US" w:eastAsia="zh-CN"/>
        </w:rPr>
        <w:t>24</w:t>
      </w:r>
      <w:r>
        <w:rPr>
          <w:rFonts w:hint="eastAsia" w:asciiTheme="minorEastAsia" w:hAnsiTheme="minorEastAsia" w:eastAsiaTheme="minorEastAsia" w:cstheme="minorEastAsia"/>
          <w:b w:val="0"/>
          <w:bCs/>
          <w:i w:val="0"/>
          <w:iCs/>
          <w:color w:val="auto"/>
          <w:sz w:val="24"/>
          <w:szCs w:val="24"/>
          <w:lang w:eastAsia="zh-CN"/>
        </w:rPr>
        <w:t>0mm2</w:t>
      </w:r>
      <w:r>
        <w:rPr>
          <w:rFonts w:hint="eastAsia" w:asciiTheme="minorEastAsia" w:hAnsiTheme="minorEastAsia" w:eastAsiaTheme="minorEastAsia" w:cstheme="minorEastAsia"/>
          <w:b w:val="0"/>
          <w:bCs/>
          <w:i w:val="0"/>
          <w:iCs/>
          <w:color w:val="auto"/>
          <w:sz w:val="24"/>
          <w:szCs w:val="24"/>
          <w:lang w:val="en-US" w:eastAsia="zh-CN"/>
        </w:rPr>
        <w:t>。</w:t>
      </w:r>
    </w:p>
    <w:p>
      <w:pPr>
        <w:spacing w:line="360" w:lineRule="auto"/>
        <w:ind w:firstLine="480" w:firstLineChars="200"/>
        <w:outlineLvl w:val="9"/>
        <w:rPr>
          <w:rFonts w:hint="eastAsia" w:asciiTheme="minorEastAsia" w:hAnsiTheme="minorEastAsia" w:eastAsiaTheme="minorEastAsia" w:cstheme="minorEastAsia"/>
          <w:b w:val="0"/>
          <w:bCs/>
          <w:i w:val="0"/>
          <w:iCs/>
          <w:color w:val="auto"/>
          <w:sz w:val="24"/>
          <w:szCs w:val="24"/>
        </w:rPr>
      </w:pPr>
      <w:r>
        <w:rPr>
          <w:rFonts w:hint="eastAsia" w:asciiTheme="minorEastAsia" w:hAnsiTheme="minorEastAsia" w:eastAsiaTheme="minorEastAsia" w:cstheme="minorEastAsia"/>
          <w:b w:val="0"/>
          <w:bCs/>
          <w:i w:val="0"/>
          <w:iCs/>
          <w:color w:val="auto"/>
          <w:sz w:val="24"/>
          <w:szCs w:val="24"/>
          <w:lang w:eastAsia="zh-CN"/>
        </w:rPr>
        <w:t>（</w:t>
      </w:r>
      <w:r>
        <w:rPr>
          <w:rFonts w:hint="eastAsia" w:asciiTheme="minorEastAsia" w:hAnsiTheme="minorEastAsia" w:eastAsiaTheme="minorEastAsia" w:cstheme="minorEastAsia"/>
          <w:b w:val="0"/>
          <w:bCs/>
          <w:i w:val="0"/>
          <w:iCs/>
          <w:color w:val="auto"/>
          <w:sz w:val="24"/>
          <w:szCs w:val="24"/>
          <w:lang w:val="en-US" w:eastAsia="zh-CN"/>
        </w:rPr>
        <w:t>3</w:t>
      </w:r>
      <w:r>
        <w:rPr>
          <w:rFonts w:hint="eastAsia" w:asciiTheme="minorEastAsia" w:hAnsiTheme="minorEastAsia" w:eastAsiaTheme="minorEastAsia" w:cstheme="minorEastAsia"/>
          <w:b w:val="0"/>
          <w:bCs/>
          <w:i w:val="0"/>
          <w:iCs/>
          <w:color w:val="auto"/>
          <w:sz w:val="24"/>
          <w:szCs w:val="24"/>
          <w:lang w:eastAsia="zh-CN"/>
        </w:rPr>
        <w:t>）</w:t>
      </w:r>
      <w:r>
        <w:rPr>
          <w:rFonts w:hint="eastAsia" w:asciiTheme="minorEastAsia" w:hAnsiTheme="minorEastAsia" w:eastAsiaTheme="minorEastAsia" w:cstheme="minorEastAsia"/>
          <w:b w:val="0"/>
          <w:bCs/>
          <w:i w:val="0"/>
          <w:iCs/>
          <w:color w:val="auto"/>
          <w:sz w:val="24"/>
          <w:szCs w:val="24"/>
          <w:lang w:val="en-US" w:eastAsia="zh-CN"/>
        </w:rPr>
        <w:t>将</w:t>
      </w:r>
      <w:r>
        <w:rPr>
          <w:rFonts w:hint="eastAsia" w:asciiTheme="minorEastAsia" w:hAnsiTheme="minorEastAsia" w:eastAsiaTheme="minorEastAsia" w:cstheme="minorEastAsia"/>
          <w:b w:val="0"/>
          <w:bCs/>
          <w:i w:val="0"/>
          <w:iCs/>
          <w:color w:val="auto"/>
          <w:sz w:val="24"/>
          <w:szCs w:val="24"/>
          <w:lang w:eastAsia="zh-CN"/>
        </w:rPr>
        <w:t>原海港～新兴I、Ⅱ220kV线路#</w:t>
      </w:r>
      <w:r>
        <w:rPr>
          <w:rFonts w:hint="eastAsia" w:asciiTheme="minorEastAsia" w:hAnsiTheme="minorEastAsia" w:eastAsiaTheme="minorEastAsia" w:cstheme="minorEastAsia"/>
          <w:b w:val="0"/>
          <w:bCs/>
          <w:i w:val="0"/>
          <w:iCs/>
          <w:color w:val="auto"/>
          <w:sz w:val="24"/>
          <w:szCs w:val="24"/>
          <w:lang w:val="en-US" w:eastAsia="zh-CN"/>
        </w:rPr>
        <w:t>04</w:t>
      </w:r>
      <w:r>
        <w:rPr>
          <w:rFonts w:hint="eastAsia" w:asciiTheme="minorEastAsia" w:hAnsiTheme="minorEastAsia" w:eastAsiaTheme="minorEastAsia" w:cstheme="minorEastAsia"/>
          <w:b w:val="0"/>
          <w:bCs/>
          <w:i w:val="0"/>
          <w:iCs/>
          <w:color w:val="auto"/>
          <w:sz w:val="24"/>
          <w:szCs w:val="24"/>
          <w:lang w:eastAsia="zh-CN"/>
        </w:rPr>
        <w:t>至#36塔段</w:t>
      </w:r>
      <w:r>
        <w:rPr>
          <w:rFonts w:hint="eastAsia" w:asciiTheme="minorEastAsia" w:hAnsiTheme="minorEastAsia" w:eastAsiaTheme="minorEastAsia" w:cstheme="minorEastAsia"/>
          <w:b w:val="0"/>
          <w:bCs/>
          <w:i w:val="0"/>
          <w:iCs/>
          <w:color w:val="auto"/>
          <w:sz w:val="24"/>
          <w:szCs w:val="24"/>
          <w:lang w:val="en-US" w:eastAsia="zh-CN"/>
        </w:rPr>
        <w:t>共33基铁塔导线复合绝缘子进行更换，并将原</w:t>
      </w:r>
      <w:r>
        <w:rPr>
          <w:rFonts w:hint="eastAsia" w:asciiTheme="minorEastAsia" w:hAnsiTheme="minorEastAsia" w:eastAsiaTheme="minorEastAsia" w:cstheme="minorEastAsia"/>
          <w:b w:val="0"/>
          <w:bCs/>
          <w:i w:val="0"/>
          <w:iCs/>
          <w:color w:val="auto"/>
          <w:sz w:val="24"/>
          <w:szCs w:val="24"/>
          <w:lang w:eastAsia="zh-CN"/>
        </w:rPr>
        <w:t>2根GJ-50钢绞线更换为2根48芯OPGW复合光缆，路径长度约</w:t>
      </w:r>
      <w:r>
        <w:rPr>
          <w:rFonts w:hint="eastAsia" w:asciiTheme="minorEastAsia" w:hAnsiTheme="minorEastAsia" w:eastAsiaTheme="minorEastAsia" w:cstheme="minorEastAsia"/>
          <w:b w:val="0"/>
          <w:bCs/>
          <w:i w:val="0"/>
          <w:iCs/>
          <w:color w:val="auto"/>
          <w:sz w:val="24"/>
          <w:szCs w:val="24"/>
          <w:lang w:val="en-US" w:eastAsia="zh-CN"/>
        </w:rPr>
        <w:t>9</w:t>
      </w:r>
      <w:r>
        <w:rPr>
          <w:rFonts w:hint="eastAsia" w:asciiTheme="minorEastAsia" w:hAnsiTheme="minorEastAsia" w:eastAsiaTheme="minorEastAsia" w:cstheme="minorEastAsia"/>
          <w:b w:val="0"/>
          <w:bCs/>
          <w:i w:val="0"/>
          <w:iCs/>
          <w:color w:val="auto"/>
          <w:sz w:val="24"/>
          <w:szCs w:val="24"/>
          <w:lang w:eastAsia="zh-CN"/>
        </w:rPr>
        <w:t>.</w:t>
      </w:r>
      <w:r>
        <w:rPr>
          <w:rFonts w:hint="eastAsia" w:asciiTheme="minorEastAsia" w:hAnsiTheme="minorEastAsia" w:eastAsiaTheme="minorEastAsia" w:cstheme="minorEastAsia"/>
          <w:b w:val="0"/>
          <w:bCs/>
          <w:i w:val="0"/>
          <w:iCs/>
          <w:color w:val="auto"/>
          <w:sz w:val="24"/>
          <w:szCs w:val="24"/>
          <w:lang w:val="en-US" w:eastAsia="zh-CN"/>
        </w:rPr>
        <w:t>8</w:t>
      </w:r>
      <w:r>
        <w:rPr>
          <w:rFonts w:hint="eastAsia" w:asciiTheme="minorEastAsia" w:hAnsiTheme="minorEastAsia" w:eastAsiaTheme="minorEastAsia" w:cstheme="minorEastAsia"/>
          <w:b w:val="0"/>
          <w:bCs/>
          <w:i w:val="0"/>
          <w:iCs/>
          <w:color w:val="auto"/>
          <w:sz w:val="24"/>
          <w:szCs w:val="24"/>
          <w:lang w:eastAsia="zh-CN"/>
        </w:rPr>
        <w:t>km。</w:t>
      </w:r>
    </w:p>
    <w:p>
      <w:pPr>
        <w:spacing w:line="360" w:lineRule="auto"/>
        <w:ind w:firstLine="480" w:firstLineChars="200"/>
        <w:outlineLvl w:val="9"/>
        <w:rPr>
          <w:rFonts w:hint="eastAsia" w:asciiTheme="minorEastAsia" w:hAnsiTheme="minorEastAsia" w:eastAsiaTheme="minorEastAsia" w:cstheme="minorEastAsia"/>
          <w:b w:val="0"/>
          <w:bCs/>
          <w:i w:val="0"/>
          <w:iCs/>
          <w:color w:val="auto"/>
          <w:sz w:val="24"/>
          <w:szCs w:val="24"/>
        </w:rPr>
      </w:pPr>
      <w:r>
        <w:rPr>
          <w:rFonts w:hint="eastAsia" w:asciiTheme="minorEastAsia" w:hAnsiTheme="minorEastAsia" w:eastAsiaTheme="minorEastAsia" w:cstheme="minorEastAsia"/>
          <w:b w:val="0"/>
          <w:bCs/>
          <w:i w:val="0"/>
          <w:iCs/>
          <w:color w:val="auto"/>
          <w:sz w:val="24"/>
          <w:szCs w:val="24"/>
          <w:lang w:val="en-US" w:eastAsia="zh-CN"/>
        </w:rPr>
        <w:t>2）</w:t>
      </w:r>
      <w:r>
        <w:rPr>
          <w:rFonts w:hint="eastAsia" w:asciiTheme="minorEastAsia" w:hAnsiTheme="minorEastAsia" w:eastAsiaTheme="minorEastAsia" w:cstheme="minorEastAsia"/>
          <w:b w:val="0"/>
          <w:bCs/>
          <w:i w:val="0"/>
          <w:iCs/>
          <w:color w:val="auto"/>
          <w:sz w:val="24"/>
          <w:szCs w:val="24"/>
        </w:rPr>
        <w:t>竹坪～新兴220kV线路改接入航洋站工程</w:t>
      </w:r>
    </w:p>
    <w:p>
      <w:pPr>
        <w:spacing w:line="360" w:lineRule="auto"/>
        <w:ind w:firstLine="480" w:firstLineChars="200"/>
        <w:outlineLvl w:val="9"/>
        <w:rPr>
          <w:rFonts w:hint="eastAsia" w:asciiTheme="minorEastAsia" w:hAnsiTheme="minorEastAsia" w:eastAsiaTheme="minorEastAsia" w:cstheme="minorEastAsia"/>
          <w:b w:val="0"/>
          <w:bCs/>
          <w:i w:val="0"/>
          <w:iCs/>
          <w:color w:val="auto"/>
          <w:sz w:val="24"/>
          <w:szCs w:val="24"/>
        </w:rPr>
      </w:pPr>
      <w:r>
        <w:rPr>
          <w:rFonts w:hint="eastAsia" w:asciiTheme="minorEastAsia" w:hAnsiTheme="minorEastAsia" w:eastAsiaTheme="minorEastAsia" w:cstheme="minorEastAsia"/>
          <w:b w:val="0"/>
          <w:bCs/>
          <w:i w:val="0"/>
          <w:iCs/>
          <w:color w:val="auto"/>
          <w:sz w:val="24"/>
          <w:szCs w:val="24"/>
          <w:lang w:eastAsia="zh-CN"/>
        </w:rPr>
        <w:t>（</w:t>
      </w:r>
      <w:r>
        <w:rPr>
          <w:rFonts w:hint="eastAsia" w:asciiTheme="minorEastAsia" w:hAnsiTheme="minorEastAsia" w:eastAsiaTheme="minorEastAsia" w:cstheme="minorEastAsia"/>
          <w:b w:val="0"/>
          <w:bCs/>
          <w:i w:val="0"/>
          <w:iCs/>
          <w:color w:val="auto"/>
          <w:sz w:val="24"/>
          <w:szCs w:val="24"/>
          <w:lang w:val="en-US" w:eastAsia="zh-CN"/>
        </w:rPr>
        <w:t>1</w:t>
      </w:r>
      <w:r>
        <w:rPr>
          <w:rFonts w:hint="eastAsia" w:asciiTheme="minorEastAsia" w:hAnsiTheme="minorEastAsia" w:eastAsiaTheme="minorEastAsia" w:cstheme="minorEastAsia"/>
          <w:b w:val="0"/>
          <w:bCs/>
          <w:i w:val="0"/>
          <w:iCs/>
          <w:color w:val="auto"/>
          <w:sz w:val="24"/>
          <w:szCs w:val="24"/>
          <w:lang w:eastAsia="zh-CN"/>
        </w:rPr>
        <w:t>）</w:t>
      </w:r>
      <w:r>
        <w:rPr>
          <w:rFonts w:hint="eastAsia" w:asciiTheme="minorEastAsia" w:hAnsiTheme="minorEastAsia" w:eastAsiaTheme="minorEastAsia" w:cstheme="minorEastAsia"/>
          <w:b w:val="0"/>
          <w:bCs/>
          <w:i w:val="0"/>
          <w:iCs/>
          <w:color w:val="auto"/>
          <w:sz w:val="24"/>
          <w:szCs w:val="24"/>
        </w:rPr>
        <w:t>新建改接</w:t>
      </w:r>
      <w:r>
        <w:rPr>
          <w:rFonts w:hint="eastAsia" w:asciiTheme="minorEastAsia" w:hAnsiTheme="minorEastAsia" w:eastAsiaTheme="minorEastAsia" w:cstheme="minorEastAsia"/>
          <w:b w:val="0"/>
          <w:bCs/>
          <w:i w:val="0"/>
          <w:iCs/>
          <w:color w:val="auto"/>
          <w:sz w:val="24"/>
          <w:szCs w:val="24"/>
          <w:lang w:val="en-US" w:eastAsia="zh-CN"/>
        </w:rPr>
        <w:t>220kV</w:t>
      </w:r>
      <w:r>
        <w:rPr>
          <w:rFonts w:hint="eastAsia" w:asciiTheme="minorEastAsia" w:hAnsiTheme="minorEastAsia" w:eastAsiaTheme="minorEastAsia" w:cstheme="minorEastAsia"/>
          <w:b w:val="0"/>
          <w:bCs/>
          <w:i w:val="0"/>
          <w:iCs/>
          <w:color w:val="auto"/>
          <w:sz w:val="24"/>
          <w:szCs w:val="24"/>
        </w:rPr>
        <w:t>线路路径</w:t>
      </w:r>
      <w:r>
        <w:rPr>
          <w:rFonts w:hint="eastAsia" w:asciiTheme="minorEastAsia" w:hAnsiTheme="minorEastAsia" w:eastAsiaTheme="minorEastAsia" w:cstheme="minorEastAsia"/>
          <w:b w:val="0"/>
          <w:bCs/>
          <w:i w:val="0"/>
          <w:iCs/>
          <w:color w:val="auto"/>
          <w:sz w:val="24"/>
          <w:szCs w:val="24"/>
          <w:lang w:eastAsia="zh-CN"/>
        </w:rPr>
        <w:t>长度约</w:t>
      </w:r>
      <w:r>
        <w:rPr>
          <w:rFonts w:hint="eastAsia" w:asciiTheme="minorEastAsia" w:hAnsiTheme="minorEastAsia" w:eastAsiaTheme="minorEastAsia" w:cstheme="minorEastAsia"/>
          <w:b w:val="0"/>
          <w:bCs/>
          <w:i w:val="0"/>
          <w:iCs/>
          <w:color w:val="auto"/>
          <w:sz w:val="24"/>
          <w:szCs w:val="24"/>
        </w:rPr>
        <w:t>8.</w:t>
      </w:r>
      <w:r>
        <w:rPr>
          <w:rFonts w:hint="eastAsia" w:asciiTheme="minorEastAsia" w:hAnsiTheme="minorEastAsia" w:eastAsiaTheme="minorEastAsia" w:cstheme="minorEastAsia"/>
          <w:b w:val="0"/>
          <w:bCs/>
          <w:i w:val="0"/>
          <w:iCs/>
          <w:color w:val="auto"/>
          <w:sz w:val="24"/>
          <w:szCs w:val="24"/>
          <w:lang w:val="en-US" w:eastAsia="zh-CN"/>
        </w:rPr>
        <w:t>7</w:t>
      </w:r>
      <w:r>
        <w:rPr>
          <w:rFonts w:hint="eastAsia" w:asciiTheme="minorEastAsia" w:hAnsiTheme="minorEastAsia" w:eastAsiaTheme="minorEastAsia" w:cstheme="minorEastAsia"/>
          <w:b w:val="0"/>
          <w:bCs/>
          <w:i w:val="0"/>
          <w:iCs/>
          <w:color w:val="auto"/>
          <w:sz w:val="24"/>
          <w:szCs w:val="24"/>
        </w:rPr>
        <w:t>km</w:t>
      </w:r>
      <w:r>
        <w:rPr>
          <w:rFonts w:hint="eastAsia" w:asciiTheme="minorEastAsia" w:hAnsiTheme="minorEastAsia" w:eastAsiaTheme="minorEastAsia" w:cstheme="minorEastAsia"/>
          <w:b w:val="0"/>
          <w:bCs/>
          <w:i w:val="0"/>
          <w:iCs/>
          <w:color w:val="auto"/>
          <w:sz w:val="24"/>
          <w:szCs w:val="24"/>
          <w:lang w:eastAsia="zh-CN"/>
        </w:rPr>
        <w:t>。</w:t>
      </w:r>
      <w:r>
        <w:rPr>
          <w:rFonts w:hint="eastAsia" w:asciiTheme="minorEastAsia" w:hAnsiTheme="minorEastAsia" w:eastAsiaTheme="minorEastAsia" w:cstheme="minorEastAsia"/>
          <w:b w:val="0"/>
          <w:bCs/>
          <w:i w:val="0"/>
          <w:iCs/>
          <w:color w:val="auto"/>
          <w:sz w:val="24"/>
          <w:szCs w:val="24"/>
        </w:rPr>
        <w:t>其中</w:t>
      </w:r>
      <w:r>
        <w:rPr>
          <w:rFonts w:hint="eastAsia" w:asciiTheme="minorEastAsia" w:hAnsiTheme="minorEastAsia" w:eastAsiaTheme="minorEastAsia" w:cstheme="minorEastAsia"/>
          <w:b w:val="0"/>
          <w:bCs/>
          <w:i w:val="0"/>
          <w:iCs/>
          <w:color w:val="auto"/>
          <w:sz w:val="24"/>
          <w:szCs w:val="24"/>
          <w:lang w:val="en-US" w:eastAsia="zh-CN"/>
        </w:rPr>
        <w:t>220kV</w:t>
      </w:r>
      <w:r>
        <w:rPr>
          <w:rFonts w:hint="eastAsia" w:asciiTheme="minorEastAsia" w:hAnsiTheme="minorEastAsia" w:eastAsiaTheme="minorEastAsia" w:cstheme="minorEastAsia"/>
          <w:b w:val="0"/>
          <w:bCs/>
          <w:i w:val="0"/>
          <w:iCs/>
          <w:color w:val="auto"/>
          <w:sz w:val="24"/>
          <w:szCs w:val="24"/>
        </w:rPr>
        <w:t>双回路角钢塔</w:t>
      </w:r>
      <w:r>
        <w:rPr>
          <w:rFonts w:hint="eastAsia" w:asciiTheme="minorEastAsia" w:hAnsiTheme="minorEastAsia" w:eastAsiaTheme="minorEastAsia" w:cstheme="minorEastAsia"/>
          <w:b w:val="0"/>
          <w:bCs/>
          <w:i w:val="0"/>
          <w:iCs/>
          <w:color w:val="auto"/>
          <w:sz w:val="24"/>
          <w:szCs w:val="24"/>
          <w:lang w:val="en-US" w:eastAsia="zh-CN"/>
        </w:rPr>
        <w:t>双</w:t>
      </w:r>
      <w:r>
        <w:rPr>
          <w:rFonts w:hint="eastAsia" w:asciiTheme="minorEastAsia" w:hAnsiTheme="minorEastAsia" w:eastAsiaTheme="minorEastAsia" w:cstheme="minorEastAsia"/>
          <w:b w:val="0"/>
          <w:bCs/>
          <w:i w:val="0"/>
          <w:iCs/>
          <w:color w:val="auto"/>
          <w:sz w:val="24"/>
          <w:szCs w:val="24"/>
        </w:rPr>
        <w:t>侧挂线段路径</w:t>
      </w:r>
      <w:r>
        <w:rPr>
          <w:rFonts w:hint="eastAsia" w:asciiTheme="minorEastAsia" w:hAnsiTheme="minorEastAsia" w:eastAsiaTheme="minorEastAsia" w:cstheme="minorEastAsia"/>
          <w:b w:val="0"/>
          <w:bCs/>
          <w:i w:val="0"/>
          <w:iCs/>
          <w:color w:val="auto"/>
          <w:sz w:val="24"/>
          <w:szCs w:val="24"/>
          <w:lang w:eastAsia="zh-CN"/>
        </w:rPr>
        <w:t>长度约</w:t>
      </w:r>
      <w:r>
        <w:rPr>
          <w:rFonts w:hint="eastAsia" w:asciiTheme="minorEastAsia" w:hAnsiTheme="minorEastAsia" w:eastAsiaTheme="minorEastAsia" w:cstheme="minorEastAsia"/>
          <w:b w:val="0"/>
          <w:bCs/>
          <w:i w:val="0"/>
          <w:iCs/>
          <w:color w:val="auto"/>
          <w:sz w:val="24"/>
          <w:szCs w:val="24"/>
          <w:lang w:val="en-US" w:eastAsia="zh-CN"/>
        </w:rPr>
        <w:t>1.0</w:t>
      </w:r>
      <w:r>
        <w:rPr>
          <w:rFonts w:hint="eastAsia" w:asciiTheme="minorEastAsia" w:hAnsiTheme="minorEastAsia" w:eastAsiaTheme="minorEastAsia" w:cstheme="minorEastAsia"/>
          <w:b w:val="0"/>
          <w:bCs/>
          <w:i w:val="0"/>
          <w:iCs/>
          <w:color w:val="auto"/>
          <w:sz w:val="24"/>
          <w:szCs w:val="24"/>
        </w:rPr>
        <w:t>km</w:t>
      </w:r>
      <w:r>
        <w:rPr>
          <w:rFonts w:hint="eastAsia" w:asciiTheme="minorEastAsia" w:hAnsiTheme="minorEastAsia" w:eastAsiaTheme="minorEastAsia" w:cstheme="minorEastAsia"/>
          <w:b w:val="0"/>
          <w:bCs/>
          <w:i w:val="0"/>
          <w:iCs/>
          <w:color w:val="auto"/>
          <w:sz w:val="24"/>
          <w:szCs w:val="24"/>
          <w:lang w:eastAsia="zh-CN"/>
        </w:rPr>
        <w:t>，</w:t>
      </w:r>
      <w:r>
        <w:rPr>
          <w:rFonts w:hint="eastAsia" w:asciiTheme="minorEastAsia" w:hAnsiTheme="minorEastAsia" w:eastAsiaTheme="minorEastAsia" w:cstheme="minorEastAsia"/>
          <w:b w:val="0"/>
          <w:bCs/>
          <w:i w:val="0"/>
          <w:iCs/>
          <w:color w:val="auto"/>
          <w:sz w:val="24"/>
          <w:szCs w:val="24"/>
          <w:lang w:val="en-US" w:eastAsia="zh-CN"/>
        </w:rPr>
        <w:t>混压</w:t>
      </w:r>
      <w:r>
        <w:rPr>
          <w:rFonts w:hint="eastAsia" w:asciiTheme="minorEastAsia" w:hAnsiTheme="minorEastAsia" w:eastAsiaTheme="minorEastAsia" w:cstheme="minorEastAsia"/>
          <w:b w:val="0"/>
          <w:bCs/>
          <w:i w:val="0"/>
          <w:iCs/>
          <w:color w:val="auto"/>
          <w:sz w:val="24"/>
          <w:szCs w:val="24"/>
        </w:rPr>
        <w:t>四回路角钢塔（上层</w:t>
      </w:r>
      <w:r>
        <w:rPr>
          <w:rFonts w:hint="eastAsia" w:asciiTheme="minorEastAsia" w:hAnsiTheme="minorEastAsia" w:eastAsiaTheme="minorEastAsia" w:cstheme="minorEastAsia"/>
          <w:b w:val="0"/>
          <w:bCs/>
          <w:i w:val="0"/>
          <w:iCs/>
          <w:color w:val="auto"/>
          <w:sz w:val="24"/>
          <w:szCs w:val="24"/>
          <w:lang w:val="en-US" w:eastAsia="zh-CN"/>
        </w:rPr>
        <w:t>2</w:t>
      </w:r>
      <w:r>
        <w:rPr>
          <w:rFonts w:hint="eastAsia" w:asciiTheme="minorEastAsia" w:hAnsiTheme="minorEastAsia" w:eastAsiaTheme="minorEastAsia" w:cstheme="minorEastAsia"/>
          <w:b w:val="0"/>
          <w:bCs/>
          <w:i w:val="0"/>
          <w:iCs/>
          <w:color w:val="auto"/>
          <w:sz w:val="24"/>
          <w:szCs w:val="24"/>
        </w:rPr>
        <w:t>回220kV，下层</w:t>
      </w:r>
      <w:r>
        <w:rPr>
          <w:rFonts w:hint="eastAsia" w:asciiTheme="minorEastAsia" w:hAnsiTheme="minorEastAsia" w:eastAsiaTheme="minorEastAsia" w:cstheme="minorEastAsia"/>
          <w:b w:val="0"/>
          <w:bCs/>
          <w:i w:val="0"/>
          <w:iCs/>
          <w:color w:val="auto"/>
          <w:sz w:val="24"/>
          <w:szCs w:val="24"/>
          <w:lang w:val="en-US" w:eastAsia="zh-CN"/>
        </w:rPr>
        <w:t>2</w:t>
      </w:r>
      <w:r>
        <w:rPr>
          <w:rFonts w:hint="eastAsia" w:asciiTheme="minorEastAsia" w:hAnsiTheme="minorEastAsia" w:eastAsiaTheme="minorEastAsia" w:cstheme="minorEastAsia"/>
          <w:b w:val="0"/>
          <w:bCs/>
          <w:i w:val="0"/>
          <w:iCs/>
          <w:color w:val="auto"/>
          <w:sz w:val="24"/>
          <w:szCs w:val="24"/>
        </w:rPr>
        <w:t>回110kV）四侧挂线段路径长度约</w:t>
      </w:r>
      <w:r>
        <w:rPr>
          <w:rFonts w:hint="eastAsia" w:asciiTheme="minorEastAsia" w:hAnsiTheme="minorEastAsia" w:eastAsiaTheme="minorEastAsia" w:cstheme="minorEastAsia"/>
          <w:b w:val="0"/>
          <w:bCs/>
          <w:i w:val="0"/>
          <w:iCs/>
          <w:color w:val="auto"/>
          <w:sz w:val="24"/>
          <w:szCs w:val="24"/>
          <w:lang w:val="en-US" w:eastAsia="zh-CN"/>
        </w:rPr>
        <w:t>1.1</w:t>
      </w:r>
      <w:r>
        <w:rPr>
          <w:rFonts w:hint="eastAsia" w:asciiTheme="minorEastAsia" w:hAnsiTheme="minorEastAsia" w:eastAsiaTheme="minorEastAsia" w:cstheme="minorEastAsia"/>
          <w:b w:val="0"/>
          <w:bCs/>
          <w:i w:val="0"/>
          <w:iCs/>
          <w:color w:val="auto"/>
          <w:sz w:val="24"/>
          <w:szCs w:val="24"/>
        </w:rPr>
        <w:t>km</w:t>
      </w:r>
      <w:r>
        <w:rPr>
          <w:rFonts w:hint="eastAsia" w:asciiTheme="minorEastAsia" w:hAnsiTheme="minorEastAsia" w:eastAsiaTheme="minorEastAsia" w:cstheme="minorEastAsia"/>
          <w:b w:val="0"/>
          <w:bCs/>
          <w:i w:val="0"/>
          <w:iCs/>
          <w:color w:val="auto"/>
          <w:sz w:val="24"/>
          <w:szCs w:val="24"/>
          <w:lang w:eastAsia="zh-CN"/>
        </w:rPr>
        <w:t>，</w:t>
      </w:r>
      <w:r>
        <w:rPr>
          <w:rFonts w:hint="eastAsia" w:asciiTheme="minorEastAsia" w:hAnsiTheme="minorEastAsia" w:eastAsiaTheme="minorEastAsia" w:cstheme="minorEastAsia"/>
          <w:b w:val="0"/>
          <w:bCs/>
          <w:i w:val="0"/>
          <w:iCs/>
          <w:color w:val="auto"/>
          <w:sz w:val="24"/>
          <w:szCs w:val="24"/>
          <w:lang w:val="en-US" w:eastAsia="zh-CN"/>
        </w:rPr>
        <w:t>220kV</w:t>
      </w:r>
      <w:r>
        <w:rPr>
          <w:rFonts w:hint="eastAsia" w:asciiTheme="minorEastAsia" w:hAnsiTheme="minorEastAsia" w:eastAsiaTheme="minorEastAsia" w:cstheme="minorEastAsia"/>
          <w:b w:val="0"/>
          <w:bCs/>
          <w:i w:val="0"/>
          <w:iCs/>
          <w:color w:val="auto"/>
          <w:sz w:val="24"/>
          <w:szCs w:val="24"/>
        </w:rPr>
        <w:t>双回路钢管杆双侧挂线段路径</w:t>
      </w:r>
      <w:r>
        <w:rPr>
          <w:rFonts w:hint="eastAsia" w:asciiTheme="minorEastAsia" w:hAnsiTheme="minorEastAsia" w:eastAsiaTheme="minorEastAsia" w:cstheme="minorEastAsia"/>
          <w:b w:val="0"/>
          <w:bCs/>
          <w:i w:val="0"/>
          <w:iCs/>
          <w:color w:val="auto"/>
          <w:sz w:val="24"/>
          <w:szCs w:val="24"/>
          <w:lang w:eastAsia="zh-CN"/>
        </w:rPr>
        <w:t>长度约</w:t>
      </w:r>
      <w:r>
        <w:rPr>
          <w:rFonts w:hint="eastAsia" w:asciiTheme="minorEastAsia" w:hAnsiTheme="minorEastAsia" w:eastAsiaTheme="minorEastAsia" w:cstheme="minorEastAsia"/>
          <w:b w:val="0"/>
          <w:bCs/>
          <w:i w:val="0"/>
          <w:iCs/>
          <w:color w:val="auto"/>
          <w:sz w:val="24"/>
          <w:szCs w:val="24"/>
          <w:lang w:val="en-US" w:eastAsia="zh-CN"/>
        </w:rPr>
        <w:t>4</w:t>
      </w:r>
      <w:r>
        <w:rPr>
          <w:rFonts w:hint="eastAsia" w:asciiTheme="minorEastAsia" w:hAnsiTheme="minorEastAsia" w:eastAsiaTheme="minorEastAsia" w:cstheme="minorEastAsia"/>
          <w:b w:val="0"/>
          <w:bCs/>
          <w:i w:val="0"/>
          <w:iCs/>
          <w:color w:val="auto"/>
          <w:sz w:val="24"/>
          <w:szCs w:val="24"/>
        </w:rPr>
        <w:t>.</w:t>
      </w:r>
      <w:r>
        <w:rPr>
          <w:rFonts w:hint="eastAsia" w:asciiTheme="minorEastAsia" w:hAnsiTheme="minorEastAsia" w:eastAsiaTheme="minorEastAsia" w:cstheme="minorEastAsia"/>
          <w:b w:val="0"/>
          <w:bCs/>
          <w:i w:val="0"/>
          <w:iCs/>
          <w:color w:val="auto"/>
          <w:sz w:val="24"/>
          <w:szCs w:val="24"/>
          <w:lang w:val="en-US" w:eastAsia="zh-CN"/>
        </w:rPr>
        <w:t>2</w:t>
      </w:r>
      <w:r>
        <w:rPr>
          <w:rFonts w:hint="eastAsia" w:asciiTheme="minorEastAsia" w:hAnsiTheme="minorEastAsia" w:eastAsiaTheme="minorEastAsia" w:cstheme="minorEastAsia"/>
          <w:b w:val="0"/>
          <w:bCs/>
          <w:i w:val="0"/>
          <w:iCs/>
          <w:color w:val="auto"/>
          <w:sz w:val="24"/>
          <w:szCs w:val="24"/>
        </w:rPr>
        <w:t>5km</w:t>
      </w:r>
      <w:r>
        <w:rPr>
          <w:rFonts w:hint="eastAsia" w:asciiTheme="minorEastAsia" w:hAnsiTheme="minorEastAsia" w:eastAsiaTheme="minorEastAsia" w:cstheme="minorEastAsia"/>
          <w:b w:val="0"/>
          <w:bCs/>
          <w:i w:val="0"/>
          <w:iCs/>
          <w:color w:val="auto"/>
          <w:sz w:val="24"/>
          <w:szCs w:val="24"/>
          <w:lang w:eastAsia="zh-CN"/>
        </w:rPr>
        <w:t>，</w:t>
      </w:r>
      <w:r>
        <w:rPr>
          <w:rFonts w:hint="eastAsia" w:asciiTheme="minorEastAsia" w:hAnsiTheme="minorEastAsia" w:eastAsiaTheme="minorEastAsia" w:cstheme="minorEastAsia"/>
          <w:b w:val="0"/>
          <w:bCs/>
          <w:i w:val="0"/>
          <w:iCs/>
          <w:color w:val="auto"/>
          <w:sz w:val="24"/>
          <w:szCs w:val="24"/>
          <w:lang w:val="en-US" w:eastAsia="zh-CN"/>
        </w:rPr>
        <w:t>混压</w:t>
      </w:r>
      <w:r>
        <w:rPr>
          <w:rFonts w:hint="eastAsia" w:asciiTheme="minorEastAsia" w:hAnsiTheme="minorEastAsia" w:eastAsiaTheme="minorEastAsia" w:cstheme="minorEastAsia"/>
          <w:b w:val="0"/>
          <w:bCs/>
          <w:i w:val="0"/>
          <w:iCs/>
          <w:color w:val="auto"/>
          <w:sz w:val="24"/>
          <w:szCs w:val="24"/>
        </w:rPr>
        <w:t>四回路钢管杆（上层</w:t>
      </w:r>
      <w:r>
        <w:rPr>
          <w:rFonts w:hint="eastAsia" w:asciiTheme="minorEastAsia" w:hAnsiTheme="minorEastAsia" w:eastAsiaTheme="minorEastAsia" w:cstheme="minorEastAsia"/>
          <w:b w:val="0"/>
          <w:bCs/>
          <w:i w:val="0"/>
          <w:iCs/>
          <w:color w:val="auto"/>
          <w:sz w:val="24"/>
          <w:szCs w:val="24"/>
          <w:lang w:val="en-US" w:eastAsia="zh-CN"/>
        </w:rPr>
        <w:t>2</w:t>
      </w:r>
      <w:r>
        <w:rPr>
          <w:rFonts w:hint="eastAsia" w:asciiTheme="minorEastAsia" w:hAnsiTheme="minorEastAsia" w:eastAsiaTheme="minorEastAsia" w:cstheme="minorEastAsia"/>
          <w:b w:val="0"/>
          <w:bCs/>
          <w:i w:val="0"/>
          <w:iCs/>
          <w:color w:val="auto"/>
          <w:sz w:val="24"/>
          <w:szCs w:val="24"/>
        </w:rPr>
        <w:t>回220kV，下层</w:t>
      </w:r>
      <w:r>
        <w:rPr>
          <w:rFonts w:hint="eastAsia" w:asciiTheme="minorEastAsia" w:hAnsiTheme="minorEastAsia" w:eastAsiaTheme="minorEastAsia" w:cstheme="minorEastAsia"/>
          <w:b w:val="0"/>
          <w:bCs/>
          <w:i w:val="0"/>
          <w:iCs/>
          <w:color w:val="auto"/>
          <w:sz w:val="24"/>
          <w:szCs w:val="24"/>
          <w:lang w:val="en-US" w:eastAsia="zh-CN"/>
        </w:rPr>
        <w:t>2</w:t>
      </w:r>
      <w:r>
        <w:rPr>
          <w:rFonts w:hint="eastAsia" w:asciiTheme="minorEastAsia" w:hAnsiTheme="minorEastAsia" w:eastAsiaTheme="minorEastAsia" w:cstheme="minorEastAsia"/>
          <w:b w:val="0"/>
          <w:bCs/>
          <w:i w:val="0"/>
          <w:iCs/>
          <w:color w:val="auto"/>
          <w:sz w:val="24"/>
          <w:szCs w:val="24"/>
        </w:rPr>
        <w:t>回110kV）四侧挂线段路径长度约</w:t>
      </w:r>
      <w:r>
        <w:rPr>
          <w:rFonts w:hint="eastAsia" w:asciiTheme="minorEastAsia" w:hAnsiTheme="minorEastAsia" w:eastAsiaTheme="minorEastAsia" w:cstheme="minorEastAsia"/>
          <w:b w:val="0"/>
          <w:bCs/>
          <w:i w:val="0"/>
          <w:iCs/>
          <w:color w:val="auto"/>
          <w:sz w:val="24"/>
          <w:szCs w:val="24"/>
          <w:lang w:val="en-US" w:eastAsia="zh-CN"/>
        </w:rPr>
        <w:t>2.1</w:t>
      </w:r>
      <w:r>
        <w:rPr>
          <w:rFonts w:hint="eastAsia" w:asciiTheme="minorEastAsia" w:hAnsiTheme="minorEastAsia" w:eastAsiaTheme="minorEastAsia" w:cstheme="minorEastAsia"/>
          <w:b w:val="0"/>
          <w:bCs/>
          <w:i w:val="0"/>
          <w:iCs/>
          <w:color w:val="auto"/>
          <w:sz w:val="24"/>
          <w:szCs w:val="24"/>
        </w:rPr>
        <w:t>km</w:t>
      </w:r>
      <w:r>
        <w:rPr>
          <w:rFonts w:hint="eastAsia" w:asciiTheme="minorEastAsia" w:hAnsiTheme="minorEastAsia" w:eastAsiaTheme="minorEastAsia" w:cstheme="minorEastAsia"/>
          <w:b w:val="0"/>
          <w:bCs/>
          <w:i w:val="0"/>
          <w:iCs/>
          <w:color w:val="auto"/>
          <w:sz w:val="24"/>
          <w:szCs w:val="24"/>
          <w:lang w:eastAsia="zh-CN"/>
        </w:rPr>
        <w:t>，</w:t>
      </w:r>
      <w:r>
        <w:rPr>
          <w:rFonts w:hint="eastAsia" w:asciiTheme="minorEastAsia" w:hAnsiTheme="minorEastAsia" w:eastAsiaTheme="minorEastAsia" w:cstheme="minorEastAsia"/>
          <w:b w:val="0"/>
          <w:bCs/>
          <w:i w:val="0"/>
          <w:iCs/>
          <w:color w:val="auto"/>
          <w:sz w:val="24"/>
          <w:szCs w:val="24"/>
          <w:lang w:val="en-US" w:eastAsia="zh-CN"/>
        </w:rPr>
        <w:t>220kV</w:t>
      </w:r>
      <w:r>
        <w:rPr>
          <w:rFonts w:hint="eastAsia" w:asciiTheme="minorEastAsia" w:hAnsiTheme="minorEastAsia" w:eastAsiaTheme="minorEastAsia" w:cstheme="minorEastAsia"/>
          <w:b w:val="0"/>
          <w:bCs/>
          <w:i w:val="0"/>
          <w:iCs/>
          <w:color w:val="auto"/>
          <w:sz w:val="24"/>
          <w:szCs w:val="24"/>
        </w:rPr>
        <w:t>电缆段路径长度约</w:t>
      </w:r>
      <w:r>
        <w:rPr>
          <w:rFonts w:hint="eastAsia" w:asciiTheme="minorEastAsia" w:hAnsiTheme="minorEastAsia" w:eastAsiaTheme="minorEastAsia" w:cstheme="minorEastAsia"/>
          <w:b w:val="0"/>
          <w:bCs/>
          <w:i w:val="0"/>
          <w:iCs/>
          <w:color w:val="auto"/>
          <w:sz w:val="24"/>
          <w:szCs w:val="24"/>
          <w:lang w:val="en-US" w:eastAsia="zh-CN"/>
        </w:rPr>
        <w:t>0.25</w:t>
      </w:r>
      <w:r>
        <w:rPr>
          <w:rFonts w:hint="eastAsia" w:asciiTheme="minorEastAsia" w:hAnsiTheme="minorEastAsia" w:eastAsiaTheme="minorEastAsia" w:cstheme="minorEastAsia"/>
          <w:b w:val="0"/>
          <w:bCs/>
          <w:i w:val="0"/>
          <w:iCs/>
          <w:color w:val="auto"/>
          <w:sz w:val="24"/>
          <w:szCs w:val="24"/>
        </w:rPr>
        <w:t>km。220kV架空导线截面</w:t>
      </w:r>
      <w:r>
        <w:rPr>
          <w:rFonts w:hint="eastAsia" w:asciiTheme="minorEastAsia" w:hAnsiTheme="minorEastAsia" w:eastAsiaTheme="minorEastAsia" w:cstheme="minorEastAsia"/>
          <w:b w:val="0"/>
          <w:bCs/>
          <w:i w:val="0"/>
          <w:iCs/>
          <w:color w:val="auto"/>
          <w:sz w:val="24"/>
          <w:szCs w:val="24"/>
          <w:lang w:eastAsia="zh-CN"/>
        </w:rPr>
        <w:t>每相</w:t>
      </w:r>
      <w:r>
        <w:rPr>
          <w:rFonts w:hint="eastAsia" w:asciiTheme="minorEastAsia" w:hAnsiTheme="minorEastAsia" w:eastAsiaTheme="minorEastAsia" w:cstheme="minorEastAsia"/>
          <w:b w:val="0"/>
          <w:bCs/>
          <w:i w:val="0"/>
          <w:iCs/>
          <w:color w:val="auto"/>
          <w:sz w:val="24"/>
          <w:szCs w:val="24"/>
        </w:rPr>
        <w:t>采用2×300mm2，110kV架空导线截面</w:t>
      </w:r>
      <w:r>
        <w:rPr>
          <w:rFonts w:hint="eastAsia" w:asciiTheme="minorEastAsia" w:hAnsiTheme="minorEastAsia" w:eastAsiaTheme="minorEastAsia" w:cstheme="minorEastAsia"/>
          <w:b w:val="0"/>
          <w:bCs/>
          <w:i w:val="0"/>
          <w:iCs/>
          <w:color w:val="auto"/>
          <w:sz w:val="24"/>
          <w:szCs w:val="24"/>
          <w:lang w:eastAsia="zh-CN"/>
        </w:rPr>
        <w:t>每相</w:t>
      </w:r>
      <w:r>
        <w:rPr>
          <w:rFonts w:hint="eastAsia" w:asciiTheme="minorEastAsia" w:hAnsiTheme="minorEastAsia" w:eastAsiaTheme="minorEastAsia" w:cstheme="minorEastAsia"/>
          <w:b w:val="0"/>
          <w:bCs/>
          <w:i w:val="0"/>
          <w:iCs/>
          <w:color w:val="auto"/>
          <w:sz w:val="24"/>
          <w:szCs w:val="24"/>
        </w:rPr>
        <w:t>采用1×300mm2</w:t>
      </w:r>
      <w:r>
        <w:rPr>
          <w:rFonts w:hint="eastAsia" w:asciiTheme="minorEastAsia" w:hAnsiTheme="minorEastAsia" w:eastAsiaTheme="minorEastAsia" w:cstheme="minorEastAsia"/>
          <w:b w:val="0"/>
          <w:bCs/>
          <w:i w:val="0"/>
          <w:iCs/>
          <w:color w:val="auto"/>
          <w:sz w:val="24"/>
          <w:szCs w:val="24"/>
          <w:lang w:eastAsia="zh-CN"/>
        </w:rPr>
        <w:t>，</w:t>
      </w:r>
      <w:r>
        <w:rPr>
          <w:rFonts w:hint="eastAsia" w:asciiTheme="minorEastAsia" w:hAnsiTheme="minorEastAsia" w:eastAsiaTheme="minorEastAsia" w:cstheme="minorEastAsia"/>
          <w:b w:val="0"/>
          <w:bCs/>
          <w:i w:val="0"/>
          <w:iCs/>
          <w:color w:val="auto"/>
          <w:sz w:val="24"/>
          <w:szCs w:val="24"/>
        </w:rPr>
        <w:t>220kV电缆截面</w:t>
      </w:r>
      <w:r>
        <w:rPr>
          <w:rFonts w:hint="eastAsia" w:asciiTheme="minorEastAsia" w:hAnsiTheme="minorEastAsia" w:eastAsiaTheme="minorEastAsia" w:cstheme="minorEastAsia"/>
          <w:b w:val="0"/>
          <w:bCs/>
          <w:i w:val="0"/>
          <w:iCs/>
          <w:color w:val="auto"/>
          <w:sz w:val="24"/>
          <w:szCs w:val="24"/>
          <w:lang w:eastAsia="zh-CN"/>
        </w:rPr>
        <w:t>每相</w:t>
      </w:r>
      <w:r>
        <w:rPr>
          <w:rFonts w:hint="eastAsia" w:asciiTheme="minorEastAsia" w:hAnsiTheme="minorEastAsia" w:eastAsiaTheme="minorEastAsia" w:cstheme="minorEastAsia"/>
          <w:b w:val="0"/>
          <w:bCs/>
          <w:i w:val="0"/>
          <w:iCs/>
          <w:color w:val="auto"/>
          <w:sz w:val="24"/>
          <w:szCs w:val="24"/>
        </w:rPr>
        <w:t>采用1×1600mm2。</w:t>
      </w:r>
    </w:p>
    <w:p>
      <w:pPr>
        <w:spacing w:line="360" w:lineRule="auto"/>
        <w:ind w:firstLine="480" w:firstLineChars="200"/>
        <w:outlineLvl w:val="9"/>
        <w:rPr>
          <w:rFonts w:hint="default" w:asciiTheme="minorEastAsia" w:hAnsiTheme="minorEastAsia" w:eastAsiaTheme="minorEastAsia" w:cstheme="minorEastAsia"/>
          <w:b w:val="0"/>
          <w:bCs/>
          <w:i w:val="0"/>
          <w:iCs/>
          <w:color w:val="auto"/>
          <w:sz w:val="24"/>
          <w:szCs w:val="24"/>
          <w:lang w:val="en-US" w:eastAsia="zh-CN"/>
        </w:rPr>
      </w:pPr>
      <w:r>
        <w:rPr>
          <w:rFonts w:hint="eastAsia" w:asciiTheme="minorEastAsia" w:hAnsiTheme="minorEastAsia" w:eastAsiaTheme="minorEastAsia" w:cstheme="minorEastAsia"/>
          <w:b w:val="0"/>
          <w:bCs/>
          <w:i w:val="0"/>
          <w:iCs/>
          <w:color w:val="auto"/>
          <w:sz w:val="24"/>
          <w:szCs w:val="24"/>
          <w:lang w:val="en-US" w:eastAsia="zh-CN"/>
        </w:rPr>
        <w:t>（2）新建改造</w:t>
      </w:r>
      <w:r>
        <w:rPr>
          <w:rFonts w:hint="eastAsia" w:asciiTheme="minorEastAsia" w:hAnsiTheme="minorEastAsia" w:eastAsiaTheme="minorEastAsia" w:cstheme="minorEastAsia"/>
          <w:b w:val="0"/>
          <w:bCs/>
          <w:i w:val="0"/>
          <w:iCs/>
          <w:color w:val="auto"/>
          <w:sz w:val="24"/>
          <w:szCs w:val="24"/>
          <w:lang w:eastAsia="zh-CN"/>
        </w:rPr>
        <w:t>110kV</w:t>
      </w:r>
      <w:r>
        <w:rPr>
          <w:rFonts w:hint="eastAsia" w:asciiTheme="minorEastAsia" w:hAnsiTheme="minorEastAsia" w:eastAsiaTheme="minorEastAsia" w:cstheme="minorEastAsia"/>
          <w:b w:val="0"/>
          <w:bCs/>
          <w:i w:val="0"/>
          <w:iCs/>
          <w:color w:val="auto"/>
          <w:sz w:val="24"/>
          <w:szCs w:val="24"/>
          <w:lang w:val="en-US" w:eastAsia="zh-CN"/>
        </w:rPr>
        <w:t>单回架空线路路径长度约0.5</w:t>
      </w:r>
      <w:r>
        <w:rPr>
          <w:rFonts w:hint="eastAsia" w:asciiTheme="minorEastAsia" w:hAnsiTheme="minorEastAsia" w:eastAsiaTheme="minorEastAsia" w:cstheme="minorEastAsia"/>
          <w:b w:val="0"/>
          <w:bCs/>
          <w:i w:val="0"/>
          <w:iCs/>
          <w:color w:val="auto"/>
          <w:sz w:val="24"/>
          <w:szCs w:val="24"/>
          <w:lang w:eastAsia="zh-CN"/>
        </w:rPr>
        <w:t>km，</w:t>
      </w:r>
      <w:r>
        <w:rPr>
          <w:rFonts w:hint="eastAsia" w:asciiTheme="minorEastAsia" w:hAnsiTheme="minorEastAsia" w:eastAsiaTheme="minorEastAsia" w:cstheme="minorEastAsia"/>
          <w:b w:val="0"/>
          <w:bCs/>
          <w:i w:val="0"/>
          <w:iCs/>
          <w:color w:val="auto"/>
          <w:sz w:val="24"/>
          <w:szCs w:val="24"/>
          <w:lang w:val="en-US" w:eastAsia="zh-CN"/>
        </w:rPr>
        <w:t>无</w:t>
      </w:r>
      <w:r>
        <w:rPr>
          <w:rFonts w:hint="eastAsia" w:asciiTheme="minorEastAsia" w:hAnsiTheme="minorEastAsia" w:eastAsiaTheme="minorEastAsia" w:cstheme="minorEastAsia"/>
          <w:b w:val="0"/>
          <w:bCs/>
          <w:i w:val="0"/>
          <w:iCs/>
          <w:color w:val="auto"/>
          <w:sz w:val="24"/>
          <w:szCs w:val="24"/>
          <w:lang w:eastAsia="zh-CN"/>
        </w:rPr>
        <w:t>新建</w:t>
      </w:r>
      <w:r>
        <w:rPr>
          <w:rFonts w:hint="eastAsia" w:asciiTheme="minorEastAsia" w:hAnsiTheme="minorEastAsia" w:eastAsiaTheme="minorEastAsia" w:cstheme="minorEastAsia"/>
          <w:b w:val="0"/>
          <w:bCs/>
          <w:i w:val="0"/>
          <w:iCs/>
          <w:color w:val="auto"/>
          <w:sz w:val="24"/>
          <w:szCs w:val="24"/>
          <w:lang w:val="en-US" w:eastAsia="zh-CN"/>
        </w:rPr>
        <w:t>杆塔。利用原已建</w:t>
      </w:r>
      <w:r>
        <w:rPr>
          <w:rFonts w:hint="eastAsia" w:asciiTheme="minorEastAsia" w:hAnsiTheme="minorEastAsia" w:eastAsiaTheme="minorEastAsia" w:cstheme="minorEastAsia"/>
          <w:b w:val="0"/>
          <w:bCs/>
          <w:i w:val="0"/>
          <w:iCs/>
          <w:color w:val="auto"/>
          <w:sz w:val="24"/>
          <w:szCs w:val="24"/>
          <w:lang w:eastAsia="zh-CN"/>
        </w:rPr>
        <w:t>110kV</w:t>
      </w:r>
      <w:r>
        <w:rPr>
          <w:rFonts w:hint="eastAsia" w:asciiTheme="minorEastAsia" w:hAnsiTheme="minorEastAsia" w:eastAsiaTheme="minorEastAsia" w:cstheme="minorEastAsia"/>
          <w:b w:val="0"/>
          <w:bCs/>
          <w:i w:val="0"/>
          <w:iCs/>
          <w:color w:val="auto"/>
          <w:sz w:val="24"/>
          <w:szCs w:val="24"/>
          <w:lang w:val="en-US" w:eastAsia="zh-CN"/>
        </w:rPr>
        <w:t>双回线路导地线重新架线，</w:t>
      </w:r>
      <w:r>
        <w:rPr>
          <w:rFonts w:hint="eastAsia" w:asciiTheme="minorEastAsia" w:hAnsiTheme="minorEastAsia" w:eastAsiaTheme="minorEastAsia" w:cstheme="minorEastAsia"/>
          <w:b w:val="0"/>
          <w:bCs/>
          <w:i w:val="0"/>
          <w:iCs/>
          <w:color w:val="auto"/>
          <w:sz w:val="24"/>
          <w:szCs w:val="24"/>
          <w:lang w:eastAsia="zh-CN"/>
        </w:rPr>
        <w:t>导线截面采用1×</w:t>
      </w:r>
      <w:r>
        <w:rPr>
          <w:rFonts w:hint="eastAsia" w:asciiTheme="minorEastAsia" w:hAnsiTheme="minorEastAsia" w:eastAsiaTheme="minorEastAsia" w:cstheme="minorEastAsia"/>
          <w:b w:val="0"/>
          <w:bCs/>
          <w:i w:val="0"/>
          <w:iCs/>
          <w:color w:val="auto"/>
          <w:sz w:val="24"/>
          <w:szCs w:val="24"/>
          <w:lang w:val="en-US" w:eastAsia="zh-CN"/>
        </w:rPr>
        <w:t>30</w:t>
      </w:r>
      <w:r>
        <w:rPr>
          <w:rFonts w:hint="eastAsia" w:asciiTheme="minorEastAsia" w:hAnsiTheme="minorEastAsia" w:eastAsiaTheme="minorEastAsia" w:cstheme="minorEastAsia"/>
          <w:b w:val="0"/>
          <w:bCs/>
          <w:i w:val="0"/>
          <w:iCs/>
          <w:color w:val="auto"/>
          <w:sz w:val="24"/>
          <w:szCs w:val="24"/>
          <w:lang w:eastAsia="zh-CN"/>
        </w:rPr>
        <w:t>0mm2</w:t>
      </w:r>
      <w:r>
        <w:rPr>
          <w:rFonts w:hint="eastAsia" w:asciiTheme="minorEastAsia" w:hAnsiTheme="minorEastAsia" w:eastAsiaTheme="minorEastAsia" w:cstheme="minorEastAsia"/>
          <w:b w:val="0"/>
          <w:bCs/>
          <w:i w:val="0"/>
          <w:iCs/>
          <w:color w:val="auto"/>
          <w:sz w:val="24"/>
          <w:szCs w:val="24"/>
          <w:lang w:val="en-US" w:eastAsia="zh-CN"/>
        </w:rPr>
        <w:t>。</w:t>
      </w:r>
    </w:p>
    <w:p>
      <w:pPr>
        <w:spacing w:line="360" w:lineRule="auto"/>
        <w:ind w:firstLine="480" w:firstLineChars="200"/>
        <w:outlineLvl w:val="9"/>
        <w:rPr>
          <w:rFonts w:hint="eastAsia" w:asciiTheme="minorEastAsia" w:hAnsiTheme="minorEastAsia" w:eastAsiaTheme="minorEastAsia" w:cstheme="minorEastAsia"/>
          <w:b w:val="0"/>
          <w:bCs/>
          <w:i w:val="0"/>
          <w:iCs/>
          <w:color w:val="auto"/>
          <w:sz w:val="24"/>
          <w:szCs w:val="24"/>
          <w:lang w:val="en-US" w:eastAsia="zh-CN"/>
        </w:rPr>
      </w:pPr>
      <w:r>
        <w:rPr>
          <w:rFonts w:hint="eastAsia" w:asciiTheme="minorEastAsia" w:hAnsiTheme="minorEastAsia" w:eastAsiaTheme="minorEastAsia" w:cstheme="minorEastAsia"/>
          <w:b w:val="0"/>
          <w:bCs/>
          <w:i w:val="0"/>
          <w:iCs/>
          <w:color w:val="auto"/>
          <w:sz w:val="24"/>
          <w:szCs w:val="24"/>
          <w:lang w:val="en-US" w:eastAsia="zh-CN"/>
        </w:rPr>
        <w:t>（3）</w:t>
      </w:r>
      <w:r>
        <w:rPr>
          <w:rFonts w:hint="eastAsia" w:asciiTheme="minorEastAsia" w:hAnsiTheme="minorEastAsia" w:eastAsiaTheme="minorEastAsia" w:cstheme="minorEastAsia"/>
          <w:b w:val="0"/>
          <w:bCs/>
          <w:i w:val="0"/>
          <w:iCs/>
          <w:color w:val="auto"/>
          <w:sz w:val="24"/>
          <w:szCs w:val="24"/>
        </w:rPr>
        <w:t>将已建竹坪～新兴220kV线路</w:t>
      </w:r>
      <w:r>
        <w:rPr>
          <w:rFonts w:hint="eastAsia" w:asciiTheme="minorEastAsia" w:hAnsiTheme="minorEastAsia" w:eastAsiaTheme="minorEastAsia" w:cstheme="minorEastAsia"/>
          <w:b w:val="0"/>
          <w:bCs/>
          <w:i w:val="0"/>
          <w:iCs/>
          <w:color w:val="auto"/>
          <w:sz w:val="24"/>
          <w:szCs w:val="24"/>
          <w:lang w:val="en-US" w:eastAsia="zh-CN"/>
        </w:rPr>
        <w:t>竹坪站构架</w:t>
      </w:r>
      <w:r>
        <w:rPr>
          <w:rFonts w:hint="eastAsia" w:asciiTheme="minorEastAsia" w:hAnsiTheme="minorEastAsia" w:eastAsiaTheme="minorEastAsia" w:cstheme="minorEastAsia"/>
          <w:b w:val="0"/>
          <w:bCs/>
          <w:i w:val="0"/>
          <w:iCs/>
          <w:color w:val="auto"/>
          <w:sz w:val="24"/>
          <w:szCs w:val="24"/>
          <w:lang w:eastAsia="zh-CN"/>
        </w:rPr>
        <w:t>至</w:t>
      </w:r>
      <w:r>
        <w:rPr>
          <w:rFonts w:hint="eastAsia" w:asciiTheme="minorEastAsia" w:hAnsiTheme="minorEastAsia" w:eastAsiaTheme="minorEastAsia" w:cstheme="minorEastAsia"/>
          <w:b w:val="0"/>
          <w:bCs/>
          <w:i w:val="0"/>
          <w:iCs/>
          <w:color w:val="auto"/>
          <w:sz w:val="24"/>
          <w:szCs w:val="24"/>
        </w:rPr>
        <w:t>#</w:t>
      </w:r>
      <w:r>
        <w:rPr>
          <w:rFonts w:hint="eastAsia" w:asciiTheme="minorEastAsia" w:hAnsiTheme="minorEastAsia" w:eastAsiaTheme="minorEastAsia" w:cstheme="minorEastAsia"/>
          <w:b w:val="0"/>
          <w:bCs/>
          <w:i w:val="0"/>
          <w:iCs/>
          <w:color w:val="auto"/>
          <w:sz w:val="24"/>
          <w:szCs w:val="24"/>
          <w:lang w:val="en-US" w:eastAsia="zh-CN"/>
        </w:rPr>
        <w:t>6</w:t>
      </w:r>
      <w:r>
        <w:rPr>
          <w:rFonts w:hint="eastAsia" w:asciiTheme="minorEastAsia" w:hAnsiTheme="minorEastAsia" w:eastAsiaTheme="minorEastAsia" w:cstheme="minorEastAsia"/>
          <w:b w:val="0"/>
          <w:bCs/>
          <w:i w:val="0"/>
          <w:iCs/>
          <w:color w:val="auto"/>
          <w:sz w:val="24"/>
          <w:szCs w:val="24"/>
        </w:rPr>
        <w:t>2塔段1根24芯OPGW</w:t>
      </w:r>
      <w:r>
        <w:rPr>
          <w:rFonts w:hint="eastAsia" w:asciiTheme="minorEastAsia" w:hAnsiTheme="minorEastAsia" w:eastAsiaTheme="minorEastAsia" w:cstheme="minorEastAsia"/>
          <w:b w:val="0"/>
          <w:bCs/>
          <w:i w:val="0"/>
          <w:iCs/>
          <w:color w:val="auto"/>
          <w:sz w:val="24"/>
          <w:szCs w:val="24"/>
          <w:lang w:eastAsia="zh-CN"/>
        </w:rPr>
        <w:t>复合</w:t>
      </w:r>
      <w:r>
        <w:rPr>
          <w:rFonts w:hint="eastAsia" w:asciiTheme="minorEastAsia" w:hAnsiTheme="minorEastAsia" w:eastAsiaTheme="minorEastAsia" w:cstheme="minorEastAsia"/>
          <w:b w:val="0"/>
          <w:bCs/>
          <w:i w:val="0"/>
          <w:iCs/>
          <w:color w:val="auto"/>
          <w:sz w:val="24"/>
          <w:szCs w:val="24"/>
        </w:rPr>
        <w:t>光缆更换</w:t>
      </w:r>
      <w:r>
        <w:rPr>
          <w:rFonts w:hint="eastAsia" w:asciiTheme="minorEastAsia" w:hAnsiTheme="minorEastAsia" w:eastAsiaTheme="minorEastAsia" w:cstheme="minorEastAsia"/>
          <w:b w:val="0"/>
          <w:bCs/>
          <w:i w:val="0"/>
          <w:iCs/>
          <w:color w:val="auto"/>
          <w:sz w:val="24"/>
          <w:szCs w:val="24"/>
          <w:lang w:eastAsia="zh-CN"/>
        </w:rPr>
        <w:t>为</w:t>
      </w:r>
      <w:r>
        <w:rPr>
          <w:rFonts w:hint="eastAsia" w:asciiTheme="minorEastAsia" w:hAnsiTheme="minorEastAsia" w:eastAsiaTheme="minorEastAsia" w:cstheme="minorEastAsia"/>
          <w:b w:val="0"/>
          <w:bCs/>
          <w:i w:val="0"/>
          <w:iCs/>
          <w:color w:val="auto"/>
          <w:sz w:val="24"/>
          <w:szCs w:val="24"/>
          <w:lang w:val="en-US" w:eastAsia="zh-CN"/>
        </w:rPr>
        <w:t>1根</w:t>
      </w:r>
      <w:r>
        <w:rPr>
          <w:rFonts w:hint="eastAsia" w:asciiTheme="minorEastAsia" w:hAnsiTheme="minorEastAsia" w:eastAsiaTheme="minorEastAsia" w:cstheme="minorEastAsia"/>
          <w:b w:val="0"/>
          <w:bCs/>
          <w:i w:val="0"/>
          <w:iCs/>
          <w:color w:val="auto"/>
          <w:sz w:val="24"/>
          <w:szCs w:val="24"/>
        </w:rPr>
        <w:t>48芯OPGW</w:t>
      </w:r>
      <w:r>
        <w:rPr>
          <w:rFonts w:hint="eastAsia" w:asciiTheme="minorEastAsia" w:hAnsiTheme="minorEastAsia" w:eastAsiaTheme="minorEastAsia" w:cstheme="minorEastAsia"/>
          <w:b w:val="0"/>
          <w:bCs/>
          <w:i w:val="0"/>
          <w:iCs/>
          <w:color w:val="auto"/>
          <w:sz w:val="24"/>
          <w:szCs w:val="24"/>
          <w:lang w:eastAsia="zh-CN"/>
        </w:rPr>
        <w:t>复合</w:t>
      </w:r>
      <w:r>
        <w:rPr>
          <w:rFonts w:hint="eastAsia" w:asciiTheme="minorEastAsia" w:hAnsiTheme="minorEastAsia" w:eastAsiaTheme="minorEastAsia" w:cstheme="minorEastAsia"/>
          <w:b w:val="0"/>
          <w:bCs/>
          <w:i w:val="0"/>
          <w:iCs/>
          <w:color w:val="auto"/>
          <w:sz w:val="24"/>
          <w:szCs w:val="24"/>
        </w:rPr>
        <w:t>光缆，</w:t>
      </w:r>
      <w:r>
        <w:rPr>
          <w:rFonts w:hint="eastAsia" w:asciiTheme="minorEastAsia" w:hAnsiTheme="minorEastAsia" w:eastAsiaTheme="minorEastAsia" w:cstheme="minorEastAsia"/>
          <w:b w:val="0"/>
          <w:bCs/>
          <w:i w:val="0"/>
          <w:iCs/>
          <w:color w:val="auto"/>
          <w:sz w:val="24"/>
          <w:szCs w:val="24"/>
          <w:lang w:eastAsia="zh-CN"/>
        </w:rPr>
        <w:t>路径</w:t>
      </w:r>
      <w:r>
        <w:rPr>
          <w:rFonts w:hint="eastAsia" w:asciiTheme="minorEastAsia" w:hAnsiTheme="minorEastAsia" w:eastAsiaTheme="minorEastAsia" w:cstheme="minorEastAsia"/>
          <w:b w:val="0"/>
          <w:bCs/>
          <w:i w:val="0"/>
          <w:iCs/>
          <w:color w:val="auto"/>
          <w:sz w:val="24"/>
          <w:szCs w:val="24"/>
        </w:rPr>
        <w:t>长度约17.0km；将竹坪站内1根24芯导引光缆更换</w:t>
      </w:r>
      <w:r>
        <w:rPr>
          <w:rFonts w:hint="eastAsia" w:asciiTheme="minorEastAsia" w:hAnsiTheme="minorEastAsia" w:eastAsiaTheme="minorEastAsia" w:cstheme="minorEastAsia"/>
          <w:b w:val="0"/>
          <w:bCs/>
          <w:i w:val="0"/>
          <w:iCs/>
          <w:color w:val="auto"/>
          <w:sz w:val="24"/>
          <w:szCs w:val="24"/>
          <w:lang w:eastAsia="zh-CN"/>
        </w:rPr>
        <w:t>为</w:t>
      </w:r>
      <w:r>
        <w:rPr>
          <w:rFonts w:hint="eastAsia" w:asciiTheme="minorEastAsia" w:hAnsiTheme="minorEastAsia" w:eastAsiaTheme="minorEastAsia" w:cstheme="minorEastAsia"/>
          <w:b w:val="0"/>
          <w:bCs/>
          <w:i w:val="0"/>
          <w:iCs/>
          <w:color w:val="auto"/>
          <w:sz w:val="24"/>
          <w:szCs w:val="24"/>
        </w:rPr>
        <w:t>1根48芯</w:t>
      </w:r>
      <w:r>
        <w:rPr>
          <w:rFonts w:hint="eastAsia" w:asciiTheme="minorEastAsia" w:hAnsiTheme="minorEastAsia" w:eastAsiaTheme="minorEastAsia" w:cstheme="minorEastAsia"/>
          <w:b w:val="0"/>
          <w:bCs/>
          <w:i w:val="0"/>
          <w:iCs/>
          <w:color w:val="auto"/>
          <w:sz w:val="24"/>
          <w:szCs w:val="24"/>
          <w:lang w:val="en-US" w:eastAsia="zh-CN"/>
        </w:rPr>
        <w:t>F</w:t>
      </w:r>
      <w:r>
        <w:rPr>
          <w:rFonts w:hint="eastAsia" w:asciiTheme="minorEastAsia" w:hAnsiTheme="minorEastAsia" w:eastAsiaTheme="minorEastAsia" w:cstheme="minorEastAsia"/>
          <w:b w:val="0"/>
          <w:bCs/>
          <w:i w:val="0"/>
          <w:iCs/>
          <w:color w:val="auto"/>
          <w:sz w:val="24"/>
          <w:szCs w:val="24"/>
        </w:rPr>
        <w:t>ADSS</w:t>
      </w:r>
      <w:r>
        <w:rPr>
          <w:rFonts w:hint="eastAsia" w:asciiTheme="minorEastAsia" w:hAnsiTheme="minorEastAsia" w:eastAsiaTheme="minorEastAsia" w:cstheme="minorEastAsia"/>
          <w:b w:val="0"/>
          <w:bCs/>
          <w:i w:val="0"/>
          <w:iCs/>
          <w:color w:val="auto"/>
          <w:sz w:val="24"/>
          <w:szCs w:val="24"/>
          <w:lang w:val="en-US" w:eastAsia="zh-CN"/>
        </w:rPr>
        <w:t>防鼠型</w:t>
      </w:r>
      <w:r>
        <w:rPr>
          <w:rFonts w:hint="eastAsia" w:asciiTheme="minorEastAsia" w:hAnsiTheme="minorEastAsia" w:eastAsiaTheme="minorEastAsia" w:cstheme="minorEastAsia"/>
          <w:b w:val="0"/>
          <w:bCs/>
          <w:i w:val="0"/>
          <w:iCs/>
          <w:color w:val="auto"/>
          <w:sz w:val="24"/>
          <w:szCs w:val="24"/>
        </w:rPr>
        <w:t>光缆</w:t>
      </w:r>
      <w:r>
        <w:rPr>
          <w:rFonts w:hint="eastAsia" w:asciiTheme="minorEastAsia" w:hAnsiTheme="minorEastAsia" w:eastAsiaTheme="minorEastAsia" w:cstheme="minorEastAsia"/>
          <w:b w:val="0"/>
          <w:bCs/>
          <w:i w:val="0"/>
          <w:iCs/>
          <w:color w:val="auto"/>
          <w:sz w:val="24"/>
          <w:szCs w:val="24"/>
          <w:lang w:eastAsia="zh-CN"/>
        </w:rPr>
        <w:t>、路径</w:t>
      </w:r>
      <w:r>
        <w:rPr>
          <w:rFonts w:hint="eastAsia" w:asciiTheme="minorEastAsia" w:hAnsiTheme="minorEastAsia" w:eastAsiaTheme="minorEastAsia" w:cstheme="minorEastAsia"/>
          <w:b w:val="0"/>
          <w:bCs/>
          <w:i w:val="0"/>
          <w:iCs/>
          <w:color w:val="auto"/>
          <w:sz w:val="24"/>
          <w:szCs w:val="24"/>
        </w:rPr>
        <w:t>长度约0.2</w:t>
      </w:r>
      <w:r>
        <w:rPr>
          <w:rFonts w:hint="eastAsia" w:asciiTheme="minorEastAsia" w:hAnsiTheme="minorEastAsia" w:eastAsiaTheme="minorEastAsia" w:cstheme="minorEastAsia"/>
          <w:b w:val="0"/>
          <w:bCs/>
          <w:i w:val="0"/>
          <w:iCs/>
          <w:color w:val="auto"/>
          <w:sz w:val="24"/>
          <w:szCs w:val="24"/>
          <w:lang w:val="en-US" w:eastAsia="zh-CN"/>
        </w:rPr>
        <w:t>5</w:t>
      </w:r>
      <w:r>
        <w:rPr>
          <w:rFonts w:hint="eastAsia" w:asciiTheme="minorEastAsia" w:hAnsiTheme="minorEastAsia" w:eastAsiaTheme="minorEastAsia" w:cstheme="minorEastAsia"/>
          <w:b w:val="0"/>
          <w:bCs/>
          <w:i w:val="0"/>
          <w:iCs/>
          <w:color w:val="auto"/>
          <w:sz w:val="24"/>
          <w:szCs w:val="24"/>
        </w:rPr>
        <w:t>km。</w:t>
      </w:r>
    </w:p>
    <w:p>
      <w:pPr>
        <w:spacing w:line="360" w:lineRule="auto"/>
        <w:ind w:firstLine="482" w:firstLineChars="200"/>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二、</w:t>
      </w:r>
      <w:r>
        <w:rPr>
          <w:rFonts w:hint="eastAsia" w:ascii="宋体" w:hAnsi="宋体" w:eastAsia="宋体" w:cs="宋体"/>
          <w:b/>
          <w:bCs/>
          <w:color w:val="auto"/>
          <w:sz w:val="24"/>
          <w:szCs w:val="24"/>
          <w:highlight w:val="none"/>
        </w:rPr>
        <w:t>采购范围：</w:t>
      </w:r>
    </w:p>
    <w:p>
      <w:pPr>
        <w:pStyle w:val="4"/>
        <w:spacing w:line="360" w:lineRule="auto"/>
        <w:ind w:firstLine="482" w:firstLineChars="200"/>
        <w:rPr>
          <w:rFonts w:asciiTheme="minorEastAsia" w:hAnsiTheme="minorEastAsia" w:eastAsiaTheme="minorEastAsia" w:cstheme="minorEastAsia"/>
          <w:b w:val="0"/>
          <w:bCs/>
          <w:i w:val="0"/>
          <w:iCs/>
          <w:color w:val="auto"/>
          <w:sz w:val="24"/>
          <w:szCs w:val="24"/>
          <w:highlight w:val="none"/>
        </w:rPr>
      </w:pPr>
      <w:r>
        <w:rPr>
          <w:rFonts w:hint="eastAsia" w:asciiTheme="minorEastAsia" w:hAnsiTheme="minorEastAsia" w:eastAsiaTheme="minorEastAsia" w:cstheme="minorEastAsia"/>
          <w:i w:val="0"/>
          <w:iCs/>
          <w:color w:val="auto"/>
          <w:sz w:val="24"/>
          <w:szCs w:val="24"/>
          <w:highlight w:val="none"/>
        </w:rPr>
        <w:t>1、220kV</w:t>
      </w:r>
      <w:r>
        <w:rPr>
          <w:rFonts w:hint="eastAsia" w:asciiTheme="minorEastAsia" w:hAnsiTheme="minorEastAsia" w:eastAsiaTheme="minorEastAsia" w:cstheme="minorEastAsia"/>
          <w:i w:val="0"/>
          <w:iCs/>
          <w:color w:val="auto"/>
          <w:sz w:val="24"/>
          <w:szCs w:val="24"/>
          <w:highlight w:val="none"/>
          <w:lang w:val="en-US" w:eastAsia="zh-CN"/>
        </w:rPr>
        <w:t>航洋</w:t>
      </w:r>
      <w:r>
        <w:rPr>
          <w:rFonts w:hint="eastAsia" w:asciiTheme="minorEastAsia" w:hAnsiTheme="minorEastAsia" w:eastAsiaTheme="minorEastAsia" w:cstheme="minorEastAsia"/>
          <w:i w:val="0"/>
          <w:iCs/>
          <w:color w:val="auto"/>
          <w:sz w:val="24"/>
          <w:szCs w:val="24"/>
          <w:highlight w:val="none"/>
        </w:rPr>
        <w:t>变电站部分：</w:t>
      </w:r>
      <w:r>
        <w:rPr>
          <w:rFonts w:hint="eastAsia" w:asciiTheme="minorEastAsia" w:hAnsiTheme="minorEastAsia" w:eastAsiaTheme="minorEastAsia" w:cstheme="minorEastAsia"/>
          <w:b w:val="0"/>
          <w:bCs/>
          <w:i w:val="0"/>
          <w:iCs/>
          <w:color w:val="auto"/>
          <w:sz w:val="24"/>
          <w:szCs w:val="24"/>
          <w:highlight w:val="none"/>
        </w:rPr>
        <w:t>施工图纸范围内的三通一平、建筑、安装及调试（规程规范及招标前广西电网公司反措要求试验等）工程。包括但不限于：站区绿化、白蚁防治、消防系统、临时施工电源、水源、道路，电子围栏向属地公安局备案，消防报装报验（通过消防验收），</w:t>
      </w:r>
      <w:r>
        <w:rPr>
          <w:rFonts w:hint="eastAsia" w:asciiTheme="minorEastAsia" w:hAnsiTheme="minorEastAsia" w:eastAsiaTheme="minorEastAsia" w:cstheme="minorEastAsia"/>
          <w:b w:val="0"/>
          <w:bCs/>
          <w:i w:val="0"/>
          <w:iCs/>
          <w:color w:val="auto"/>
          <w:sz w:val="24"/>
          <w:szCs w:val="24"/>
          <w:highlight w:val="none"/>
          <w:lang w:val="en-US" w:eastAsia="zh-CN"/>
        </w:rPr>
        <w:t>弃土场租用及弃土外运</w:t>
      </w:r>
      <w:r>
        <w:rPr>
          <w:rFonts w:hint="eastAsia" w:asciiTheme="minorEastAsia" w:hAnsiTheme="minorEastAsia" w:eastAsiaTheme="minorEastAsia" w:cstheme="minorEastAsia"/>
          <w:b w:val="0"/>
          <w:bCs/>
          <w:i w:val="0"/>
          <w:iCs/>
          <w:color w:val="auto"/>
          <w:sz w:val="24"/>
          <w:szCs w:val="24"/>
          <w:highlight w:val="none"/>
        </w:rPr>
        <w:t>，供水接入、排污接口、道路开口、厂家安装调试项目的配合协助工作，施工单位负责整套启动试运及协助相关工作，施工电源、外来电源施工及</w:t>
      </w:r>
      <w:r>
        <w:rPr>
          <w:rFonts w:hint="eastAsia" w:asciiTheme="minorEastAsia" w:hAnsiTheme="minorEastAsia" w:eastAsiaTheme="minorEastAsia" w:cstheme="minorEastAsia"/>
          <w:b w:val="0"/>
          <w:bCs/>
          <w:i w:val="0"/>
          <w:iCs/>
          <w:color w:val="auto"/>
          <w:sz w:val="24"/>
          <w:szCs w:val="24"/>
          <w:highlight w:val="none"/>
          <w:lang w:val="en-US" w:eastAsia="zh-CN"/>
        </w:rPr>
        <w:t>征地拆迁补偿工作服务</w:t>
      </w:r>
      <w:r>
        <w:rPr>
          <w:rFonts w:hint="eastAsia" w:asciiTheme="minorEastAsia" w:hAnsiTheme="minorEastAsia" w:eastAsiaTheme="minorEastAsia" w:cstheme="minorEastAsia"/>
          <w:b w:val="0"/>
          <w:bCs/>
          <w:i w:val="0"/>
          <w:iCs/>
          <w:color w:val="auto"/>
          <w:sz w:val="24"/>
          <w:szCs w:val="24"/>
          <w:highlight w:val="none"/>
        </w:rPr>
        <w:t>，施工临时用地补偿费用，水源水质检测费用，变电站征地范围内、本工程迁改线路、施工电源和外来电源线路走廊范围内的电力及通讯线（含光缆）迁移施工，建筑物、构筑物、旧设备等余物清理，施工资料、设备信息采集等电子化资料移交工作，物资到货验收、卸车保管、二次倒运，拆除设备、材料运输至属地供电局仓库并配合完成相关手续办理。全站电力电缆、控制电缆、网线标志牌制作及悬挂（含厂家部分）；资产录入、固定资产移交办理；林木砍伐证办理（含伐区调查），桩基基础破桩头、磨桩头、以及配合检测开挖；建筑原材料取样和送至甲方确定的检测单位，部分厂家安装调试项目的配合协助工作,配合项目建设厂家、第三方单位进场审批等手续办理，履行现场安全管理职责。</w:t>
      </w:r>
      <w:r>
        <w:rPr>
          <w:rFonts w:hint="eastAsia" w:asciiTheme="minorEastAsia" w:hAnsiTheme="minorEastAsia" w:eastAsiaTheme="minorEastAsia" w:cstheme="minorEastAsia"/>
          <w:b w:val="0"/>
          <w:bCs/>
          <w:i w:val="0"/>
          <w:iCs/>
          <w:color w:val="auto"/>
          <w:sz w:val="24"/>
          <w:szCs w:val="24"/>
          <w:highlight w:val="none"/>
          <w:lang w:eastAsia="zh-CN"/>
        </w:rPr>
        <w:t>工程建设遵守相关市政规定，</w:t>
      </w:r>
      <w:r>
        <w:rPr>
          <w:rFonts w:hint="eastAsia" w:asciiTheme="minorEastAsia" w:hAnsiTheme="minorEastAsia" w:eastAsiaTheme="minorEastAsia" w:cstheme="minorEastAsia"/>
          <w:b w:val="0"/>
          <w:bCs/>
          <w:i w:val="0"/>
          <w:iCs/>
          <w:color w:val="auto"/>
          <w:sz w:val="24"/>
          <w:szCs w:val="24"/>
          <w:highlight w:val="none"/>
        </w:rPr>
        <w:t>通过政府职业健康验收。</w:t>
      </w:r>
    </w:p>
    <w:p>
      <w:pPr>
        <w:pStyle w:val="4"/>
        <w:spacing w:line="360" w:lineRule="auto"/>
        <w:ind w:firstLine="480" w:firstLineChars="200"/>
        <w:rPr>
          <w:rFonts w:asciiTheme="minorEastAsia" w:hAnsiTheme="minorEastAsia" w:eastAsiaTheme="minorEastAsia" w:cstheme="minorEastAsia"/>
          <w:b w:val="0"/>
          <w:bCs/>
          <w:i w:val="0"/>
          <w:iCs/>
          <w:color w:val="auto"/>
          <w:sz w:val="24"/>
          <w:szCs w:val="24"/>
          <w:highlight w:val="none"/>
        </w:rPr>
      </w:pPr>
      <w:r>
        <w:rPr>
          <w:rFonts w:hint="eastAsia" w:asciiTheme="minorEastAsia" w:hAnsiTheme="minorEastAsia" w:eastAsiaTheme="minorEastAsia" w:cstheme="minorEastAsia"/>
          <w:b w:val="0"/>
          <w:bCs/>
          <w:i w:val="0"/>
          <w:iCs/>
          <w:color w:val="auto"/>
          <w:sz w:val="24"/>
          <w:szCs w:val="24"/>
          <w:highlight w:val="none"/>
        </w:rPr>
        <w:t>不包括：土地征用费（含外来电源塔基、进站道路改建段、还建机耕道永久占地补偿等费用），站内设备、设施标志牌购置及其他安健环设施的购置和安装、水土保持补偿费、环境监测及环境保护验收费、水土保持监测及验收费等保测评、智慧工地费用</w:t>
      </w:r>
      <w:r>
        <w:rPr>
          <w:rFonts w:hint="eastAsia" w:asciiTheme="minorEastAsia" w:hAnsiTheme="minorEastAsia" w:eastAsiaTheme="minorEastAsia" w:cstheme="minorEastAsia"/>
          <w:b w:val="0"/>
          <w:bCs/>
          <w:i w:val="0"/>
          <w:iCs/>
          <w:color w:val="auto"/>
          <w:sz w:val="24"/>
          <w:szCs w:val="24"/>
          <w:highlight w:val="none"/>
          <w:lang w:eastAsia="zh-CN"/>
        </w:rPr>
        <w:t>、消防第三方查验</w:t>
      </w:r>
      <w:r>
        <w:rPr>
          <w:rFonts w:hint="eastAsia" w:asciiTheme="minorEastAsia" w:hAnsiTheme="minorEastAsia" w:eastAsiaTheme="minorEastAsia" w:cstheme="minorEastAsia"/>
          <w:b w:val="0"/>
          <w:bCs/>
          <w:i w:val="0"/>
          <w:iCs/>
          <w:color w:val="auto"/>
          <w:sz w:val="24"/>
          <w:szCs w:val="24"/>
          <w:highlight w:val="none"/>
        </w:rPr>
        <w:t>等其他费用，</w:t>
      </w:r>
      <w:r>
        <w:rPr>
          <w:rFonts w:hint="eastAsia" w:asciiTheme="minorEastAsia" w:hAnsiTheme="minorEastAsia" w:eastAsiaTheme="minorEastAsia" w:cstheme="minorEastAsia"/>
          <w:b w:val="0"/>
          <w:bCs/>
          <w:i w:val="0"/>
          <w:iCs/>
          <w:color w:val="auto"/>
          <w:sz w:val="24"/>
          <w:szCs w:val="24"/>
          <w:highlight w:val="none"/>
          <w:lang w:val="en-US" w:eastAsia="zh-CN"/>
        </w:rPr>
        <w:t>耐张线夹</w:t>
      </w:r>
      <w:r>
        <w:rPr>
          <w:rFonts w:hint="eastAsia" w:asciiTheme="minorEastAsia" w:hAnsiTheme="minorEastAsia" w:eastAsiaTheme="minorEastAsia" w:cstheme="minorEastAsia"/>
          <w:b w:val="0"/>
          <w:bCs/>
          <w:i w:val="0"/>
          <w:iCs/>
          <w:color w:val="auto"/>
          <w:sz w:val="24"/>
          <w:szCs w:val="24"/>
          <w:highlight w:val="none"/>
        </w:rPr>
        <w:t>X射检测，工程项目建设单位委托第三方检测机构进行的质量检测，费用不计入投标报价。根据《建设工程质量检测管理办法》的规定，工程项目建设单位委托第三方检测机构进行的质量检测业务包括但不限于以下内容：</w:t>
      </w:r>
    </w:p>
    <w:p>
      <w:pPr>
        <w:pStyle w:val="4"/>
        <w:spacing w:line="360" w:lineRule="auto"/>
        <w:ind w:firstLine="480" w:firstLineChars="200"/>
        <w:rPr>
          <w:rFonts w:asciiTheme="minorEastAsia" w:hAnsiTheme="minorEastAsia" w:eastAsiaTheme="minorEastAsia" w:cstheme="minorEastAsia"/>
          <w:b w:val="0"/>
          <w:bCs/>
          <w:i w:val="0"/>
          <w:iCs/>
          <w:color w:val="auto"/>
          <w:sz w:val="24"/>
          <w:szCs w:val="24"/>
          <w:highlight w:val="none"/>
        </w:rPr>
      </w:pPr>
      <w:r>
        <w:rPr>
          <w:rFonts w:hint="eastAsia" w:asciiTheme="minorEastAsia" w:hAnsiTheme="minorEastAsia" w:eastAsiaTheme="minorEastAsia" w:cstheme="minorEastAsia"/>
          <w:b w:val="0"/>
          <w:bCs/>
          <w:i w:val="0"/>
          <w:iCs/>
          <w:color w:val="auto"/>
          <w:sz w:val="24"/>
          <w:szCs w:val="24"/>
          <w:highlight w:val="none"/>
        </w:rPr>
        <w:t>（1）专项检测</w:t>
      </w:r>
    </w:p>
    <w:p>
      <w:pPr>
        <w:pStyle w:val="4"/>
        <w:spacing w:line="360" w:lineRule="auto"/>
        <w:ind w:firstLine="480" w:firstLineChars="200"/>
        <w:rPr>
          <w:rFonts w:asciiTheme="minorEastAsia" w:hAnsiTheme="minorEastAsia" w:eastAsiaTheme="minorEastAsia" w:cstheme="minorEastAsia"/>
          <w:b w:val="0"/>
          <w:bCs/>
          <w:i w:val="0"/>
          <w:iCs/>
          <w:color w:val="auto"/>
          <w:sz w:val="24"/>
          <w:szCs w:val="24"/>
          <w:highlight w:val="none"/>
        </w:rPr>
      </w:pPr>
      <w:r>
        <w:rPr>
          <w:rFonts w:hint="eastAsia" w:asciiTheme="minorEastAsia" w:hAnsiTheme="minorEastAsia" w:eastAsiaTheme="minorEastAsia" w:cstheme="minorEastAsia"/>
          <w:b w:val="0"/>
          <w:bCs/>
          <w:i w:val="0"/>
          <w:iCs/>
          <w:color w:val="auto"/>
          <w:sz w:val="24"/>
          <w:szCs w:val="24"/>
          <w:highlight w:val="none"/>
          <w:lang w:val="en-US" w:eastAsia="zh-CN"/>
        </w:rPr>
        <w:t>场地土方回填试验（(击实试验、压实度试验）；钢筋混凝土实体监测(钢筋保护层厚度、混凝土强度、尺寸偏差)；桩基础检测(承载力、桩身完整性)；地基承载力检测</w:t>
      </w:r>
      <w:r>
        <w:rPr>
          <w:rFonts w:hint="eastAsia" w:asciiTheme="minorEastAsia" w:hAnsiTheme="minorEastAsia" w:eastAsiaTheme="minorEastAsia" w:cstheme="minorEastAsia"/>
          <w:b w:val="0"/>
          <w:bCs/>
          <w:i w:val="0"/>
          <w:iCs/>
          <w:color w:val="auto"/>
          <w:sz w:val="24"/>
          <w:szCs w:val="24"/>
          <w:highlight w:val="none"/>
        </w:rPr>
        <w:t>；锚杆锁定力检测；因创优质工程需要，对不在国家规程规范监测范围内的建筑、边坡等额外开展的沉降观测。</w:t>
      </w:r>
    </w:p>
    <w:p>
      <w:pPr>
        <w:pStyle w:val="4"/>
        <w:spacing w:line="360" w:lineRule="auto"/>
        <w:ind w:firstLine="480" w:firstLineChars="200"/>
        <w:rPr>
          <w:rFonts w:asciiTheme="minorEastAsia" w:hAnsiTheme="minorEastAsia" w:eastAsiaTheme="minorEastAsia" w:cstheme="minorEastAsia"/>
          <w:b w:val="0"/>
          <w:bCs/>
          <w:i w:val="0"/>
          <w:iCs/>
          <w:color w:val="auto"/>
          <w:sz w:val="24"/>
          <w:szCs w:val="24"/>
          <w:highlight w:val="none"/>
        </w:rPr>
      </w:pPr>
      <w:r>
        <w:rPr>
          <w:rFonts w:hint="eastAsia" w:asciiTheme="minorEastAsia" w:hAnsiTheme="minorEastAsia" w:eastAsiaTheme="minorEastAsia" w:cstheme="minorEastAsia"/>
          <w:b w:val="0"/>
          <w:bCs/>
          <w:i w:val="0"/>
          <w:iCs/>
          <w:color w:val="auto"/>
          <w:sz w:val="24"/>
          <w:szCs w:val="24"/>
          <w:highlight w:val="none"/>
        </w:rPr>
        <w:t>（2）见证取样检测</w:t>
      </w:r>
    </w:p>
    <w:p>
      <w:pPr>
        <w:pStyle w:val="4"/>
        <w:numPr>
          <w:ilvl w:val="0"/>
          <w:numId w:val="0"/>
        </w:numPr>
        <w:spacing w:line="360" w:lineRule="auto"/>
        <w:ind w:firstLine="480" w:firstLineChars="200"/>
        <w:rPr>
          <w:rFonts w:asciiTheme="minorEastAsia" w:hAnsiTheme="minorEastAsia" w:eastAsiaTheme="minorEastAsia" w:cstheme="minorEastAsia"/>
          <w:b w:val="0"/>
          <w:bCs/>
          <w:i w:val="0"/>
          <w:iCs/>
          <w:color w:val="auto"/>
          <w:sz w:val="24"/>
          <w:szCs w:val="24"/>
          <w:highlight w:val="none"/>
        </w:rPr>
      </w:pPr>
      <w:r>
        <w:rPr>
          <w:rFonts w:hint="eastAsia" w:asciiTheme="minorEastAsia" w:hAnsiTheme="minorEastAsia" w:eastAsiaTheme="minorEastAsia" w:cstheme="minorEastAsia"/>
          <w:b w:val="0"/>
          <w:bCs/>
          <w:i w:val="0"/>
          <w:iCs/>
          <w:color w:val="auto"/>
          <w:sz w:val="24"/>
          <w:szCs w:val="24"/>
          <w:highlight w:val="none"/>
          <w:lang w:val="en-US" w:eastAsia="zh-CN"/>
        </w:rPr>
        <w:t>水泥物理力学性能检验；钢筋（含焊接与机械连接）力学性能检验；砂、石常规检验；混凝土、砂浆强度检验。</w:t>
      </w:r>
    </w:p>
    <w:p>
      <w:pPr>
        <w:pStyle w:val="4"/>
        <w:numPr>
          <w:ilvl w:val="0"/>
          <w:numId w:val="0"/>
        </w:numPr>
        <w:spacing w:line="360" w:lineRule="auto"/>
        <w:ind w:firstLine="482" w:firstLineChars="200"/>
        <w:rPr>
          <w:rFonts w:hint="eastAsia" w:asciiTheme="minorEastAsia" w:hAnsiTheme="minorEastAsia" w:eastAsiaTheme="minorEastAsia" w:cstheme="minorEastAsia"/>
          <w:b w:val="0"/>
          <w:bCs/>
          <w:i w:val="0"/>
          <w:iCs/>
          <w:sz w:val="24"/>
          <w:szCs w:val="24"/>
          <w:highlight w:val="none"/>
          <w:lang w:val="en-US" w:eastAsia="zh-CN"/>
        </w:rPr>
      </w:pPr>
      <w:r>
        <w:rPr>
          <w:rFonts w:hint="eastAsia" w:asciiTheme="minorEastAsia" w:hAnsiTheme="minorEastAsia" w:eastAsiaTheme="minorEastAsia" w:cstheme="minorEastAsia"/>
          <w:b/>
          <w:bCs w:val="0"/>
          <w:i w:val="0"/>
          <w:iCs/>
          <w:sz w:val="24"/>
          <w:szCs w:val="24"/>
          <w:highlight w:val="none"/>
          <w:lang w:val="en-US" w:eastAsia="zh-CN"/>
        </w:rPr>
        <w:t>2、间隔扩建变电部分：</w:t>
      </w:r>
      <w:r>
        <w:rPr>
          <w:rFonts w:hint="eastAsia" w:asciiTheme="minorEastAsia" w:hAnsiTheme="minorEastAsia" w:eastAsiaTheme="minorEastAsia" w:cstheme="minorEastAsia"/>
          <w:b w:val="0"/>
          <w:bCs/>
          <w:i w:val="0"/>
          <w:iCs/>
          <w:sz w:val="24"/>
          <w:szCs w:val="24"/>
          <w:highlight w:val="none"/>
          <w:lang w:val="en-US" w:eastAsia="zh-CN"/>
        </w:rPr>
        <w:t>施工图纸范围内的变电建筑、安装及调试工程。包括但不限于：原有设备与变电站工程对应设备的系统联调，设备拆除、搬迁，设备、设施标志牌安装，电缆标志牌更换，五防锁具软件升级采购及接入系统调试，电能计量系统接入，保护信息管理子站系统接入，故障录波修改接入，母线保护名称修改接入、线路间隔接入站内原有电能质量在线监测装置，直流系统及交流不间断电源接入，同步时钟对时系统接入，视频及环境监测系统接入，PMU接入，计算机监控系统完善接入，光通道调试，间隔名调整，保护调试，光纤熔接及光通道调试，设备搬迁，电子化移交数据采集等外业工作，物资到货验收、卸车保管、二次倒运，余物清理，拆除设备、材料运输至属地供电局供电局指定仓库，部分厂家安装调试项目的配合协助工作，整套启动试运的配合协助工作。</w:t>
      </w:r>
      <w:r>
        <w:rPr>
          <w:rFonts w:hint="eastAsia" w:asciiTheme="minorEastAsia" w:hAnsiTheme="minorEastAsia" w:eastAsiaTheme="minorEastAsia" w:cstheme="minorEastAsia"/>
          <w:b w:val="0"/>
          <w:bCs/>
          <w:i w:val="0"/>
          <w:iCs/>
          <w:color w:val="auto"/>
          <w:sz w:val="24"/>
          <w:szCs w:val="24"/>
          <w:highlight w:val="none"/>
          <w:lang w:eastAsia="zh-CN"/>
        </w:rPr>
        <w:t>工程建设遵守相关市政规定。</w:t>
      </w:r>
    </w:p>
    <w:p>
      <w:pPr>
        <w:pStyle w:val="4"/>
        <w:numPr>
          <w:ilvl w:val="0"/>
          <w:numId w:val="0"/>
        </w:numPr>
        <w:spacing w:line="360" w:lineRule="auto"/>
        <w:ind w:firstLine="480" w:firstLineChars="200"/>
        <w:rPr>
          <w:rFonts w:hint="eastAsia" w:asciiTheme="minorEastAsia" w:hAnsiTheme="minorEastAsia" w:eastAsiaTheme="minorEastAsia" w:cstheme="minorEastAsia"/>
          <w:b w:val="0"/>
          <w:bCs/>
          <w:i w:val="0"/>
          <w:iCs/>
          <w:sz w:val="24"/>
          <w:szCs w:val="24"/>
          <w:highlight w:val="none"/>
          <w:lang w:val="en-US" w:eastAsia="zh-CN"/>
        </w:rPr>
      </w:pPr>
      <w:r>
        <w:rPr>
          <w:rFonts w:hint="eastAsia" w:asciiTheme="minorEastAsia" w:hAnsiTheme="minorEastAsia" w:eastAsiaTheme="minorEastAsia" w:cstheme="minorEastAsia"/>
          <w:b w:val="0"/>
          <w:bCs/>
          <w:i w:val="0"/>
          <w:iCs/>
          <w:sz w:val="24"/>
          <w:szCs w:val="24"/>
          <w:highlight w:val="none"/>
          <w:lang w:val="en-US" w:eastAsia="zh-CN"/>
        </w:rPr>
        <w:t>不包括：土地征用费（如有），设备、设施标志牌购置及其他安健环设施的购置和安装、水土保持补偿费、环境监测及环境保护验收费、水土保持监测及验收费、智慧工地费用等其他费用。工程项目建设单位委托第三方检测机构进行的质量检测，费用不计入投标报价。根据《建设工程质量检测管理办法》的规定，工程项目建设单位委托第三方检测机构进行的质量检测业务包括但不限于以下内容：</w:t>
      </w:r>
    </w:p>
    <w:p>
      <w:pPr>
        <w:pStyle w:val="4"/>
        <w:numPr>
          <w:ilvl w:val="0"/>
          <w:numId w:val="0"/>
        </w:numPr>
        <w:spacing w:line="360" w:lineRule="auto"/>
        <w:ind w:firstLine="480" w:firstLineChars="200"/>
        <w:rPr>
          <w:rFonts w:hint="eastAsia" w:asciiTheme="minorEastAsia" w:hAnsiTheme="minorEastAsia" w:eastAsiaTheme="minorEastAsia" w:cstheme="minorEastAsia"/>
          <w:b w:val="0"/>
          <w:bCs/>
          <w:i w:val="0"/>
          <w:iCs/>
          <w:sz w:val="24"/>
          <w:szCs w:val="24"/>
          <w:highlight w:val="none"/>
          <w:lang w:val="en-US" w:eastAsia="zh-CN"/>
        </w:rPr>
      </w:pPr>
      <w:r>
        <w:rPr>
          <w:rFonts w:hint="eastAsia" w:asciiTheme="minorEastAsia" w:hAnsiTheme="minorEastAsia" w:eastAsiaTheme="minorEastAsia" w:cstheme="minorEastAsia"/>
          <w:b w:val="0"/>
          <w:bCs/>
          <w:i w:val="0"/>
          <w:iCs/>
          <w:sz w:val="24"/>
          <w:szCs w:val="24"/>
          <w:highlight w:val="none"/>
          <w:lang w:val="en-US" w:eastAsia="zh-CN"/>
        </w:rPr>
        <w:t>（1）专项检测</w:t>
      </w:r>
    </w:p>
    <w:p>
      <w:pPr>
        <w:pStyle w:val="4"/>
        <w:numPr>
          <w:ilvl w:val="0"/>
          <w:numId w:val="0"/>
        </w:numPr>
        <w:spacing w:line="360" w:lineRule="auto"/>
        <w:ind w:firstLine="480" w:firstLineChars="200"/>
        <w:rPr>
          <w:rFonts w:hint="eastAsia" w:asciiTheme="minorEastAsia" w:hAnsiTheme="minorEastAsia" w:eastAsiaTheme="minorEastAsia" w:cstheme="minorEastAsia"/>
          <w:b w:val="0"/>
          <w:bCs/>
          <w:i w:val="0"/>
          <w:iCs/>
          <w:sz w:val="24"/>
          <w:szCs w:val="24"/>
          <w:highlight w:val="none"/>
          <w:lang w:val="en-US" w:eastAsia="zh-CN"/>
        </w:rPr>
      </w:pPr>
      <w:r>
        <w:rPr>
          <w:rFonts w:hint="eastAsia" w:asciiTheme="minorEastAsia" w:hAnsiTheme="minorEastAsia" w:eastAsiaTheme="minorEastAsia" w:cstheme="minorEastAsia"/>
          <w:b w:val="0"/>
          <w:bCs/>
          <w:i w:val="0"/>
          <w:iCs/>
          <w:sz w:val="24"/>
          <w:szCs w:val="24"/>
          <w:highlight w:val="none"/>
          <w:lang w:val="en-US" w:eastAsia="zh-CN"/>
        </w:rPr>
        <w:t>场地土方回填试验（(击实试验、压实度试验）；钢筋混凝土实体监测(钢筋保护层厚度、混凝土强度、尺寸偏差)；桩基础检测(承载力、桩身完整性)；地基承载力检测；锚杆锁定力检测；因创优质工程需要，对不在国家规程规范监测范围内的建筑、边坡等额外开展的沉降观测。</w:t>
      </w:r>
    </w:p>
    <w:p>
      <w:pPr>
        <w:pStyle w:val="4"/>
        <w:numPr>
          <w:ilvl w:val="0"/>
          <w:numId w:val="0"/>
        </w:numPr>
        <w:spacing w:line="360" w:lineRule="auto"/>
        <w:ind w:firstLine="480" w:firstLineChars="200"/>
        <w:rPr>
          <w:rFonts w:hint="eastAsia" w:asciiTheme="minorEastAsia" w:hAnsiTheme="minorEastAsia" w:eastAsiaTheme="minorEastAsia" w:cstheme="minorEastAsia"/>
          <w:b w:val="0"/>
          <w:bCs/>
          <w:i w:val="0"/>
          <w:iCs/>
          <w:sz w:val="24"/>
          <w:szCs w:val="24"/>
          <w:highlight w:val="none"/>
          <w:lang w:val="en-US" w:eastAsia="zh-CN"/>
        </w:rPr>
      </w:pPr>
      <w:r>
        <w:rPr>
          <w:rFonts w:hint="eastAsia" w:asciiTheme="minorEastAsia" w:hAnsiTheme="minorEastAsia" w:eastAsiaTheme="minorEastAsia" w:cstheme="minorEastAsia"/>
          <w:b w:val="0"/>
          <w:bCs/>
          <w:i w:val="0"/>
          <w:iCs/>
          <w:sz w:val="24"/>
          <w:szCs w:val="24"/>
          <w:highlight w:val="none"/>
          <w:lang w:val="en-US" w:eastAsia="zh-CN"/>
        </w:rPr>
        <w:t>（2）见证取样检测</w:t>
      </w:r>
    </w:p>
    <w:p>
      <w:pPr>
        <w:pStyle w:val="4"/>
        <w:numPr>
          <w:ilvl w:val="0"/>
          <w:numId w:val="0"/>
        </w:numPr>
        <w:spacing w:line="360" w:lineRule="auto"/>
        <w:ind w:firstLine="480" w:firstLineChars="200"/>
        <w:rPr>
          <w:rFonts w:hint="eastAsia" w:asciiTheme="minorEastAsia" w:hAnsiTheme="minorEastAsia" w:eastAsiaTheme="minorEastAsia" w:cstheme="minorEastAsia"/>
          <w:b w:val="0"/>
          <w:bCs/>
          <w:i w:val="0"/>
          <w:iCs/>
          <w:sz w:val="24"/>
          <w:szCs w:val="24"/>
          <w:highlight w:val="none"/>
          <w:lang w:val="en-US" w:eastAsia="zh-CN"/>
        </w:rPr>
      </w:pPr>
      <w:r>
        <w:rPr>
          <w:rFonts w:hint="eastAsia" w:asciiTheme="minorEastAsia" w:hAnsiTheme="minorEastAsia" w:eastAsiaTheme="minorEastAsia" w:cstheme="minorEastAsia"/>
          <w:b w:val="0"/>
          <w:bCs/>
          <w:i w:val="0"/>
          <w:iCs/>
          <w:sz w:val="24"/>
          <w:szCs w:val="24"/>
          <w:highlight w:val="none"/>
          <w:lang w:val="en-US" w:eastAsia="zh-CN"/>
        </w:rPr>
        <w:t>水泥物理力学性能检验；钢筋（含焊接与机械连接）力学性能检验；砂、石常规检验；混凝土、砂浆强度检验。</w:t>
      </w:r>
    </w:p>
    <w:p>
      <w:pPr>
        <w:pStyle w:val="4"/>
        <w:numPr>
          <w:ilvl w:val="0"/>
          <w:numId w:val="2"/>
        </w:numPr>
        <w:spacing w:line="360" w:lineRule="auto"/>
        <w:ind w:firstLine="482" w:firstLineChars="200"/>
        <w:rPr>
          <w:rFonts w:hint="eastAsia" w:ascii="宋体" w:hAnsi="宋体" w:cs="宋体"/>
          <w:b/>
          <w:bCs w:val="0"/>
          <w:i w:val="0"/>
          <w:iCs/>
          <w:color w:val="auto"/>
          <w:sz w:val="24"/>
          <w:szCs w:val="24"/>
          <w:highlight w:val="none"/>
          <w:lang w:val="en-US" w:eastAsia="zh-CN"/>
        </w:rPr>
      </w:pPr>
      <w:r>
        <w:rPr>
          <w:rFonts w:hint="eastAsia" w:ascii="宋体" w:hAnsi="宋体" w:cs="宋体"/>
          <w:b/>
          <w:bCs w:val="0"/>
          <w:i w:val="0"/>
          <w:iCs/>
          <w:color w:val="auto"/>
          <w:sz w:val="24"/>
          <w:szCs w:val="24"/>
          <w:highlight w:val="none"/>
          <w:lang w:val="en-US" w:eastAsia="zh-CN"/>
        </w:rPr>
        <w:t>线路工程</w:t>
      </w:r>
    </w:p>
    <w:p>
      <w:pPr>
        <w:pStyle w:val="4"/>
        <w:numPr>
          <w:ilvl w:val="0"/>
          <w:numId w:val="0"/>
        </w:numPr>
        <w:spacing w:line="360" w:lineRule="auto"/>
        <w:ind w:firstLine="482" w:firstLineChars="200"/>
        <w:rPr>
          <w:rFonts w:hint="eastAsia" w:ascii="宋体" w:hAnsi="宋体" w:eastAsia="宋体" w:cs="宋体"/>
          <w:b/>
          <w:bCs w:val="0"/>
          <w:i w:val="0"/>
          <w:iCs/>
          <w:color w:val="auto"/>
          <w:sz w:val="24"/>
          <w:szCs w:val="24"/>
          <w:highlight w:val="none"/>
          <w:lang w:val="en-US" w:eastAsia="zh-CN"/>
        </w:rPr>
      </w:pPr>
      <w:r>
        <w:rPr>
          <w:rFonts w:hint="eastAsia" w:ascii="宋体" w:hAnsi="宋体" w:cs="宋体"/>
          <w:b/>
          <w:bCs w:val="0"/>
          <w:i w:val="0"/>
          <w:iCs/>
          <w:color w:val="auto"/>
          <w:sz w:val="24"/>
          <w:szCs w:val="24"/>
          <w:highlight w:val="none"/>
          <w:lang w:val="en-US" w:eastAsia="zh-CN"/>
        </w:rPr>
        <w:t xml:space="preserve">3.1 </w:t>
      </w:r>
      <w:r>
        <w:rPr>
          <w:rFonts w:hint="eastAsia" w:ascii="宋体" w:hAnsi="宋体" w:eastAsia="宋体" w:cs="宋体"/>
          <w:b/>
          <w:bCs w:val="0"/>
          <w:i w:val="0"/>
          <w:iCs/>
          <w:color w:val="auto"/>
          <w:sz w:val="24"/>
          <w:szCs w:val="24"/>
          <w:highlight w:val="none"/>
          <w:lang w:val="en-US" w:eastAsia="zh-CN"/>
        </w:rPr>
        <w:t>架空线路部分：</w:t>
      </w:r>
    </w:p>
    <w:p>
      <w:pPr>
        <w:spacing w:line="360" w:lineRule="auto"/>
        <w:ind w:firstLine="480" w:firstLineChars="200"/>
        <w:outlineLvl w:val="9"/>
        <w:rPr>
          <w:rFonts w:hint="eastAsia" w:asciiTheme="minorEastAsia" w:hAnsiTheme="minorEastAsia" w:eastAsiaTheme="minorEastAsia" w:cstheme="minorEastAsia"/>
          <w:b w:val="0"/>
          <w:bCs/>
          <w:i w:val="0"/>
          <w:iCs/>
          <w:color w:val="auto"/>
          <w:sz w:val="24"/>
          <w:szCs w:val="24"/>
          <w:highlight w:val="none"/>
        </w:rPr>
      </w:pPr>
      <w:r>
        <w:rPr>
          <w:rFonts w:hint="eastAsia" w:asciiTheme="minorEastAsia" w:hAnsiTheme="minorEastAsia" w:eastAsiaTheme="minorEastAsia" w:cstheme="minorEastAsia"/>
          <w:b w:val="0"/>
          <w:bCs/>
          <w:i w:val="0"/>
          <w:iCs/>
          <w:color w:val="auto"/>
          <w:sz w:val="24"/>
          <w:szCs w:val="24"/>
          <w:highlight w:val="none"/>
        </w:rPr>
        <w:t>施工图纸范围内的架空送电线路安装、调试工程。包括但不限于：线路本体工程、</w:t>
      </w:r>
      <w:r>
        <w:rPr>
          <w:rFonts w:hint="eastAsia" w:asciiTheme="minorEastAsia" w:hAnsiTheme="minorEastAsia" w:eastAsiaTheme="minorEastAsia" w:cstheme="minorEastAsia"/>
          <w:b w:val="0"/>
          <w:bCs/>
          <w:i w:val="0"/>
          <w:iCs/>
          <w:color w:val="auto"/>
          <w:sz w:val="24"/>
          <w:szCs w:val="24"/>
          <w:highlight w:val="none"/>
          <w:lang w:val="en-US" w:eastAsia="zh-CN"/>
        </w:rPr>
        <w:t>旧线路停电改接</w:t>
      </w:r>
      <w:r>
        <w:rPr>
          <w:rFonts w:hint="eastAsia" w:asciiTheme="minorEastAsia" w:hAnsiTheme="minorEastAsia" w:eastAsiaTheme="minorEastAsia" w:cstheme="minorEastAsia"/>
          <w:b w:val="0"/>
          <w:bCs/>
          <w:i w:val="0"/>
          <w:iCs/>
          <w:color w:val="auto"/>
          <w:sz w:val="24"/>
          <w:szCs w:val="24"/>
          <w:highlight w:val="none"/>
        </w:rPr>
        <w:t>、旧线路导线和地线弧垂调整、辅助施工费用、跨越及河流封航、</w:t>
      </w:r>
      <w:r>
        <w:rPr>
          <w:rFonts w:hint="eastAsia" w:asciiTheme="minorEastAsia" w:hAnsiTheme="minorEastAsia" w:eastAsiaTheme="minorEastAsia" w:cstheme="minorEastAsia"/>
          <w:b w:val="0"/>
          <w:bCs/>
          <w:i w:val="0"/>
          <w:iCs/>
          <w:color w:val="auto"/>
          <w:sz w:val="24"/>
          <w:szCs w:val="24"/>
          <w:highlight w:val="none"/>
          <w:lang w:eastAsia="zh-CN"/>
        </w:rPr>
        <w:t>铁路、</w:t>
      </w:r>
      <w:r>
        <w:rPr>
          <w:rFonts w:hint="eastAsia" w:asciiTheme="minorEastAsia" w:hAnsiTheme="minorEastAsia" w:eastAsiaTheme="minorEastAsia" w:cstheme="minorEastAsia"/>
          <w:b w:val="0"/>
          <w:bCs/>
          <w:i w:val="0"/>
          <w:iCs/>
          <w:color w:val="auto"/>
          <w:sz w:val="24"/>
          <w:szCs w:val="24"/>
          <w:highlight w:val="none"/>
        </w:rPr>
        <w:t>公路、电力线</w:t>
      </w:r>
      <w:r>
        <w:rPr>
          <w:rFonts w:hint="eastAsia" w:asciiTheme="minorEastAsia" w:hAnsiTheme="minorEastAsia" w:eastAsiaTheme="minorEastAsia" w:cstheme="minorEastAsia"/>
          <w:b w:val="0"/>
          <w:bCs/>
          <w:i w:val="0"/>
          <w:iCs/>
          <w:color w:val="auto"/>
          <w:sz w:val="24"/>
          <w:szCs w:val="24"/>
          <w:highlight w:val="none"/>
          <w:lang w:eastAsia="zh-CN"/>
        </w:rPr>
        <w:t>、红树林保护区</w:t>
      </w:r>
      <w:r>
        <w:rPr>
          <w:rFonts w:hint="eastAsia" w:asciiTheme="minorEastAsia" w:hAnsiTheme="minorEastAsia" w:eastAsiaTheme="minorEastAsia" w:cstheme="minorEastAsia"/>
          <w:b w:val="0"/>
          <w:bCs/>
          <w:i w:val="0"/>
          <w:iCs/>
          <w:color w:val="auto"/>
          <w:sz w:val="24"/>
          <w:szCs w:val="24"/>
          <w:highlight w:val="none"/>
        </w:rPr>
        <w:t>等各种跨越工程及其建设许可报批（含安全评估），OPGW光缆架设（含光纤架设、光缆现场单盘开箱检验、金具及附件现场开箱检验、光缆单盘测试、光缆架设、导引（管道）光缆安装、光纤接头标识、光缆熔接、光缆接续及测量、光缆全程接续点单向衰耗测试、光缆全程接续点双向平均衰耗测试等），杆塔五牌（杆号牌、相序牌、警示牌、光缆牌、直升机巡视牌）安装，杆塔双回路色标牌安装，运行杆号、警示标志喷漆，旧</w:t>
      </w:r>
      <w:r>
        <w:rPr>
          <w:rFonts w:hint="eastAsia" w:asciiTheme="minorEastAsia" w:hAnsiTheme="minorEastAsia" w:eastAsiaTheme="minorEastAsia" w:cstheme="minorEastAsia"/>
          <w:b w:val="0"/>
          <w:bCs/>
          <w:i w:val="0"/>
          <w:iCs/>
          <w:color w:val="auto"/>
          <w:sz w:val="24"/>
          <w:szCs w:val="24"/>
          <w:highlight w:val="none"/>
          <w:lang w:eastAsia="zh-CN"/>
        </w:rPr>
        <w:t>线路杆塔</w:t>
      </w:r>
      <w:r>
        <w:rPr>
          <w:rFonts w:hint="eastAsia" w:asciiTheme="minorEastAsia" w:hAnsiTheme="minorEastAsia" w:eastAsiaTheme="minorEastAsia" w:cstheme="minorEastAsia"/>
          <w:b w:val="0"/>
          <w:bCs/>
          <w:i w:val="0"/>
          <w:iCs/>
          <w:color w:val="auto"/>
          <w:sz w:val="24"/>
          <w:szCs w:val="24"/>
          <w:highlight w:val="none"/>
        </w:rPr>
        <w:t>牌采购及安装</w:t>
      </w:r>
      <w:r>
        <w:rPr>
          <w:rFonts w:hint="eastAsia" w:asciiTheme="minorEastAsia" w:hAnsiTheme="minorEastAsia" w:eastAsiaTheme="minorEastAsia" w:cstheme="minorEastAsia"/>
          <w:b w:val="0"/>
          <w:bCs/>
          <w:i w:val="0"/>
          <w:iCs/>
          <w:color w:val="auto"/>
          <w:sz w:val="24"/>
          <w:szCs w:val="24"/>
          <w:highlight w:val="none"/>
          <w:lang w:eastAsia="zh-CN"/>
        </w:rPr>
        <w:t>，</w:t>
      </w:r>
      <w:r>
        <w:rPr>
          <w:rFonts w:hint="eastAsia" w:asciiTheme="minorEastAsia" w:hAnsiTheme="minorEastAsia" w:eastAsiaTheme="minorEastAsia" w:cstheme="minorEastAsia"/>
          <w:b w:val="0"/>
          <w:bCs/>
          <w:i w:val="0"/>
          <w:iCs/>
          <w:color w:val="auto"/>
          <w:sz w:val="24"/>
          <w:szCs w:val="24"/>
          <w:highlight w:val="none"/>
          <w:lang w:val="en-US" w:eastAsia="zh-CN"/>
        </w:rPr>
        <w:t>电缆安健环，</w:t>
      </w:r>
      <w:r>
        <w:rPr>
          <w:rFonts w:hint="eastAsia" w:asciiTheme="minorEastAsia" w:hAnsiTheme="minorEastAsia" w:eastAsiaTheme="minorEastAsia" w:cstheme="minorEastAsia"/>
          <w:b w:val="0"/>
          <w:bCs/>
          <w:i w:val="0"/>
          <w:iCs/>
          <w:color w:val="auto"/>
          <w:sz w:val="24"/>
          <w:szCs w:val="24"/>
          <w:highlight w:val="none"/>
        </w:rPr>
        <w:t>辅助施工费用，施工道路修筑（考虑桩基进场），各种跨越工程手续办理，电力线、通信线迁移</w:t>
      </w:r>
      <w:r>
        <w:rPr>
          <w:rFonts w:hint="eastAsia" w:asciiTheme="minorEastAsia" w:hAnsiTheme="minorEastAsia" w:eastAsiaTheme="minorEastAsia" w:cstheme="minorEastAsia"/>
          <w:b w:val="0"/>
          <w:bCs/>
          <w:i w:val="0"/>
          <w:iCs/>
          <w:color w:val="auto"/>
          <w:sz w:val="24"/>
          <w:szCs w:val="24"/>
          <w:highlight w:val="none"/>
          <w:lang w:eastAsia="zh-CN"/>
        </w:rPr>
        <w:t>、通信基站搬迁</w:t>
      </w:r>
      <w:r>
        <w:rPr>
          <w:rFonts w:hint="eastAsia" w:asciiTheme="minorEastAsia" w:hAnsiTheme="minorEastAsia" w:eastAsiaTheme="minorEastAsia" w:cstheme="minorEastAsia"/>
          <w:b w:val="0"/>
          <w:bCs/>
          <w:i w:val="0"/>
          <w:iCs/>
          <w:color w:val="auto"/>
          <w:sz w:val="24"/>
          <w:szCs w:val="24"/>
          <w:highlight w:val="none"/>
        </w:rPr>
        <w:t>，市政管道迁改</w:t>
      </w:r>
      <w:r>
        <w:rPr>
          <w:rFonts w:hint="eastAsia" w:asciiTheme="minorEastAsia" w:hAnsiTheme="minorEastAsia" w:eastAsiaTheme="minorEastAsia" w:cstheme="minorEastAsia"/>
          <w:b w:val="0"/>
          <w:bCs/>
          <w:i w:val="0"/>
          <w:iCs/>
          <w:color w:val="auto"/>
          <w:sz w:val="24"/>
          <w:szCs w:val="24"/>
          <w:highlight w:val="none"/>
          <w:lang w:eastAsia="zh-CN"/>
        </w:rPr>
        <w:t>，</w:t>
      </w:r>
      <w:r>
        <w:rPr>
          <w:rFonts w:hint="eastAsia" w:asciiTheme="minorEastAsia" w:hAnsiTheme="minorEastAsia" w:eastAsiaTheme="minorEastAsia" w:cstheme="minorEastAsia"/>
          <w:b w:val="0"/>
          <w:bCs/>
          <w:i w:val="0"/>
          <w:iCs/>
          <w:color w:val="auto"/>
          <w:sz w:val="24"/>
          <w:szCs w:val="24"/>
          <w:highlight w:val="none"/>
        </w:rPr>
        <w:t>拆除</w:t>
      </w:r>
      <w:r>
        <w:rPr>
          <w:rFonts w:hint="eastAsia" w:asciiTheme="minorEastAsia" w:hAnsiTheme="minorEastAsia" w:eastAsiaTheme="minorEastAsia" w:cstheme="minorEastAsia"/>
          <w:b w:val="0"/>
          <w:bCs/>
          <w:i w:val="0"/>
          <w:iCs/>
          <w:color w:val="auto"/>
          <w:sz w:val="24"/>
          <w:szCs w:val="24"/>
          <w:highlight w:val="none"/>
          <w:lang w:eastAsia="zh-CN"/>
        </w:rPr>
        <w:t>改接</w:t>
      </w:r>
      <w:r>
        <w:rPr>
          <w:rFonts w:hint="eastAsia" w:asciiTheme="minorEastAsia" w:hAnsiTheme="minorEastAsia" w:eastAsiaTheme="minorEastAsia" w:cstheme="minorEastAsia"/>
          <w:b w:val="0"/>
          <w:bCs/>
          <w:i w:val="0"/>
          <w:iCs/>
          <w:color w:val="auto"/>
          <w:sz w:val="24"/>
          <w:szCs w:val="24"/>
          <w:highlight w:val="none"/>
        </w:rPr>
        <w:t>原线路余物清理（包括工程拆除及清理），拆除物资运回</w:t>
      </w:r>
      <w:r>
        <w:rPr>
          <w:rFonts w:hint="eastAsia" w:asciiTheme="minorEastAsia" w:hAnsiTheme="minorEastAsia" w:eastAsiaTheme="minorEastAsia" w:cstheme="minorEastAsia"/>
          <w:b w:val="0"/>
          <w:bCs/>
          <w:i w:val="0"/>
          <w:iCs/>
          <w:color w:val="auto"/>
          <w:sz w:val="24"/>
          <w:szCs w:val="24"/>
          <w:highlight w:val="none"/>
          <w:lang w:eastAsia="zh-CN"/>
        </w:rPr>
        <w:t>属地</w:t>
      </w:r>
      <w:r>
        <w:rPr>
          <w:rFonts w:hint="eastAsia" w:asciiTheme="minorEastAsia" w:hAnsiTheme="minorEastAsia" w:eastAsiaTheme="minorEastAsia" w:cstheme="minorEastAsia"/>
          <w:b w:val="0"/>
          <w:bCs/>
          <w:i w:val="0"/>
          <w:iCs/>
          <w:color w:val="auto"/>
          <w:sz w:val="24"/>
          <w:szCs w:val="24"/>
          <w:highlight w:val="none"/>
        </w:rPr>
        <w:t>供电局仓库；负责导、地线拉力试验；配合建设单位X光检测等各项检测，按建设单位要求见证取样、其他检测送至甲方委托检测单位；附属设施安装（包括：综合在线监测装置、分布式故障定位系统、电缆</w:t>
      </w:r>
      <w:r>
        <w:rPr>
          <w:rFonts w:hint="eastAsia" w:asciiTheme="minorEastAsia" w:hAnsiTheme="minorEastAsia" w:eastAsiaTheme="minorEastAsia" w:cstheme="minorEastAsia"/>
          <w:b w:val="0"/>
          <w:bCs/>
          <w:i w:val="0"/>
          <w:iCs/>
          <w:color w:val="auto"/>
          <w:sz w:val="24"/>
          <w:szCs w:val="24"/>
          <w:highlight w:val="none"/>
          <w:lang w:eastAsia="zh-CN"/>
        </w:rPr>
        <w:t>环流在线监测装置、</w:t>
      </w:r>
      <w:r>
        <w:rPr>
          <w:rFonts w:hint="eastAsia" w:asciiTheme="minorEastAsia" w:hAnsiTheme="minorEastAsia" w:eastAsiaTheme="minorEastAsia" w:cstheme="minorEastAsia"/>
          <w:b w:val="0"/>
          <w:bCs/>
          <w:i w:val="0"/>
          <w:iCs/>
          <w:color w:val="auto"/>
          <w:sz w:val="24"/>
          <w:szCs w:val="24"/>
          <w:highlight w:val="none"/>
        </w:rPr>
        <w:t>电缆</w:t>
      </w:r>
      <w:r>
        <w:rPr>
          <w:rFonts w:hint="eastAsia" w:asciiTheme="minorEastAsia" w:hAnsiTheme="minorEastAsia" w:eastAsiaTheme="minorEastAsia" w:cstheme="minorEastAsia"/>
          <w:b w:val="0"/>
          <w:bCs/>
          <w:i w:val="0"/>
          <w:iCs/>
          <w:color w:val="auto"/>
          <w:sz w:val="24"/>
          <w:szCs w:val="24"/>
          <w:highlight w:val="none"/>
          <w:lang w:eastAsia="zh-CN"/>
        </w:rPr>
        <w:t>分布式光纤测温装置、</w:t>
      </w:r>
      <w:r>
        <w:rPr>
          <w:rFonts w:hint="eastAsia" w:asciiTheme="minorEastAsia" w:hAnsiTheme="minorEastAsia" w:eastAsiaTheme="minorEastAsia" w:cstheme="minorEastAsia"/>
          <w:b w:val="0"/>
          <w:bCs/>
          <w:i w:val="0"/>
          <w:iCs/>
          <w:color w:val="auto"/>
          <w:sz w:val="24"/>
          <w:szCs w:val="24"/>
          <w:highlight w:val="none"/>
          <w:lang w:val="en-US" w:eastAsia="zh-CN"/>
        </w:rPr>
        <w:t>电缆头、电缆附件、</w:t>
      </w:r>
      <w:r>
        <w:rPr>
          <w:rFonts w:hint="eastAsia" w:asciiTheme="minorEastAsia" w:hAnsiTheme="minorEastAsia" w:eastAsiaTheme="minorEastAsia" w:cstheme="minorEastAsia"/>
          <w:b w:val="0"/>
          <w:bCs/>
          <w:i w:val="0"/>
          <w:iCs/>
          <w:color w:val="auto"/>
          <w:sz w:val="24"/>
          <w:szCs w:val="24"/>
          <w:highlight w:val="none"/>
        </w:rPr>
        <w:t>避雷器、跨越铁路安全警示牌</w:t>
      </w:r>
      <w:r>
        <w:rPr>
          <w:rFonts w:hint="eastAsia" w:asciiTheme="minorEastAsia" w:hAnsiTheme="minorEastAsia" w:eastAsiaTheme="minorEastAsia" w:cstheme="minorEastAsia"/>
          <w:b w:val="0"/>
          <w:bCs/>
          <w:i w:val="0"/>
          <w:iCs/>
          <w:color w:val="auto"/>
          <w:sz w:val="24"/>
          <w:szCs w:val="24"/>
          <w:highlight w:val="none"/>
          <w:lang w:eastAsia="zh-CN"/>
        </w:rPr>
        <w:t>等</w:t>
      </w:r>
      <w:r>
        <w:rPr>
          <w:rFonts w:hint="eastAsia" w:asciiTheme="minorEastAsia" w:hAnsiTheme="minorEastAsia" w:eastAsiaTheme="minorEastAsia" w:cstheme="minorEastAsia"/>
          <w:b w:val="0"/>
          <w:bCs/>
          <w:i w:val="0"/>
          <w:iCs/>
          <w:color w:val="auto"/>
          <w:sz w:val="24"/>
          <w:szCs w:val="24"/>
          <w:highlight w:val="none"/>
        </w:rPr>
        <w:t>），电子化移交数据采集、资产录等入外业工作，安全生产管理系统输电设备台账录入；建设场地征用及清理费用编制结算工作，按3C绿色电网建设要求对余土进行处理，钻孔桩泥浆外运处理，塔基及弃土区植被恢复。线路通道树木砍伐人工费及办理林木砍伐证件（含林木砍伐设计调查报告编制等）相关手续费，钢管杆施工修路及附作物赔偿费，施工临时用地补偿费用（包含牵张场地、施工中因运输、堆放材料、机具，开挖基础土石方，开挖接地槽土石方，施工基础、组立杆塔过程中临时占用场地青苗赔偿、清理、复垦工作等相关费用），线路工程征地拆迁补偿工作服务（含沿线地方政府按公里或塔位收取的协调费）。线路参数测试，整套启动试运行。</w:t>
      </w:r>
      <w:r>
        <w:rPr>
          <w:rFonts w:hint="eastAsia" w:asciiTheme="minorEastAsia" w:hAnsiTheme="minorEastAsia" w:eastAsiaTheme="minorEastAsia" w:cstheme="minorEastAsia"/>
          <w:b w:val="0"/>
          <w:bCs/>
          <w:i w:val="0"/>
          <w:iCs/>
          <w:color w:val="auto"/>
          <w:sz w:val="24"/>
          <w:szCs w:val="24"/>
          <w:highlight w:val="none"/>
          <w:lang w:eastAsia="zh-CN"/>
        </w:rPr>
        <w:t>工程建设遵守相关市政规定。</w:t>
      </w:r>
    </w:p>
    <w:p>
      <w:pPr>
        <w:spacing w:line="360" w:lineRule="auto"/>
        <w:ind w:firstLine="480" w:firstLineChars="200"/>
        <w:outlineLvl w:val="9"/>
        <w:rPr>
          <w:rFonts w:hint="eastAsia" w:asciiTheme="minorEastAsia" w:hAnsiTheme="minorEastAsia" w:eastAsiaTheme="minorEastAsia" w:cstheme="minorEastAsia"/>
          <w:b w:val="0"/>
          <w:bCs/>
          <w:i w:val="0"/>
          <w:iCs/>
          <w:color w:val="auto"/>
          <w:sz w:val="24"/>
          <w:szCs w:val="24"/>
          <w:highlight w:val="none"/>
        </w:rPr>
      </w:pPr>
      <w:r>
        <w:rPr>
          <w:rFonts w:hint="eastAsia" w:asciiTheme="minorEastAsia" w:hAnsiTheme="minorEastAsia" w:eastAsiaTheme="minorEastAsia" w:cstheme="minorEastAsia"/>
          <w:b w:val="0"/>
          <w:bCs/>
          <w:i w:val="0"/>
          <w:iCs/>
          <w:color w:val="auto"/>
          <w:sz w:val="24"/>
          <w:szCs w:val="24"/>
          <w:highlight w:val="none"/>
        </w:rPr>
        <w:t>不包括：杆塔占地及附着物补偿费、护坡挡土墙和排水沟的占地及附着物补偿费、线路走廊青苗补偿费及树木砍伐补偿费、森林植被恢复费、坟墓迁移补偿费、养殖池（塘）补偿费、宅基地补偿费、厂矿场和房屋等不动产类拆迁补偿等费用、巡线与检修站工程、新建线路杆塔标志牌购置</w:t>
      </w:r>
      <w:r>
        <w:rPr>
          <w:rFonts w:hint="eastAsia" w:asciiTheme="minorEastAsia" w:hAnsiTheme="minorEastAsia" w:eastAsiaTheme="minorEastAsia" w:cstheme="minorEastAsia"/>
          <w:b w:val="0"/>
          <w:bCs/>
          <w:i w:val="0"/>
          <w:iCs/>
          <w:color w:val="auto"/>
          <w:sz w:val="24"/>
          <w:szCs w:val="24"/>
          <w:highlight w:val="none"/>
          <w:lang w:eastAsia="zh-CN"/>
        </w:rPr>
        <w:t>。</w:t>
      </w:r>
      <w:r>
        <w:rPr>
          <w:rFonts w:hint="eastAsia" w:asciiTheme="minorEastAsia" w:hAnsiTheme="minorEastAsia" w:eastAsiaTheme="minorEastAsia" w:cstheme="minorEastAsia"/>
          <w:b w:val="0"/>
          <w:bCs/>
          <w:i w:val="0"/>
          <w:iCs/>
          <w:color w:val="auto"/>
          <w:sz w:val="24"/>
          <w:szCs w:val="24"/>
          <w:highlight w:val="none"/>
        </w:rPr>
        <w:t>工程项目建设单位委托第三方检测机构进行的质量检测费用不计入投标报价。根据《建设工程质量检测管理办法》的规定，工程项目建设单位委托第三方检测机构进行的质量检测业务包括但不限于以下内容：</w:t>
      </w:r>
    </w:p>
    <w:p>
      <w:pPr>
        <w:spacing w:line="360" w:lineRule="auto"/>
        <w:ind w:firstLine="480" w:firstLineChars="200"/>
        <w:outlineLvl w:val="9"/>
        <w:rPr>
          <w:rFonts w:hint="eastAsia" w:asciiTheme="minorEastAsia" w:hAnsiTheme="minorEastAsia" w:eastAsiaTheme="minorEastAsia" w:cstheme="minorEastAsia"/>
          <w:b w:val="0"/>
          <w:bCs/>
          <w:i w:val="0"/>
          <w:iCs/>
          <w:color w:val="auto"/>
          <w:sz w:val="24"/>
          <w:szCs w:val="24"/>
          <w:highlight w:val="none"/>
        </w:rPr>
      </w:pPr>
      <w:r>
        <w:rPr>
          <w:rFonts w:hint="eastAsia" w:asciiTheme="minorEastAsia" w:hAnsiTheme="minorEastAsia" w:eastAsiaTheme="minorEastAsia" w:cstheme="minorEastAsia"/>
          <w:b w:val="0"/>
          <w:bCs/>
          <w:i w:val="0"/>
          <w:iCs/>
          <w:color w:val="auto"/>
          <w:sz w:val="24"/>
          <w:szCs w:val="24"/>
          <w:highlight w:val="none"/>
        </w:rPr>
        <w:t>（1）专项检测：场地土方回填试验（击实试验、压实度试验）；钢筋混凝土实体监测(钢筋保护层厚度、混凝土强度、尺寸偏差)；桩基础检测(承载力、桩身完整性)；地基承载力检测；耐张线夹X光检测。</w:t>
      </w:r>
    </w:p>
    <w:p>
      <w:pPr>
        <w:spacing w:line="360" w:lineRule="auto"/>
        <w:ind w:firstLine="480" w:firstLineChars="200"/>
        <w:outlineLvl w:val="9"/>
        <w:rPr>
          <w:rFonts w:hint="eastAsia" w:asciiTheme="minorEastAsia" w:hAnsiTheme="minorEastAsia" w:eastAsiaTheme="minorEastAsia" w:cstheme="minorEastAsia"/>
          <w:b w:val="0"/>
          <w:bCs/>
          <w:i w:val="0"/>
          <w:iCs/>
          <w:color w:val="auto"/>
          <w:sz w:val="24"/>
          <w:szCs w:val="24"/>
          <w:highlight w:val="none"/>
        </w:rPr>
      </w:pPr>
      <w:r>
        <w:rPr>
          <w:rFonts w:hint="eastAsia" w:asciiTheme="minorEastAsia" w:hAnsiTheme="minorEastAsia" w:eastAsiaTheme="minorEastAsia" w:cstheme="minorEastAsia"/>
          <w:b w:val="0"/>
          <w:bCs/>
          <w:i w:val="0"/>
          <w:iCs/>
          <w:color w:val="auto"/>
          <w:sz w:val="24"/>
          <w:szCs w:val="24"/>
          <w:highlight w:val="none"/>
        </w:rPr>
        <w:t>（2）见证取样检测：水泥物理力学性能检验；钢筋（含焊接与机械连接）力学性能检验；砂、石常规检验；混凝土、砂浆强度检验。</w:t>
      </w:r>
    </w:p>
    <w:p>
      <w:pPr>
        <w:pStyle w:val="4"/>
        <w:rPr>
          <w:rFonts w:hint="eastAsia" w:ascii="宋体" w:hAnsi="宋体" w:cs="宋体"/>
          <w:b/>
          <w:bCs w:val="0"/>
          <w:i w:val="0"/>
          <w:iCs/>
          <w:color w:val="auto"/>
          <w:sz w:val="24"/>
          <w:szCs w:val="24"/>
          <w:highlight w:val="none"/>
          <w:lang w:val="en-US" w:eastAsia="zh-CN"/>
        </w:rPr>
      </w:pPr>
    </w:p>
    <w:p>
      <w:pPr>
        <w:pStyle w:val="4"/>
        <w:ind w:left="0" w:leftChars="0" w:firstLine="422" w:firstLineChars="175"/>
        <w:rPr>
          <w:rFonts w:hint="eastAsia" w:ascii="宋体" w:hAnsi="宋体" w:cs="宋体"/>
          <w:b/>
          <w:bCs w:val="0"/>
          <w:i w:val="0"/>
          <w:iCs/>
          <w:color w:val="auto"/>
          <w:sz w:val="24"/>
          <w:szCs w:val="24"/>
          <w:highlight w:val="none"/>
          <w:lang w:val="en-US" w:eastAsia="zh-CN"/>
        </w:rPr>
      </w:pPr>
      <w:r>
        <w:rPr>
          <w:rFonts w:hint="eastAsia" w:ascii="宋体" w:hAnsi="宋体" w:cs="宋体"/>
          <w:b/>
          <w:bCs w:val="0"/>
          <w:i w:val="0"/>
          <w:iCs/>
          <w:color w:val="auto"/>
          <w:sz w:val="24"/>
          <w:szCs w:val="24"/>
          <w:highlight w:val="none"/>
          <w:lang w:val="en-US" w:eastAsia="zh-CN"/>
        </w:rPr>
        <w:t>3.2 电缆线路部分：</w:t>
      </w:r>
    </w:p>
    <w:p>
      <w:pPr>
        <w:pStyle w:val="4"/>
        <w:spacing w:line="360" w:lineRule="auto"/>
        <w:ind w:firstLine="480" w:firstLineChars="200"/>
        <w:rPr>
          <w:rFonts w:ascii="宋体" w:hAnsi="宋体" w:cs="宋体"/>
          <w:b w:val="0"/>
          <w:bCs/>
          <w:i w:val="0"/>
          <w:iCs/>
          <w:color w:val="auto"/>
          <w:sz w:val="24"/>
          <w:szCs w:val="24"/>
          <w:highlight w:val="none"/>
        </w:rPr>
      </w:pPr>
      <w:r>
        <w:rPr>
          <w:rFonts w:hint="eastAsia" w:asciiTheme="minorEastAsia" w:hAnsiTheme="minorEastAsia" w:eastAsiaTheme="minorEastAsia" w:cstheme="minorEastAsia"/>
          <w:b w:val="0"/>
          <w:bCs/>
          <w:i w:val="0"/>
          <w:iCs/>
          <w:color w:val="auto"/>
          <w:sz w:val="24"/>
          <w:szCs w:val="24"/>
          <w:highlight w:val="none"/>
        </w:rPr>
        <w:t>施工图纸范围内的电缆线路建筑、安装、调试工程。包括但不限于：电缆附件制作及安装，电缆防火与阻燃及防水封堵，电缆试验</w:t>
      </w:r>
      <w:r>
        <w:rPr>
          <w:rFonts w:hint="eastAsia" w:ascii="宋体" w:hAnsi="宋体" w:cs="宋体"/>
          <w:b w:val="0"/>
          <w:bCs/>
          <w:i w:val="0"/>
          <w:iCs/>
          <w:color w:val="auto"/>
          <w:sz w:val="24"/>
          <w:szCs w:val="24"/>
          <w:highlight w:val="none"/>
        </w:rPr>
        <w:t>（规程规范及招标前广西电网公司反措要求试验等</w:t>
      </w:r>
      <w:r>
        <w:rPr>
          <w:rFonts w:hint="eastAsia" w:asciiTheme="minorEastAsia" w:hAnsiTheme="minorEastAsia" w:eastAsiaTheme="minorEastAsia" w:cstheme="minorEastAsia"/>
          <w:b w:val="0"/>
          <w:bCs/>
          <w:i w:val="0"/>
          <w:iCs/>
          <w:color w:val="auto"/>
          <w:sz w:val="24"/>
          <w:szCs w:val="24"/>
          <w:highlight w:val="none"/>
        </w:rPr>
        <w:t>，含主绝缘的绝缘电阻、外护套绝缘电阻、外护套直流耐压试验、主绝缘交流耐压试验等），沿线的管线迁移，</w:t>
      </w:r>
      <w:r>
        <w:rPr>
          <w:rFonts w:hint="eastAsia" w:asciiTheme="minorEastAsia" w:hAnsiTheme="minorEastAsia" w:eastAsiaTheme="minorEastAsia" w:cstheme="minorEastAsia"/>
          <w:b w:val="0"/>
          <w:bCs/>
          <w:i w:val="0"/>
          <w:iCs/>
          <w:color w:val="auto"/>
          <w:sz w:val="24"/>
          <w:szCs w:val="24"/>
          <w:highlight w:val="none"/>
          <w:lang w:val="en-US" w:eastAsia="zh-CN"/>
        </w:rPr>
        <w:t>路灯迁移，</w:t>
      </w:r>
      <w:r>
        <w:rPr>
          <w:rFonts w:hint="eastAsia" w:asciiTheme="minorEastAsia" w:hAnsiTheme="minorEastAsia" w:eastAsiaTheme="minorEastAsia" w:cstheme="minorEastAsia"/>
          <w:b w:val="0"/>
          <w:bCs/>
          <w:i w:val="0"/>
          <w:iCs/>
          <w:color w:val="auto"/>
          <w:sz w:val="24"/>
          <w:szCs w:val="24"/>
          <w:highlight w:val="none"/>
        </w:rPr>
        <w:t>道路施工期临时占用，路面破除及恢复施工，绿化迁移及恢复施工（城市道路绿化恢复费、绿化移植费、绿化保证金），旧电缆线路拆除和运输，管道光缆敷设，光缆的测量及接续（含光纤架设、光缆现场单盘开箱检验、金具及附件现场开箱检验、光缆单盘测试、光缆架设、导引（管道）光缆安装、光纤接头标识、光缆熔接、光纤配线架（ODF）安装、光缆接续及测量等），电缆管沟安健环（含电缆标志牌、电缆走向标志桩、电缆终端杆护栏等采购及安装），电缆本体及附件的标识标示牌采购及安装，电缆线路电气参数测量，道路开挖手续办理，办理所有施工许可手续、白蚁防治，配合整套启动试运及协助相关工作，线路工程征地拆迁补偿服务工作，电子化移交数据采集等外业工作，物资到货验收、卸车保管、二次倒运，余物清理（包括沿线建（构）筑物、旧设备的拆除及清理），余土清理并运至指定位置，拆除设备、材料运输至属地供电局仓库</w:t>
      </w:r>
      <w:r>
        <w:rPr>
          <w:rFonts w:hint="eastAsia" w:ascii="宋体" w:hAnsi="宋体" w:cs="宋体"/>
          <w:b w:val="0"/>
          <w:bCs/>
          <w:i w:val="0"/>
          <w:iCs/>
          <w:color w:val="auto"/>
          <w:sz w:val="24"/>
          <w:szCs w:val="24"/>
          <w:highlight w:val="none"/>
        </w:rPr>
        <w:t>。</w:t>
      </w:r>
    </w:p>
    <w:p>
      <w:pPr>
        <w:rPr>
          <w:b/>
          <w:i/>
          <w:highlight w:val="none"/>
        </w:rPr>
      </w:pPr>
    </w:p>
    <w:p>
      <w:pPr>
        <w:pStyle w:val="4"/>
        <w:spacing w:line="360" w:lineRule="auto"/>
        <w:ind w:firstLine="480" w:firstLineChars="200"/>
        <w:rPr>
          <w:rFonts w:asciiTheme="minorEastAsia" w:hAnsiTheme="minorEastAsia" w:eastAsiaTheme="minorEastAsia" w:cstheme="minorEastAsia"/>
          <w:b w:val="0"/>
          <w:bCs/>
          <w:i w:val="0"/>
          <w:iCs/>
          <w:color w:val="auto"/>
          <w:sz w:val="24"/>
          <w:szCs w:val="24"/>
          <w:highlight w:val="none"/>
        </w:rPr>
      </w:pPr>
      <w:r>
        <w:rPr>
          <w:rFonts w:hint="eastAsia" w:asciiTheme="minorEastAsia" w:hAnsiTheme="minorEastAsia" w:eastAsiaTheme="minorEastAsia" w:cstheme="minorEastAsia"/>
          <w:b w:val="0"/>
          <w:bCs/>
          <w:i w:val="0"/>
          <w:iCs/>
          <w:color w:val="auto"/>
          <w:sz w:val="24"/>
          <w:szCs w:val="24"/>
          <w:highlight w:val="none"/>
        </w:rPr>
        <w:t>不包括：线路走廊范围内的建设场地征用及清理费用（占地及附着物补偿费、护坡挡土墙和排水沟的占地及附着物补偿费、线路走廊青苗补偿费及树木砍伐补偿费、森林植被恢复费、坟墓迁移补偿费、养殖池（塘）补偿费、宅基地补偿费、厂矿场和房屋等不动产类拆迁等费用），水土保持补偿费，环境监测及环境保护验收费，水土保持监测及验收费、智慧工地费用。工程项目建设单位委托第三方检测机构进行的质量检测费用不计入投标报价。根据《建设工程质量检测管理办法》的规定，工程项目建设单位委托第三方检测机构进行的质量检测业务包括但不限于以下内容：</w:t>
      </w:r>
    </w:p>
    <w:p>
      <w:pPr>
        <w:pStyle w:val="4"/>
        <w:spacing w:line="360" w:lineRule="auto"/>
        <w:ind w:firstLine="480" w:firstLineChars="200"/>
        <w:rPr>
          <w:rFonts w:asciiTheme="minorEastAsia" w:hAnsiTheme="minorEastAsia" w:eastAsiaTheme="minorEastAsia" w:cstheme="minorEastAsia"/>
          <w:b w:val="0"/>
          <w:bCs/>
          <w:i w:val="0"/>
          <w:iCs/>
          <w:color w:val="auto"/>
          <w:sz w:val="24"/>
          <w:szCs w:val="24"/>
          <w:highlight w:val="none"/>
        </w:rPr>
      </w:pPr>
      <w:r>
        <w:rPr>
          <w:rFonts w:hint="eastAsia" w:asciiTheme="minorEastAsia" w:hAnsiTheme="minorEastAsia" w:eastAsiaTheme="minorEastAsia" w:cstheme="minorEastAsia"/>
          <w:b w:val="0"/>
          <w:bCs/>
          <w:i w:val="0"/>
          <w:iCs/>
          <w:color w:val="auto"/>
          <w:sz w:val="24"/>
          <w:szCs w:val="24"/>
          <w:highlight w:val="none"/>
        </w:rPr>
        <w:t>（1）专项检测：场地土方回填试验（(击实试验、压实度试验）；钢筋混凝土实体监测(钢筋保护层厚度、混凝土强度、尺寸偏差)；桩基础检测(承载力、桩身完整性)；地基承载力检测。</w:t>
      </w:r>
    </w:p>
    <w:p>
      <w:pPr>
        <w:pStyle w:val="4"/>
        <w:spacing w:line="360" w:lineRule="auto"/>
        <w:ind w:firstLine="480" w:firstLineChars="200"/>
        <w:rPr>
          <w:rFonts w:asciiTheme="minorEastAsia" w:hAnsiTheme="minorEastAsia" w:eastAsiaTheme="minorEastAsia" w:cstheme="minorEastAsia"/>
          <w:b w:val="0"/>
          <w:bCs/>
          <w:i w:val="0"/>
          <w:iCs/>
          <w:color w:val="auto"/>
          <w:sz w:val="24"/>
          <w:szCs w:val="24"/>
          <w:highlight w:val="none"/>
        </w:rPr>
      </w:pPr>
      <w:r>
        <w:rPr>
          <w:rFonts w:hint="eastAsia" w:asciiTheme="minorEastAsia" w:hAnsiTheme="minorEastAsia" w:eastAsiaTheme="minorEastAsia" w:cstheme="minorEastAsia"/>
          <w:b w:val="0"/>
          <w:bCs/>
          <w:i w:val="0"/>
          <w:iCs/>
          <w:color w:val="auto"/>
          <w:sz w:val="24"/>
          <w:szCs w:val="24"/>
          <w:highlight w:val="none"/>
        </w:rPr>
        <w:t>（2）见证取样检测：水泥物理力学性能检验；钢筋（含焊接与机械连接）力学性能检验；砂、石常规检验；混凝土、砂浆强度检验。</w:t>
      </w:r>
    </w:p>
    <w:p>
      <w:pPr>
        <w:rPr>
          <w:rFonts w:hint="default"/>
          <w:highlight w:val="none"/>
          <w:lang w:val="en-US" w:eastAsia="zh-CN"/>
        </w:rPr>
      </w:pPr>
    </w:p>
    <w:p>
      <w:pPr>
        <w:spacing w:line="360" w:lineRule="auto"/>
        <w:ind w:firstLine="480" w:firstLineChars="200"/>
        <w:outlineLvl w:val="9"/>
        <w:rPr>
          <w:rFonts w:hint="eastAsia" w:asciiTheme="minorEastAsia" w:hAnsiTheme="minorEastAsia" w:eastAsiaTheme="minorEastAsia" w:cstheme="minorEastAsia"/>
          <w:b w:val="0"/>
          <w:bCs/>
          <w:i w:val="0"/>
          <w:iCs/>
          <w:color w:val="auto"/>
          <w:sz w:val="24"/>
          <w:szCs w:val="24"/>
          <w:highlight w:val="none"/>
        </w:rPr>
      </w:pPr>
    </w:p>
    <w:p>
      <w:pPr>
        <w:pStyle w:val="3"/>
        <w:ind w:firstLine="482" w:firstLineChars="200"/>
        <w:rPr>
          <w:rFonts w:hint="eastAsia" w:ascii="宋体" w:hAnsi="宋体" w:eastAsia="宋体" w:cs="宋体"/>
          <w:b/>
          <w:bCs w:val="0"/>
          <w:i w:val="0"/>
          <w:iCs/>
          <w:color w:val="auto"/>
          <w:kern w:val="2"/>
          <w:sz w:val="24"/>
          <w:szCs w:val="24"/>
          <w:highlight w:val="none"/>
          <w:lang w:val="en-US" w:eastAsia="zh-CN" w:bidi="ar-SA"/>
        </w:rPr>
      </w:pPr>
      <w:r>
        <w:rPr>
          <w:rFonts w:hint="eastAsia" w:ascii="宋体" w:hAnsi="宋体" w:eastAsia="宋体" w:cs="宋体"/>
          <w:b/>
          <w:bCs w:val="0"/>
          <w:i w:val="0"/>
          <w:iCs/>
          <w:color w:val="auto"/>
          <w:kern w:val="2"/>
          <w:sz w:val="24"/>
          <w:szCs w:val="24"/>
          <w:highlight w:val="none"/>
          <w:lang w:val="en-US" w:eastAsia="zh-CN" w:bidi="ar-SA"/>
        </w:rPr>
        <w:t>特殊调试清单</w:t>
      </w:r>
    </w:p>
    <w:p>
      <w:pPr>
        <w:autoSpaceDE w:val="0"/>
        <w:autoSpaceDN w:val="0"/>
        <w:spacing w:line="360" w:lineRule="auto"/>
        <w:ind w:firstLine="420" w:firstLineChars="200"/>
        <w:jc w:val="center"/>
        <w:rPr>
          <w:rFonts w:hint="eastAsia" w:ascii="宋体" w:hAnsi="宋体" w:cs="仿宋_GB2312"/>
          <w:b/>
          <w:color w:val="auto"/>
          <w:szCs w:val="21"/>
          <w:highlight w:val="none"/>
        </w:rPr>
      </w:pPr>
      <w:r>
        <w:rPr>
          <w:rFonts w:hint="eastAsia" w:ascii="宋体" w:hAnsi="宋体"/>
          <w:color w:val="auto"/>
          <w:szCs w:val="21"/>
          <w:highlight w:val="none"/>
        </w:rPr>
        <w:t>特殊调试项目明细表</w:t>
      </w:r>
    </w:p>
    <w:tbl>
      <w:tblPr>
        <w:tblStyle w:val="13"/>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1"/>
        <w:gridCol w:w="5610"/>
        <w:gridCol w:w="2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051" w:type="dxa"/>
            <w:vAlign w:val="center"/>
          </w:tcPr>
          <w:p>
            <w:pPr>
              <w:autoSpaceDE w:val="0"/>
              <w:autoSpaceDN w:val="0"/>
              <w:jc w:val="center"/>
              <w:rPr>
                <w:rFonts w:hint="eastAsia" w:ascii="宋体" w:hAnsi="宋体" w:cs="Times New Roman"/>
                <w:color w:val="auto"/>
                <w:szCs w:val="21"/>
                <w:highlight w:val="none"/>
              </w:rPr>
            </w:pPr>
            <w:r>
              <w:rPr>
                <w:rFonts w:hint="eastAsia" w:ascii="宋体" w:hAnsi="宋体" w:cs="Times New Roman"/>
                <w:color w:val="auto"/>
                <w:szCs w:val="21"/>
                <w:highlight w:val="none"/>
              </w:rPr>
              <w:t>序号</w:t>
            </w:r>
          </w:p>
        </w:tc>
        <w:tc>
          <w:tcPr>
            <w:tcW w:w="5610" w:type="dxa"/>
            <w:vAlign w:val="center"/>
          </w:tcPr>
          <w:p>
            <w:pPr>
              <w:autoSpaceDE w:val="0"/>
              <w:autoSpaceDN w:val="0"/>
              <w:jc w:val="center"/>
              <w:rPr>
                <w:rFonts w:hint="eastAsia" w:ascii="宋体" w:hAnsi="宋体" w:cs="Times New Roman"/>
                <w:color w:val="auto"/>
                <w:szCs w:val="21"/>
                <w:highlight w:val="none"/>
              </w:rPr>
            </w:pPr>
            <w:r>
              <w:rPr>
                <w:rFonts w:hint="eastAsia" w:ascii="宋体" w:hAnsi="宋体" w:cs="Times New Roman"/>
                <w:color w:val="auto"/>
                <w:szCs w:val="21"/>
                <w:highlight w:val="none"/>
              </w:rPr>
              <w:t>特殊调试项目</w:t>
            </w:r>
          </w:p>
        </w:tc>
        <w:tc>
          <w:tcPr>
            <w:tcW w:w="2220" w:type="dxa"/>
            <w:vAlign w:val="center"/>
          </w:tcPr>
          <w:p>
            <w:pPr>
              <w:autoSpaceDE w:val="0"/>
              <w:autoSpaceDN w:val="0"/>
              <w:jc w:val="center"/>
              <w:rPr>
                <w:rFonts w:hint="eastAsia" w:ascii="宋体" w:hAnsi="宋体" w:cs="Times New Roman"/>
                <w:color w:val="auto"/>
                <w:szCs w:val="21"/>
                <w:highlight w:val="none"/>
              </w:rPr>
            </w:pPr>
            <w:r>
              <w:rPr>
                <w:rFonts w:hint="eastAsia" w:ascii="宋体" w:hAnsi="宋体" w:cs="Times New Roman"/>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1051" w:type="dxa"/>
            <w:vAlign w:val="center"/>
          </w:tcPr>
          <w:p>
            <w:pPr>
              <w:autoSpaceDE w:val="0"/>
              <w:autoSpaceDN w:val="0"/>
              <w:jc w:val="center"/>
              <w:rPr>
                <w:rFonts w:hint="eastAsia" w:ascii="宋体" w:hAnsi="宋体" w:cs="Times New Roman"/>
                <w:color w:val="auto"/>
                <w:szCs w:val="21"/>
                <w:highlight w:val="none"/>
              </w:rPr>
            </w:pPr>
            <w:r>
              <w:rPr>
                <w:rFonts w:hint="eastAsia" w:ascii="宋体" w:hAnsi="宋体" w:cs="Times New Roman"/>
                <w:color w:val="auto"/>
                <w:szCs w:val="21"/>
                <w:highlight w:val="none"/>
              </w:rPr>
              <w:t>1</w:t>
            </w:r>
          </w:p>
        </w:tc>
        <w:tc>
          <w:tcPr>
            <w:tcW w:w="5610" w:type="dxa"/>
            <w:vAlign w:val="center"/>
          </w:tcPr>
          <w:p>
            <w:pPr>
              <w:autoSpaceDE w:val="0"/>
              <w:autoSpaceDN w:val="0"/>
              <w:rPr>
                <w:rFonts w:hint="eastAsia" w:ascii="宋体" w:hAnsi="宋体" w:cs="Times New Roman"/>
                <w:color w:val="auto"/>
                <w:szCs w:val="21"/>
                <w:highlight w:val="none"/>
              </w:rPr>
            </w:pPr>
            <w:r>
              <w:rPr>
                <w:rFonts w:hint="eastAsia" w:ascii="宋体" w:hAnsi="宋体" w:cs="Times New Roman"/>
                <w:color w:val="auto"/>
                <w:szCs w:val="21"/>
                <w:highlight w:val="none"/>
              </w:rPr>
              <w:t>根据规程规范及南方电网公司反措要求试验调试</w:t>
            </w:r>
          </w:p>
        </w:tc>
        <w:tc>
          <w:tcPr>
            <w:tcW w:w="2220" w:type="dxa"/>
            <w:vAlign w:val="center"/>
          </w:tcPr>
          <w:p>
            <w:pPr>
              <w:autoSpaceDE w:val="0"/>
              <w:autoSpaceDN w:val="0"/>
              <w:jc w:val="center"/>
              <w:rPr>
                <w:rFonts w:hint="eastAsia" w:ascii="宋体" w:hAnsi="宋体" w:cs="Times New Roman"/>
                <w:color w:val="auto"/>
                <w:szCs w:val="21"/>
                <w:highlight w:val="none"/>
              </w:rPr>
            </w:pPr>
          </w:p>
        </w:tc>
      </w:tr>
    </w:tbl>
    <w:p>
      <w:pPr>
        <w:numPr>
          <w:ilvl w:val="0"/>
          <w:numId w:val="0"/>
        </w:numPr>
        <w:spacing w:line="360" w:lineRule="auto"/>
        <w:ind w:firstLine="480" w:firstLineChars="200"/>
        <w:outlineLvl w:val="9"/>
        <w:rPr>
          <w:rFonts w:hint="eastAsia" w:asciiTheme="minorEastAsia" w:hAnsiTheme="minorEastAsia" w:eastAsiaTheme="minorEastAsia" w:cstheme="minorEastAsia"/>
          <w:b w:val="0"/>
          <w:bCs/>
          <w:i w:val="0"/>
          <w:iCs/>
          <w:color w:val="auto"/>
          <w:sz w:val="24"/>
          <w:szCs w:val="24"/>
          <w:highlight w:val="none"/>
          <w:lang w:val="en-US" w:eastAsia="zh-CN"/>
        </w:rPr>
      </w:pPr>
    </w:p>
    <w:p>
      <w:pPr>
        <w:pStyle w:val="4"/>
        <w:numPr>
          <w:ilvl w:val="0"/>
          <w:numId w:val="0"/>
        </w:numPr>
        <w:spacing w:line="360" w:lineRule="auto"/>
        <w:rPr>
          <w:rFonts w:asciiTheme="minorEastAsia" w:hAnsiTheme="minorEastAsia" w:eastAsiaTheme="minorEastAsia" w:cstheme="minorEastAsia"/>
          <w:bCs/>
          <w:i w:val="0"/>
          <w:color w:val="auto"/>
          <w:sz w:val="24"/>
          <w:szCs w:val="24"/>
          <w:highlight w:val="none"/>
        </w:rPr>
      </w:pPr>
      <w:r>
        <w:rPr>
          <w:rFonts w:hint="eastAsia" w:asciiTheme="minorEastAsia" w:hAnsiTheme="minorEastAsia" w:eastAsiaTheme="minorEastAsia" w:cstheme="minorEastAsia"/>
          <w:bCs/>
          <w:i w:val="0"/>
          <w:color w:val="auto"/>
          <w:sz w:val="24"/>
          <w:szCs w:val="24"/>
          <w:highlight w:val="none"/>
          <w:lang w:val="en-US" w:eastAsia="zh-CN"/>
        </w:rPr>
        <w:t>三．</w:t>
      </w:r>
      <w:r>
        <w:rPr>
          <w:rFonts w:hint="eastAsia" w:asciiTheme="minorEastAsia" w:hAnsiTheme="minorEastAsia" w:eastAsiaTheme="minorEastAsia" w:cstheme="minorEastAsia"/>
          <w:bCs/>
          <w:i w:val="0"/>
          <w:color w:val="auto"/>
          <w:sz w:val="24"/>
          <w:szCs w:val="24"/>
          <w:highlight w:val="none"/>
        </w:rPr>
        <w:t>承包方式：包工、部分包料</w:t>
      </w:r>
    </w:p>
    <w:p>
      <w:pPr>
        <w:jc w:val="center"/>
        <w:rPr>
          <w:rFonts w:hint="eastAsia" w:ascii="宋体" w:hAnsi="宋体"/>
          <w:b/>
          <w:color w:val="auto"/>
          <w:sz w:val="32"/>
          <w:szCs w:val="32"/>
          <w:highlight w:val="none"/>
          <w:u w:val="single"/>
        </w:rPr>
      </w:pPr>
      <w:r>
        <w:rPr>
          <w:rFonts w:hint="eastAsia" w:ascii="宋体" w:hAnsi="宋体"/>
          <w:b/>
          <w:color w:val="auto"/>
          <w:sz w:val="32"/>
          <w:szCs w:val="32"/>
          <w:highlight w:val="none"/>
          <w:u w:val="single"/>
          <w:lang w:val="en-US" w:eastAsia="zh-CN"/>
        </w:rPr>
        <w:t>1、</w:t>
      </w:r>
      <w:r>
        <w:rPr>
          <w:rFonts w:hint="eastAsia" w:asciiTheme="minorEastAsia" w:hAnsiTheme="minorEastAsia" w:eastAsiaTheme="minorEastAsia" w:cstheme="minorEastAsia"/>
          <w:b/>
          <w:bCs/>
          <w:snapToGrid w:val="0"/>
          <w:color w:val="auto"/>
          <w:sz w:val="28"/>
          <w:szCs w:val="28"/>
          <w:highlight w:val="none"/>
          <w:u w:val="single"/>
          <w:lang w:eastAsia="zh-CN"/>
        </w:rPr>
        <w:t>220kV航洋（渔万）送变电工程变电部分</w:t>
      </w:r>
    </w:p>
    <w:p>
      <w:pPr>
        <w:jc w:val="center"/>
        <w:rPr>
          <w:rFonts w:hint="eastAsia"/>
          <w:b/>
          <w:color w:val="auto"/>
          <w:highlight w:val="none"/>
        </w:rPr>
      </w:pPr>
      <w:r>
        <w:rPr>
          <w:rFonts w:hint="eastAsia"/>
          <w:b/>
          <w:color w:val="auto"/>
          <w:highlight w:val="none"/>
        </w:rPr>
        <w:t>招标人提供的设备、材料清单</w:t>
      </w:r>
    </w:p>
    <w:tbl>
      <w:tblPr>
        <w:tblStyle w:val="13"/>
        <w:tblpPr w:leftFromText="180" w:rightFromText="180" w:vertAnchor="text" w:horzAnchor="margin" w:tblpX="-601" w:tblpY="555"/>
        <w:tblW w:w="9889" w:type="dxa"/>
        <w:tblInd w:w="0" w:type="dxa"/>
        <w:tblLayout w:type="fixed"/>
        <w:tblCellMar>
          <w:top w:w="0" w:type="dxa"/>
          <w:left w:w="108" w:type="dxa"/>
          <w:bottom w:w="0" w:type="dxa"/>
          <w:right w:w="108" w:type="dxa"/>
        </w:tblCellMar>
      </w:tblPr>
      <w:tblGrid>
        <w:gridCol w:w="958"/>
        <w:gridCol w:w="3404"/>
        <w:gridCol w:w="850"/>
        <w:gridCol w:w="852"/>
        <w:gridCol w:w="1135"/>
        <w:gridCol w:w="2690"/>
      </w:tblGrid>
      <w:tr>
        <w:tblPrEx>
          <w:tblCellMar>
            <w:top w:w="0" w:type="dxa"/>
            <w:left w:w="108" w:type="dxa"/>
            <w:bottom w:w="0" w:type="dxa"/>
            <w:right w:w="108" w:type="dxa"/>
          </w:tblCellMar>
        </w:tblPrEx>
        <w:trPr>
          <w:trHeight w:val="397" w:hRule="atLeast"/>
          <w:tblHeader/>
        </w:trPr>
        <w:tc>
          <w:tcPr>
            <w:tcW w:w="958" w:type="dxa"/>
            <w:tcBorders>
              <w:top w:val="single" w:color="auto" w:sz="8" w:space="0"/>
              <w:left w:val="single" w:color="auto" w:sz="8" w:space="0"/>
              <w:bottom w:val="single" w:color="auto" w:sz="4" w:space="0"/>
              <w:right w:val="single" w:color="auto" w:sz="4" w:space="0"/>
            </w:tcBorders>
            <w:vAlign w:val="center"/>
          </w:tcPr>
          <w:p>
            <w:pPr>
              <w:widowControl/>
              <w:rPr>
                <w:rFonts w:ascii="宋体" w:hAnsi="宋体"/>
                <w:b/>
                <w:color w:val="auto"/>
                <w:kern w:val="0"/>
                <w:highlight w:val="none"/>
              </w:rPr>
            </w:pPr>
            <w:r>
              <w:rPr>
                <w:rFonts w:hint="eastAsia" w:ascii="宋体" w:hAnsi="宋体"/>
                <w:b/>
                <w:color w:val="auto"/>
                <w:kern w:val="0"/>
                <w:highlight w:val="none"/>
              </w:rPr>
              <w:t>序号</w:t>
            </w:r>
          </w:p>
        </w:tc>
        <w:tc>
          <w:tcPr>
            <w:tcW w:w="3404"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设备、材料名称</w:t>
            </w:r>
          </w:p>
        </w:tc>
        <w:tc>
          <w:tcPr>
            <w:tcW w:w="850"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规格型号</w:t>
            </w:r>
          </w:p>
        </w:tc>
        <w:tc>
          <w:tcPr>
            <w:tcW w:w="852"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单位</w:t>
            </w:r>
          </w:p>
        </w:tc>
        <w:tc>
          <w:tcPr>
            <w:tcW w:w="1135"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数量</w:t>
            </w:r>
          </w:p>
        </w:tc>
        <w:tc>
          <w:tcPr>
            <w:tcW w:w="2690"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单价（元）</w:t>
            </w:r>
          </w:p>
        </w:tc>
      </w:tr>
      <w:tr>
        <w:tblPrEx>
          <w:tblCellMar>
            <w:top w:w="0" w:type="dxa"/>
            <w:left w:w="108" w:type="dxa"/>
            <w:bottom w:w="0" w:type="dxa"/>
            <w:right w:w="108" w:type="dxa"/>
          </w:tblCellMar>
        </w:tblPrEx>
        <w:trPr>
          <w:trHeight w:val="397" w:hRule="atLeast"/>
        </w:trPr>
        <w:tc>
          <w:tcPr>
            <w:tcW w:w="958" w:type="dxa"/>
            <w:tcBorders>
              <w:top w:val="nil"/>
              <w:left w:val="single" w:color="auto" w:sz="8" w:space="0"/>
              <w:bottom w:val="single" w:color="auto" w:sz="4" w:space="0"/>
              <w:right w:val="single" w:color="auto" w:sz="4" w:space="0"/>
            </w:tcBorders>
            <w:vAlign w:val="center"/>
          </w:tcPr>
          <w:p>
            <w:pPr>
              <w:widowControl/>
              <w:jc w:val="center"/>
              <w:rPr>
                <w:rFonts w:ascii="宋体" w:hAnsi="宋体"/>
                <w:color w:val="auto"/>
                <w:kern w:val="0"/>
                <w:highlight w:val="none"/>
              </w:rPr>
            </w:pPr>
            <w:r>
              <w:rPr>
                <w:rFonts w:hint="eastAsia" w:ascii="宋体" w:hAnsi="宋体"/>
                <w:color w:val="auto"/>
                <w:kern w:val="0"/>
                <w:highlight w:val="none"/>
              </w:rPr>
              <w:t>一</w:t>
            </w:r>
          </w:p>
        </w:tc>
        <w:tc>
          <w:tcPr>
            <w:tcW w:w="3404" w:type="dxa"/>
            <w:tcBorders>
              <w:top w:val="nil"/>
              <w:left w:val="nil"/>
              <w:bottom w:val="single" w:color="auto" w:sz="4" w:space="0"/>
              <w:right w:val="single" w:color="auto" w:sz="4" w:space="0"/>
            </w:tcBorders>
            <w:vAlign w:val="center"/>
          </w:tcPr>
          <w:p>
            <w:pPr>
              <w:widowControl/>
              <w:spacing w:line="360" w:lineRule="auto"/>
              <w:rPr>
                <w:color w:val="auto"/>
                <w:highlight w:val="none"/>
              </w:rPr>
            </w:pPr>
            <w:r>
              <w:rPr>
                <w:rFonts w:hint="eastAsia"/>
                <w:color w:val="auto"/>
                <w:highlight w:val="none"/>
              </w:rPr>
              <w:t>安装工程（含通信）</w:t>
            </w:r>
            <w:r>
              <w:rPr>
                <w:color w:val="auto"/>
                <w:highlight w:val="none"/>
              </w:rPr>
              <w:t xml:space="preserve"> </w:t>
            </w:r>
          </w:p>
        </w:tc>
        <w:tc>
          <w:tcPr>
            <w:tcW w:w="850"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852" w:type="dxa"/>
            <w:tcBorders>
              <w:top w:val="nil"/>
              <w:left w:val="nil"/>
              <w:bottom w:val="single" w:color="auto" w:sz="4" w:space="0"/>
              <w:right w:val="single" w:color="auto" w:sz="4" w:space="0"/>
            </w:tcBorders>
            <w:vAlign w:val="center"/>
          </w:tcPr>
          <w:p>
            <w:pPr>
              <w:widowControl/>
              <w:spacing w:line="360" w:lineRule="auto"/>
              <w:jc w:val="center"/>
              <w:rPr>
                <w:color w:val="auto"/>
                <w:highlight w:val="none"/>
              </w:rPr>
            </w:pPr>
          </w:p>
        </w:tc>
        <w:tc>
          <w:tcPr>
            <w:tcW w:w="1135" w:type="dxa"/>
            <w:tcBorders>
              <w:top w:val="nil"/>
              <w:left w:val="nil"/>
              <w:bottom w:val="single" w:color="auto" w:sz="4" w:space="0"/>
              <w:right w:val="single" w:color="auto" w:sz="4" w:space="0"/>
            </w:tcBorders>
            <w:vAlign w:val="center"/>
          </w:tcPr>
          <w:p>
            <w:pPr>
              <w:jc w:val="center"/>
              <w:rPr>
                <w:color w:val="auto"/>
                <w:highlight w:val="none"/>
              </w:rPr>
            </w:pPr>
          </w:p>
        </w:tc>
        <w:tc>
          <w:tcPr>
            <w:tcW w:w="2690" w:type="dxa"/>
            <w:tcBorders>
              <w:top w:val="nil"/>
              <w:left w:val="nil"/>
              <w:bottom w:val="single" w:color="auto" w:sz="4" w:space="0"/>
              <w:right w:val="single" w:color="auto" w:sz="4" w:space="0"/>
            </w:tcBorders>
            <w:vAlign w:val="center"/>
          </w:tcPr>
          <w:p>
            <w:pPr>
              <w:widowControl/>
              <w:spacing w:line="360" w:lineRule="auto"/>
              <w:jc w:val="right"/>
              <w:rPr>
                <w:color w:val="auto"/>
                <w:highlight w:val="none"/>
              </w:rPr>
            </w:pPr>
          </w:p>
        </w:tc>
      </w:tr>
      <w:tr>
        <w:tblPrEx>
          <w:tblCellMar>
            <w:top w:w="0" w:type="dxa"/>
            <w:left w:w="108" w:type="dxa"/>
            <w:bottom w:w="0" w:type="dxa"/>
            <w:right w:w="108" w:type="dxa"/>
          </w:tblCellMar>
        </w:tblPrEx>
        <w:trPr>
          <w:trHeight w:val="397" w:hRule="atLeast"/>
        </w:trPr>
        <w:tc>
          <w:tcPr>
            <w:tcW w:w="958" w:type="dxa"/>
            <w:tcBorders>
              <w:top w:val="nil"/>
              <w:left w:val="single" w:color="auto" w:sz="8" w:space="0"/>
              <w:bottom w:val="single" w:color="auto" w:sz="4" w:space="0"/>
              <w:right w:val="single" w:color="auto" w:sz="4" w:space="0"/>
            </w:tcBorders>
            <w:vAlign w:val="center"/>
          </w:tcPr>
          <w:p>
            <w:pPr>
              <w:widowControl/>
              <w:jc w:val="center"/>
              <w:rPr>
                <w:rFonts w:ascii="宋体" w:hAnsi="宋体"/>
                <w:color w:val="auto"/>
                <w:kern w:val="0"/>
                <w:highlight w:val="none"/>
              </w:rPr>
            </w:pPr>
            <w:r>
              <w:rPr>
                <w:rFonts w:hint="eastAsia" w:ascii="宋体" w:hAnsi="宋体"/>
                <w:color w:val="auto"/>
                <w:kern w:val="0"/>
                <w:highlight w:val="none"/>
              </w:rPr>
              <w:t>（一）</w:t>
            </w:r>
          </w:p>
        </w:tc>
        <w:tc>
          <w:tcPr>
            <w:tcW w:w="3404"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rPr>
              <w:t>设备部分</w:t>
            </w:r>
          </w:p>
        </w:tc>
        <w:tc>
          <w:tcPr>
            <w:tcW w:w="850"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852" w:type="dxa"/>
            <w:tcBorders>
              <w:top w:val="nil"/>
              <w:left w:val="nil"/>
              <w:bottom w:val="single" w:color="auto" w:sz="4" w:space="0"/>
              <w:right w:val="single" w:color="auto" w:sz="4" w:space="0"/>
            </w:tcBorders>
            <w:vAlign w:val="center"/>
          </w:tcPr>
          <w:p>
            <w:pPr>
              <w:jc w:val="center"/>
              <w:rPr>
                <w:color w:val="auto"/>
                <w:highlight w:val="none"/>
              </w:rPr>
            </w:pPr>
          </w:p>
        </w:tc>
        <w:tc>
          <w:tcPr>
            <w:tcW w:w="1135" w:type="dxa"/>
            <w:tcBorders>
              <w:top w:val="nil"/>
              <w:left w:val="nil"/>
              <w:bottom w:val="single" w:color="auto" w:sz="4" w:space="0"/>
              <w:right w:val="single" w:color="auto" w:sz="4" w:space="0"/>
            </w:tcBorders>
            <w:vAlign w:val="center"/>
          </w:tcPr>
          <w:p>
            <w:pPr>
              <w:jc w:val="center"/>
              <w:rPr>
                <w:color w:val="auto"/>
                <w:highlight w:val="none"/>
              </w:rPr>
            </w:pPr>
          </w:p>
        </w:tc>
        <w:tc>
          <w:tcPr>
            <w:tcW w:w="2690" w:type="dxa"/>
            <w:tcBorders>
              <w:top w:val="nil"/>
              <w:left w:val="nil"/>
              <w:bottom w:val="single" w:color="auto" w:sz="4" w:space="0"/>
              <w:right w:val="single" w:color="auto" w:sz="4" w:space="0"/>
            </w:tcBorders>
            <w:vAlign w:val="center"/>
          </w:tcPr>
          <w:p>
            <w:pPr>
              <w:widowControl/>
              <w:spacing w:line="360" w:lineRule="auto"/>
              <w:jc w:val="right"/>
              <w:rPr>
                <w:color w:val="auto"/>
                <w:highlight w:val="none"/>
              </w:rPr>
            </w:pPr>
          </w:p>
        </w:tc>
      </w:tr>
      <w:tr>
        <w:tblPrEx>
          <w:tblCellMar>
            <w:top w:w="0" w:type="dxa"/>
            <w:left w:w="108" w:type="dxa"/>
            <w:bottom w:w="0" w:type="dxa"/>
            <w:right w:w="108" w:type="dxa"/>
          </w:tblCellMar>
        </w:tblPrEx>
        <w:trPr>
          <w:trHeight w:val="397" w:hRule="atLeast"/>
        </w:trPr>
        <w:tc>
          <w:tcPr>
            <w:tcW w:w="958" w:type="dxa"/>
            <w:tcBorders>
              <w:top w:val="nil"/>
              <w:left w:val="single" w:color="auto" w:sz="8" w:space="0"/>
              <w:bottom w:val="single" w:color="auto" w:sz="4" w:space="0"/>
              <w:right w:val="single" w:color="auto" w:sz="4" w:space="0"/>
            </w:tcBorders>
            <w:vAlign w:val="center"/>
          </w:tcPr>
          <w:p>
            <w:pPr>
              <w:jc w:val="center"/>
              <w:rPr>
                <w:color w:val="auto"/>
                <w:highlight w:val="none"/>
              </w:rPr>
            </w:pPr>
            <w:r>
              <w:rPr>
                <w:color w:val="auto"/>
                <w:highlight w:val="none"/>
              </w:rPr>
              <w:t>1</w:t>
            </w:r>
          </w:p>
        </w:tc>
        <w:tc>
          <w:tcPr>
            <w:tcW w:w="3404"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rPr>
              <w:t>除中标人购买外的所有设备（其中封闭母线桥列为甲供设备）</w:t>
            </w:r>
          </w:p>
        </w:tc>
        <w:tc>
          <w:tcPr>
            <w:tcW w:w="850"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852" w:type="dxa"/>
            <w:tcBorders>
              <w:top w:val="nil"/>
              <w:left w:val="nil"/>
              <w:bottom w:val="single" w:color="auto" w:sz="4" w:space="0"/>
              <w:right w:val="single" w:color="auto" w:sz="4" w:space="0"/>
            </w:tcBorders>
            <w:vAlign w:val="center"/>
          </w:tcPr>
          <w:p>
            <w:pPr>
              <w:jc w:val="center"/>
              <w:rPr>
                <w:color w:val="auto"/>
                <w:highlight w:val="none"/>
              </w:rPr>
            </w:pPr>
          </w:p>
        </w:tc>
        <w:tc>
          <w:tcPr>
            <w:tcW w:w="1135" w:type="dxa"/>
            <w:tcBorders>
              <w:top w:val="nil"/>
              <w:left w:val="nil"/>
              <w:bottom w:val="single" w:color="auto" w:sz="4" w:space="0"/>
              <w:right w:val="single" w:color="auto" w:sz="4" w:space="0"/>
            </w:tcBorders>
            <w:vAlign w:val="center"/>
          </w:tcPr>
          <w:p>
            <w:pPr>
              <w:jc w:val="center"/>
              <w:rPr>
                <w:color w:val="auto"/>
                <w:highlight w:val="none"/>
              </w:rPr>
            </w:pPr>
          </w:p>
        </w:tc>
        <w:tc>
          <w:tcPr>
            <w:tcW w:w="2690" w:type="dxa"/>
            <w:tcBorders>
              <w:top w:val="nil"/>
              <w:left w:val="nil"/>
              <w:bottom w:val="single" w:color="auto" w:sz="4" w:space="0"/>
              <w:right w:val="single" w:color="auto" w:sz="4" w:space="0"/>
            </w:tcBorders>
            <w:vAlign w:val="center"/>
          </w:tcPr>
          <w:p>
            <w:pPr>
              <w:widowControl/>
              <w:spacing w:line="360" w:lineRule="auto"/>
              <w:jc w:val="right"/>
              <w:rPr>
                <w:color w:val="auto"/>
                <w:highlight w:val="none"/>
              </w:rPr>
            </w:pPr>
          </w:p>
        </w:tc>
      </w:tr>
      <w:tr>
        <w:tblPrEx>
          <w:tblCellMar>
            <w:top w:w="0" w:type="dxa"/>
            <w:left w:w="108" w:type="dxa"/>
            <w:bottom w:w="0" w:type="dxa"/>
            <w:right w:w="108" w:type="dxa"/>
          </w:tblCellMar>
        </w:tblPrEx>
        <w:trPr>
          <w:trHeight w:val="397" w:hRule="atLeast"/>
        </w:trPr>
        <w:tc>
          <w:tcPr>
            <w:tcW w:w="958" w:type="dxa"/>
            <w:tcBorders>
              <w:top w:val="nil"/>
              <w:left w:val="single" w:color="auto" w:sz="8" w:space="0"/>
              <w:bottom w:val="single" w:color="auto" w:sz="4" w:space="0"/>
              <w:right w:val="single" w:color="auto" w:sz="4" w:space="0"/>
            </w:tcBorders>
            <w:vAlign w:val="center"/>
          </w:tcPr>
          <w:p>
            <w:pPr>
              <w:jc w:val="center"/>
              <w:rPr>
                <w:rFonts w:hint="eastAsia" w:eastAsia="宋体"/>
                <w:color w:val="auto"/>
                <w:highlight w:val="none"/>
                <w:lang w:val="en-US" w:eastAsia="zh-CN"/>
              </w:rPr>
            </w:pPr>
            <w:r>
              <w:rPr>
                <w:rFonts w:hint="eastAsia"/>
                <w:color w:val="auto"/>
                <w:highlight w:val="none"/>
                <w:lang w:val="en-US" w:eastAsia="zh-CN"/>
              </w:rPr>
              <w:t>2</w:t>
            </w:r>
          </w:p>
        </w:tc>
        <w:tc>
          <w:tcPr>
            <w:tcW w:w="3404" w:type="dxa"/>
            <w:tcBorders>
              <w:top w:val="nil"/>
              <w:left w:val="nil"/>
              <w:bottom w:val="single" w:color="auto" w:sz="4" w:space="0"/>
              <w:right w:val="single" w:color="auto" w:sz="4" w:space="0"/>
            </w:tcBorders>
            <w:vAlign w:val="center"/>
          </w:tcPr>
          <w:p>
            <w:pPr>
              <w:rPr>
                <w:rFonts w:hint="eastAsia"/>
                <w:color w:val="auto"/>
                <w:highlight w:val="none"/>
              </w:rPr>
            </w:pPr>
            <w:r>
              <w:rPr>
                <w:rFonts w:hint="eastAsia"/>
                <w:bCs w:val="0"/>
                <w:i w:val="0"/>
                <w:iCs/>
                <w:color w:val="auto"/>
                <w:sz w:val="21"/>
                <w:szCs w:val="21"/>
                <w:highlight w:val="none"/>
              </w:rPr>
              <w:t>户外检修电源箱、户外动力</w:t>
            </w:r>
            <w:r>
              <w:rPr>
                <w:rFonts w:hint="eastAsia"/>
                <w:b w:val="0"/>
                <w:bCs/>
                <w:i w:val="0"/>
                <w:iCs/>
                <w:color w:val="auto"/>
                <w:sz w:val="21"/>
                <w:szCs w:val="21"/>
                <w:highlight w:val="none"/>
                <w:lang w:val="en-US" w:eastAsia="zh-CN"/>
              </w:rPr>
              <w:t>配电</w:t>
            </w:r>
            <w:r>
              <w:rPr>
                <w:rFonts w:hint="eastAsia"/>
                <w:bCs w:val="0"/>
                <w:i w:val="0"/>
                <w:iCs/>
                <w:color w:val="auto"/>
                <w:sz w:val="21"/>
                <w:szCs w:val="21"/>
                <w:highlight w:val="none"/>
              </w:rPr>
              <w:t>箱</w:t>
            </w:r>
          </w:p>
        </w:tc>
        <w:tc>
          <w:tcPr>
            <w:tcW w:w="850"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852" w:type="dxa"/>
            <w:tcBorders>
              <w:top w:val="nil"/>
              <w:left w:val="nil"/>
              <w:bottom w:val="single" w:color="auto" w:sz="4" w:space="0"/>
              <w:right w:val="single" w:color="auto" w:sz="4" w:space="0"/>
            </w:tcBorders>
            <w:vAlign w:val="center"/>
          </w:tcPr>
          <w:p>
            <w:pPr>
              <w:ind w:firstLine="308" w:firstLineChars="147"/>
              <w:rPr>
                <w:color w:val="auto"/>
                <w:highlight w:val="none"/>
              </w:rPr>
            </w:pPr>
          </w:p>
        </w:tc>
        <w:tc>
          <w:tcPr>
            <w:tcW w:w="1135" w:type="dxa"/>
            <w:tcBorders>
              <w:top w:val="nil"/>
              <w:left w:val="nil"/>
              <w:bottom w:val="single" w:color="auto" w:sz="4" w:space="0"/>
              <w:right w:val="single" w:color="auto" w:sz="4" w:space="0"/>
            </w:tcBorders>
            <w:vAlign w:val="center"/>
          </w:tcPr>
          <w:p>
            <w:pPr>
              <w:jc w:val="center"/>
              <w:rPr>
                <w:color w:val="auto"/>
                <w:highlight w:val="none"/>
              </w:rPr>
            </w:pPr>
          </w:p>
        </w:tc>
        <w:tc>
          <w:tcPr>
            <w:tcW w:w="2690" w:type="dxa"/>
            <w:tcBorders>
              <w:top w:val="nil"/>
              <w:left w:val="nil"/>
              <w:bottom w:val="single" w:color="auto" w:sz="4" w:space="0"/>
              <w:right w:val="single" w:color="auto" w:sz="4" w:space="0"/>
            </w:tcBorders>
            <w:vAlign w:val="center"/>
          </w:tcPr>
          <w:p>
            <w:pPr>
              <w:ind w:firstLine="617" w:firstLineChars="294"/>
              <w:jc w:val="right"/>
              <w:rPr>
                <w:color w:val="auto"/>
                <w:highlight w:val="none"/>
              </w:rPr>
            </w:pPr>
          </w:p>
        </w:tc>
      </w:tr>
      <w:tr>
        <w:tblPrEx>
          <w:tblCellMar>
            <w:top w:w="0" w:type="dxa"/>
            <w:left w:w="108" w:type="dxa"/>
            <w:bottom w:w="0" w:type="dxa"/>
            <w:right w:w="108" w:type="dxa"/>
          </w:tblCellMar>
        </w:tblPrEx>
        <w:trPr>
          <w:trHeight w:val="397" w:hRule="atLeast"/>
        </w:trPr>
        <w:tc>
          <w:tcPr>
            <w:tcW w:w="958" w:type="dxa"/>
            <w:tcBorders>
              <w:top w:val="nil"/>
              <w:left w:val="single" w:color="auto" w:sz="8" w:space="0"/>
              <w:bottom w:val="single" w:color="auto" w:sz="4" w:space="0"/>
              <w:right w:val="single" w:color="auto" w:sz="4" w:space="0"/>
            </w:tcBorders>
            <w:vAlign w:val="center"/>
          </w:tcPr>
          <w:p>
            <w:pPr>
              <w:jc w:val="center"/>
              <w:rPr>
                <w:color w:val="auto"/>
                <w:highlight w:val="none"/>
              </w:rPr>
            </w:pPr>
            <w:r>
              <w:rPr>
                <w:rFonts w:hint="eastAsia"/>
                <w:color w:val="auto"/>
                <w:highlight w:val="none"/>
              </w:rPr>
              <w:t>（二）</w:t>
            </w:r>
          </w:p>
        </w:tc>
        <w:tc>
          <w:tcPr>
            <w:tcW w:w="3404"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rPr>
              <w:t>材料部分</w:t>
            </w:r>
          </w:p>
        </w:tc>
        <w:tc>
          <w:tcPr>
            <w:tcW w:w="850"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852" w:type="dxa"/>
            <w:tcBorders>
              <w:top w:val="nil"/>
              <w:left w:val="nil"/>
              <w:bottom w:val="single" w:color="auto" w:sz="4" w:space="0"/>
              <w:right w:val="single" w:color="auto" w:sz="4" w:space="0"/>
            </w:tcBorders>
            <w:vAlign w:val="center"/>
          </w:tcPr>
          <w:p>
            <w:pPr>
              <w:ind w:firstLine="308" w:firstLineChars="147"/>
              <w:rPr>
                <w:color w:val="auto"/>
                <w:highlight w:val="none"/>
              </w:rPr>
            </w:pPr>
          </w:p>
        </w:tc>
        <w:tc>
          <w:tcPr>
            <w:tcW w:w="1135" w:type="dxa"/>
            <w:tcBorders>
              <w:top w:val="nil"/>
              <w:left w:val="nil"/>
              <w:bottom w:val="single" w:color="auto" w:sz="4" w:space="0"/>
              <w:right w:val="single" w:color="auto" w:sz="4" w:space="0"/>
            </w:tcBorders>
            <w:vAlign w:val="center"/>
          </w:tcPr>
          <w:p>
            <w:pPr>
              <w:jc w:val="center"/>
              <w:rPr>
                <w:color w:val="auto"/>
                <w:highlight w:val="none"/>
              </w:rPr>
            </w:pPr>
          </w:p>
        </w:tc>
        <w:tc>
          <w:tcPr>
            <w:tcW w:w="2690" w:type="dxa"/>
            <w:tcBorders>
              <w:top w:val="nil"/>
              <w:left w:val="nil"/>
              <w:bottom w:val="single" w:color="auto" w:sz="4" w:space="0"/>
              <w:right w:val="single" w:color="auto" w:sz="4" w:space="0"/>
            </w:tcBorders>
            <w:vAlign w:val="center"/>
          </w:tcPr>
          <w:p>
            <w:pPr>
              <w:ind w:firstLine="617" w:firstLineChars="294"/>
              <w:jc w:val="right"/>
              <w:rPr>
                <w:color w:val="auto"/>
                <w:highlight w:val="none"/>
              </w:rPr>
            </w:pPr>
          </w:p>
        </w:tc>
      </w:tr>
      <w:tr>
        <w:tblPrEx>
          <w:tblCellMar>
            <w:top w:w="0" w:type="dxa"/>
            <w:left w:w="108" w:type="dxa"/>
            <w:bottom w:w="0" w:type="dxa"/>
            <w:right w:w="108" w:type="dxa"/>
          </w:tblCellMar>
        </w:tblPrEx>
        <w:trPr>
          <w:trHeight w:val="397" w:hRule="atLeast"/>
        </w:trPr>
        <w:tc>
          <w:tcPr>
            <w:tcW w:w="958" w:type="dxa"/>
            <w:tcBorders>
              <w:top w:val="nil"/>
              <w:left w:val="single" w:color="auto" w:sz="8" w:space="0"/>
              <w:bottom w:val="single" w:color="auto" w:sz="4" w:space="0"/>
              <w:right w:val="single" w:color="auto" w:sz="4" w:space="0"/>
            </w:tcBorders>
            <w:vAlign w:val="center"/>
          </w:tcPr>
          <w:p>
            <w:pPr>
              <w:jc w:val="center"/>
              <w:rPr>
                <w:color w:val="auto"/>
                <w:highlight w:val="none"/>
              </w:rPr>
            </w:pPr>
            <w:r>
              <w:rPr>
                <w:color w:val="auto"/>
                <w:highlight w:val="none"/>
              </w:rPr>
              <w:t>1</w:t>
            </w:r>
          </w:p>
        </w:tc>
        <w:tc>
          <w:tcPr>
            <w:tcW w:w="3404" w:type="dxa"/>
            <w:tcBorders>
              <w:top w:val="nil"/>
              <w:left w:val="nil"/>
              <w:bottom w:val="single" w:color="auto" w:sz="4" w:space="0"/>
              <w:right w:val="single" w:color="auto" w:sz="4" w:space="0"/>
            </w:tcBorders>
            <w:vAlign w:val="center"/>
          </w:tcPr>
          <w:p>
            <w:pPr>
              <w:widowControl/>
              <w:spacing w:line="240" w:lineRule="auto"/>
              <w:rPr>
                <w:color w:val="auto"/>
                <w:highlight w:val="none"/>
              </w:rPr>
            </w:pPr>
            <w:r>
              <w:rPr>
                <w:rFonts w:hint="eastAsia" w:hAnsi="Calibri"/>
                <w:color w:val="auto"/>
                <w:spacing w:val="10"/>
                <w:kern w:val="2"/>
                <w:highlight w:val="none"/>
              </w:rPr>
              <w:t>电力电缆（</w:t>
            </w:r>
            <w:r>
              <w:rPr>
                <w:rFonts w:hint="eastAsia" w:hAnsi="宋体"/>
                <w:color w:val="000000"/>
                <w:kern w:val="0"/>
                <w:szCs w:val="20"/>
                <w:highlight w:val="none"/>
              </w:rPr>
              <w:t>不含消防电缆、照明电缆、通信电缆</w:t>
            </w:r>
            <w:r>
              <w:rPr>
                <w:rFonts w:hint="eastAsia" w:hAnsi="Calibri"/>
                <w:color w:val="auto"/>
                <w:spacing w:val="10"/>
                <w:kern w:val="2"/>
                <w:highlight w:val="none"/>
              </w:rPr>
              <w:t>）、部分动力电缆（不含清册开列注明的乙供动力电缆）</w:t>
            </w:r>
          </w:p>
        </w:tc>
        <w:tc>
          <w:tcPr>
            <w:tcW w:w="850"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852"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r>
              <w:rPr>
                <w:color w:val="auto"/>
                <w:highlight w:val="none"/>
              </w:rPr>
              <w:t>m</w:t>
            </w:r>
          </w:p>
        </w:tc>
        <w:tc>
          <w:tcPr>
            <w:tcW w:w="1135"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自行计算</w:t>
            </w:r>
          </w:p>
        </w:tc>
        <w:tc>
          <w:tcPr>
            <w:tcW w:w="2690" w:type="dxa"/>
            <w:tcBorders>
              <w:top w:val="nil"/>
              <w:left w:val="nil"/>
              <w:bottom w:val="single" w:color="auto" w:sz="4" w:space="0"/>
              <w:right w:val="single" w:color="auto" w:sz="4" w:space="0"/>
            </w:tcBorders>
            <w:vAlign w:val="center"/>
          </w:tcPr>
          <w:p>
            <w:pPr>
              <w:jc w:val="both"/>
              <w:rPr>
                <w:color w:val="auto"/>
                <w:highlight w:val="none"/>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58" w:type="dxa"/>
            <w:tcBorders>
              <w:top w:val="nil"/>
              <w:left w:val="single" w:color="auto" w:sz="8" w:space="0"/>
              <w:bottom w:val="single" w:color="auto" w:sz="4" w:space="0"/>
              <w:right w:val="single" w:color="auto" w:sz="4" w:space="0"/>
            </w:tcBorders>
            <w:vAlign w:val="center"/>
          </w:tcPr>
          <w:p>
            <w:pPr>
              <w:jc w:val="center"/>
              <w:rPr>
                <w:color w:val="auto"/>
                <w:highlight w:val="none"/>
              </w:rPr>
            </w:pPr>
            <w:r>
              <w:rPr>
                <w:color w:val="auto"/>
                <w:highlight w:val="none"/>
              </w:rPr>
              <w:t>2</w:t>
            </w:r>
          </w:p>
        </w:tc>
        <w:tc>
          <w:tcPr>
            <w:tcW w:w="3404" w:type="dxa"/>
            <w:tcBorders>
              <w:top w:val="nil"/>
              <w:left w:val="nil"/>
              <w:bottom w:val="single" w:color="auto" w:sz="4" w:space="0"/>
              <w:right w:val="single" w:color="auto" w:sz="4" w:space="0"/>
            </w:tcBorders>
            <w:vAlign w:val="center"/>
          </w:tcPr>
          <w:p>
            <w:pPr>
              <w:snapToGrid w:val="0"/>
              <w:rPr>
                <w:color w:val="auto"/>
                <w:spacing w:val="10"/>
                <w:highlight w:val="none"/>
              </w:rPr>
            </w:pPr>
            <w:r>
              <w:rPr>
                <w:rFonts w:hint="eastAsia"/>
                <w:color w:val="auto"/>
                <w:spacing w:val="10"/>
                <w:highlight w:val="none"/>
              </w:rPr>
              <w:t>控制电缆（</w:t>
            </w:r>
            <w:r>
              <w:rPr>
                <w:rFonts w:hint="eastAsia" w:hAnsi="宋体"/>
                <w:color w:val="000000"/>
                <w:kern w:val="0"/>
                <w:szCs w:val="20"/>
                <w:highlight w:val="none"/>
              </w:rPr>
              <w:t>不含消防电缆、照明电缆、通信电缆、装置对时电缆</w:t>
            </w:r>
            <w:r>
              <w:rPr>
                <w:rFonts w:hint="eastAsia"/>
                <w:color w:val="auto"/>
                <w:spacing w:val="10"/>
                <w:highlight w:val="none"/>
              </w:rPr>
              <w:t>）</w:t>
            </w:r>
          </w:p>
        </w:tc>
        <w:tc>
          <w:tcPr>
            <w:tcW w:w="850" w:type="dxa"/>
            <w:tcBorders>
              <w:top w:val="nil"/>
              <w:left w:val="nil"/>
              <w:bottom w:val="single" w:color="auto" w:sz="4" w:space="0"/>
              <w:right w:val="single" w:color="auto" w:sz="4" w:space="0"/>
            </w:tcBorders>
            <w:vAlign w:val="center"/>
          </w:tcPr>
          <w:p>
            <w:pPr>
              <w:snapToGrid w:val="0"/>
              <w:jc w:val="center"/>
              <w:rPr>
                <w:rFonts w:ascii="宋体"/>
                <w:color w:val="auto"/>
                <w:highlight w:val="none"/>
              </w:rPr>
            </w:pPr>
          </w:p>
        </w:tc>
        <w:tc>
          <w:tcPr>
            <w:tcW w:w="852" w:type="dxa"/>
            <w:tcBorders>
              <w:top w:val="nil"/>
              <w:left w:val="nil"/>
              <w:bottom w:val="single" w:color="auto" w:sz="4" w:space="0"/>
              <w:right w:val="single" w:color="auto" w:sz="4" w:space="0"/>
            </w:tcBorders>
            <w:vAlign w:val="center"/>
          </w:tcPr>
          <w:p>
            <w:pPr>
              <w:jc w:val="center"/>
              <w:rPr>
                <w:color w:val="auto"/>
                <w:highlight w:val="none"/>
              </w:rPr>
            </w:pPr>
            <w:r>
              <w:rPr>
                <w:color w:val="auto"/>
                <w:highlight w:val="none"/>
              </w:rPr>
              <w:t>m</w:t>
            </w:r>
          </w:p>
        </w:tc>
        <w:tc>
          <w:tcPr>
            <w:tcW w:w="1135"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自行计算</w:t>
            </w:r>
          </w:p>
        </w:tc>
        <w:tc>
          <w:tcPr>
            <w:tcW w:w="2690" w:type="dxa"/>
            <w:tcBorders>
              <w:top w:val="nil"/>
              <w:left w:val="nil"/>
              <w:bottom w:val="single" w:color="auto" w:sz="4" w:space="0"/>
              <w:right w:val="single" w:color="auto" w:sz="4" w:space="0"/>
            </w:tcBorders>
            <w:vAlign w:val="top"/>
          </w:tcPr>
          <w:p>
            <w:pPr>
              <w:rPr>
                <w:color w:val="auto"/>
                <w:highlight w:val="none"/>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58" w:type="dxa"/>
            <w:tcBorders>
              <w:top w:val="nil"/>
              <w:left w:val="single" w:color="auto" w:sz="8" w:space="0"/>
              <w:bottom w:val="single" w:color="auto" w:sz="4" w:space="0"/>
              <w:right w:val="single" w:color="auto" w:sz="4" w:space="0"/>
            </w:tcBorders>
            <w:vAlign w:val="center"/>
          </w:tcPr>
          <w:p>
            <w:pPr>
              <w:jc w:val="center"/>
              <w:rPr>
                <w:color w:val="auto"/>
                <w:highlight w:val="none"/>
              </w:rPr>
            </w:pPr>
            <w:r>
              <w:rPr>
                <w:color w:val="auto"/>
                <w:highlight w:val="none"/>
              </w:rPr>
              <w:t>3</w:t>
            </w:r>
          </w:p>
        </w:tc>
        <w:tc>
          <w:tcPr>
            <w:tcW w:w="3404" w:type="dxa"/>
            <w:tcBorders>
              <w:top w:val="nil"/>
              <w:left w:val="nil"/>
              <w:bottom w:val="single" w:color="auto" w:sz="4" w:space="0"/>
              <w:right w:val="single" w:color="auto" w:sz="4" w:space="0"/>
            </w:tcBorders>
            <w:vAlign w:val="center"/>
          </w:tcPr>
          <w:p>
            <w:pPr>
              <w:snapToGrid w:val="0"/>
              <w:rPr>
                <w:color w:val="auto"/>
                <w:spacing w:val="10"/>
                <w:highlight w:val="none"/>
              </w:rPr>
            </w:pPr>
            <w:r>
              <w:rPr>
                <w:color w:val="auto"/>
                <w:spacing w:val="10"/>
                <w:highlight w:val="none"/>
              </w:rPr>
              <w:t>10kV</w:t>
            </w:r>
            <w:r>
              <w:rPr>
                <w:rFonts w:hint="eastAsia"/>
                <w:color w:val="auto"/>
                <w:spacing w:val="10"/>
                <w:highlight w:val="none"/>
              </w:rPr>
              <w:t>及以上冷、热缩电缆头</w:t>
            </w:r>
          </w:p>
        </w:tc>
        <w:tc>
          <w:tcPr>
            <w:tcW w:w="850" w:type="dxa"/>
            <w:tcBorders>
              <w:top w:val="nil"/>
              <w:left w:val="nil"/>
              <w:bottom w:val="single" w:color="auto" w:sz="4" w:space="0"/>
              <w:right w:val="single" w:color="auto" w:sz="4" w:space="0"/>
            </w:tcBorders>
            <w:vAlign w:val="center"/>
          </w:tcPr>
          <w:p>
            <w:pPr>
              <w:snapToGrid w:val="0"/>
              <w:rPr>
                <w:rFonts w:ascii="宋体"/>
                <w:color w:val="auto"/>
                <w:highlight w:val="none"/>
              </w:rPr>
            </w:pPr>
          </w:p>
        </w:tc>
        <w:tc>
          <w:tcPr>
            <w:tcW w:w="852"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套</w:t>
            </w:r>
          </w:p>
        </w:tc>
        <w:tc>
          <w:tcPr>
            <w:tcW w:w="1135"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自行计算</w:t>
            </w:r>
          </w:p>
        </w:tc>
        <w:tc>
          <w:tcPr>
            <w:tcW w:w="2690" w:type="dxa"/>
            <w:tcBorders>
              <w:top w:val="nil"/>
              <w:left w:val="nil"/>
              <w:bottom w:val="single" w:color="auto" w:sz="4" w:space="0"/>
              <w:right w:val="single" w:color="auto" w:sz="4" w:space="0"/>
            </w:tcBorders>
            <w:vAlign w:val="top"/>
          </w:tcPr>
          <w:p>
            <w:pPr>
              <w:rPr>
                <w:color w:val="auto"/>
                <w:highlight w:val="none"/>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4" w:space="0"/>
              <w:bottom w:val="single" w:color="auto" w:sz="6" w:space="0"/>
              <w:right w:val="single" w:color="auto" w:sz="6" w:space="0"/>
            </w:tcBorders>
            <w:vAlign w:val="center"/>
          </w:tcPr>
          <w:p>
            <w:pPr>
              <w:jc w:val="center"/>
              <w:rPr>
                <w:color w:val="auto"/>
                <w:highlight w:val="none"/>
              </w:rPr>
            </w:pPr>
            <w:r>
              <w:rPr>
                <w:color w:val="auto"/>
                <w:highlight w:val="none"/>
              </w:rPr>
              <w:t>4</w:t>
            </w:r>
          </w:p>
        </w:tc>
        <w:tc>
          <w:tcPr>
            <w:tcW w:w="3404" w:type="dxa"/>
            <w:tcBorders>
              <w:top w:val="single" w:color="auto" w:sz="6" w:space="0"/>
              <w:left w:val="single" w:color="auto" w:sz="6" w:space="0"/>
              <w:bottom w:val="single" w:color="auto" w:sz="6" w:space="0"/>
              <w:right w:val="single" w:color="auto" w:sz="4" w:space="0"/>
            </w:tcBorders>
            <w:vAlign w:val="center"/>
          </w:tcPr>
          <w:p>
            <w:pPr>
              <w:snapToGrid w:val="0"/>
              <w:rPr>
                <w:color w:val="auto"/>
                <w:spacing w:val="10"/>
                <w:highlight w:val="none"/>
              </w:rPr>
            </w:pPr>
            <w:r>
              <w:rPr>
                <w:rFonts w:hint="eastAsia"/>
                <w:color w:val="auto"/>
                <w:spacing w:val="10"/>
                <w:highlight w:val="none"/>
              </w:rPr>
              <w:t>变电站钢结构</w:t>
            </w:r>
          </w:p>
        </w:tc>
        <w:tc>
          <w:tcPr>
            <w:tcW w:w="850" w:type="dxa"/>
            <w:tcBorders>
              <w:top w:val="single" w:color="auto" w:sz="6" w:space="0"/>
              <w:left w:val="single" w:color="auto" w:sz="4" w:space="0"/>
              <w:bottom w:val="single" w:color="auto" w:sz="6" w:space="0"/>
              <w:right w:val="single" w:color="auto" w:sz="6" w:space="0"/>
            </w:tcBorders>
            <w:vAlign w:val="center"/>
          </w:tcPr>
          <w:p>
            <w:pPr>
              <w:snapToGrid w:val="0"/>
              <w:rPr>
                <w:rFonts w:ascii="宋体"/>
                <w:color w:val="auto"/>
                <w:highlight w:val="none"/>
              </w:rPr>
            </w:pPr>
          </w:p>
        </w:tc>
        <w:tc>
          <w:tcPr>
            <w:tcW w:w="852"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color w:val="auto"/>
                <w:highlight w:val="none"/>
              </w:rPr>
              <w:t>t</w:t>
            </w:r>
          </w:p>
        </w:tc>
        <w:tc>
          <w:tcPr>
            <w:tcW w:w="1135"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自行计算</w:t>
            </w:r>
          </w:p>
        </w:tc>
        <w:tc>
          <w:tcPr>
            <w:tcW w:w="2690" w:type="dxa"/>
            <w:tcBorders>
              <w:top w:val="single" w:color="auto" w:sz="6" w:space="0"/>
              <w:left w:val="single" w:color="auto" w:sz="6" w:space="0"/>
              <w:bottom w:val="single" w:color="auto" w:sz="6" w:space="0"/>
              <w:right w:val="single" w:color="auto" w:sz="4" w:space="0"/>
            </w:tcBorders>
            <w:vAlign w:val="top"/>
          </w:tcPr>
          <w:p>
            <w:pPr>
              <w:rPr>
                <w:color w:val="auto"/>
                <w:highlight w:val="none"/>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4" w:space="0"/>
              <w:bottom w:val="nil"/>
              <w:right w:val="single" w:color="auto" w:sz="6" w:space="0"/>
            </w:tcBorders>
            <w:vAlign w:val="center"/>
          </w:tcPr>
          <w:p>
            <w:pPr>
              <w:jc w:val="center"/>
              <w:rPr>
                <w:color w:val="auto"/>
                <w:highlight w:val="none"/>
              </w:rPr>
            </w:pPr>
            <w:r>
              <w:rPr>
                <w:color w:val="auto"/>
                <w:highlight w:val="none"/>
              </w:rPr>
              <w:t>6</w:t>
            </w:r>
          </w:p>
        </w:tc>
        <w:tc>
          <w:tcPr>
            <w:tcW w:w="3404" w:type="dxa"/>
            <w:tcBorders>
              <w:top w:val="single" w:color="auto" w:sz="6" w:space="0"/>
              <w:left w:val="single" w:color="auto" w:sz="6" w:space="0"/>
              <w:bottom w:val="nil"/>
              <w:right w:val="single" w:color="auto" w:sz="4" w:space="0"/>
            </w:tcBorders>
            <w:vAlign w:val="center"/>
          </w:tcPr>
          <w:p>
            <w:pPr>
              <w:snapToGrid w:val="0"/>
              <w:rPr>
                <w:rFonts w:hint="default" w:eastAsia="宋体"/>
                <w:color w:val="auto"/>
                <w:highlight w:val="none"/>
                <w:lang w:val="en-US" w:eastAsia="zh-CN"/>
              </w:rPr>
            </w:pPr>
            <w:r>
              <w:rPr>
                <w:rFonts w:hint="eastAsia"/>
                <w:color w:val="auto"/>
                <w:highlight w:val="none"/>
              </w:rPr>
              <w:t>35kV</w:t>
            </w:r>
            <w:r>
              <w:rPr>
                <w:rFonts w:hint="eastAsia"/>
                <w:color w:val="auto"/>
                <w:highlight w:val="none"/>
                <w:lang w:eastAsia="zh-CN"/>
              </w:rPr>
              <w:t>及以上</w:t>
            </w:r>
            <w:r>
              <w:rPr>
                <w:rFonts w:hint="eastAsia"/>
                <w:color w:val="auto"/>
                <w:highlight w:val="none"/>
              </w:rPr>
              <w:t>支柱绝缘子</w:t>
            </w:r>
          </w:p>
        </w:tc>
        <w:tc>
          <w:tcPr>
            <w:tcW w:w="850" w:type="dxa"/>
            <w:tcBorders>
              <w:top w:val="single" w:color="auto" w:sz="6" w:space="0"/>
              <w:left w:val="single" w:color="auto" w:sz="4" w:space="0"/>
              <w:bottom w:val="single" w:color="auto" w:sz="6" w:space="0"/>
              <w:right w:val="single" w:color="auto" w:sz="6" w:space="0"/>
            </w:tcBorders>
            <w:vAlign w:val="center"/>
          </w:tcPr>
          <w:p>
            <w:pPr>
              <w:snapToGrid w:val="0"/>
              <w:rPr>
                <w:rFonts w:ascii="宋体"/>
                <w:color w:val="auto"/>
                <w:highlight w:val="none"/>
              </w:rPr>
            </w:pPr>
          </w:p>
        </w:tc>
        <w:tc>
          <w:tcPr>
            <w:tcW w:w="852"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个</w:t>
            </w:r>
          </w:p>
        </w:tc>
        <w:tc>
          <w:tcPr>
            <w:tcW w:w="1135"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自行计算</w:t>
            </w:r>
          </w:p>
        </w:tc>
        <w:tc>
          <w:tcPr>
            <w:tcW w:w="2690" w:type="dxa"/>
            <w:tcBorders>
              <w:top w:val="single" w:color="auto" w:sz="6" w:space="0"/>
              <w:left w:val="single" w:color="auto" w:sz="6" w:space="0"/>
              <w:bottom w:val="single" w:color="auto" w:sz="6" w:space="0"/>
              <w:right w:val="single" w:color="auto" w:sz="4" w:space="0"/>
            </w:tcBorders>
            <w:vAlign w:val="top"/>
          </w:tcPr>
          <w:p>
            <w:pPr>
              <w:rPr>
                <w:color w:val="auto"/>
                <w:highlight w:val="none"/>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4" w:space="0"/>
              <w:bottom w:val="nil"/>
              <w:right w:val="single" w:color="auto" w:sz="6" w:space="0"/>
            </w:tcBorders>
            <w:vAlign w:val="center"/>
          </w:tcPr>
          <w:p>
            <w:pPr>
              <w:jc w:val="center"/>
              <w:rPr>
                <w:color w:val="auto"/>
                <w:highlight w:val="none"/>
              </w:rPr>
            </w:pPr>
            <w:r>
              <w:rPr>
                <w:rFonts w:hint="eastAsia"/>
                <w:color w:val="auto"/>
                <w:highlight w:val="none"/>
                <w:lang w:val="en-US" w:eastAsia="zh-CN"/>
              </w:rPr>
              <w:t>7</w:t>
            </w:r>
          </w:p>
        </w:tc>
        <w:tc>
          <w:tcPr>
            <w:tcW w:w="3404" w:type="dxa"/>
            <w:tcBorders>
              <w:top w:val="single" w:color="auto" w:sz="6" w:space="0"/>
              <w:left w:val="single" w:color="auto" w:sz="6" w:space="0"/>
              <w:bottom w:val="nil"/>
              <w:right w:val="single" w:color="auto" w:sz="4" w:space="0"/>
            </w:tcBorders>
            <w:vAlign w:val="center"/>
          </w:tcPr>
          <w:p>
            <w:pPr>
              <w:snapToGrid w:val="0"/>
              <w:rPr>
                <w:color w:val="auto"/>
                <w:highlight w:val="none"/>
              </w:rPr>
            </w:pPr>
            <w:r>
              <w:rPr>
                <w:rFonts w:hint="eastAsia"/>
                <w:color w:val="auto"/>
                <w:highlight w:val="none"/>
              </w:rPr>
              <w:t>铜管型母线及管母金具</w:t>
            </w:r>
          </w:p>
        </w:tc>
        <w:tc>
          <w:tcPr>
            <w:tcW w:w="850" w:type="dxa"/>
            <w:tcBorders>
              <w:top w:val="single" w:color="auto" w:sz="6" w:space="0"/>
              <w:left w:val="single" w:color="auto" w:sz="4" w:space="0"/>
              <w:bottom w:val="single" w:color="auto" w:sz="6" w:space="0"/>
              <w:right w:val="single" w:color="auto" w:sz="6" w:space="0"/>
            </w:tcBorders>
            <w:vAlign w:val="center"/>
          </w:tcPr>
          <w:p>
            <w:pPr>
              <w:snapToGrid w:val="0"/>
              <w:rPr>
                <w:rFonts w:ascii="宋体"/>
                <w:color w:val="auto"/>
                <w:highlight w:val="none"/>
              </w:rPr>
            </w:pPr>
          </w:p>
        </w:tc>
        <w:tc>
          <w:tcPr>
            <w:tcW w:w="852" w:type="dxa"/>
            <w:tcBorders>
              <w:top w:val="single" w:color="auto" w:sz="6" w:space="0"/>
              <w:left w:val="single" w:color="auto" w:sz="6" w:space="0"/>
              <w:bottom w:val="single" w:color="auto" w:sz="6" w:space="0"/>
              <w:right w:val="single" w:color="auto" w:sz="6" w:space="0"/>
            </w:tcBorders>
            <w:vAlign w:val="center"/>
          </w:tcPr>
          <w:p>
            <w:pPr>
              <w:ind w:firstLine="308" w:firstLineChars="147"/>
              <w:rPr>
                <w:color w:val="auto"/>
                <w:highlight w:val="none"/>
              </w:rPr>
            </w:pPr>
          </w:p>
        </w:tc>
        <w:tc>
          <w:tcPr>
            <w:tcW w:w="1135"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自行计算</w:t>
            </w:r>
          </w:p>
        </w:tc>
        <w:tc>
          <w:tcPr>
            <w:tcW w:w="2690" w:type="dxa"/>
            <w:tcBorders>
              <w:top w:val="single" w:color="auto" w:sz="6" w:space="0"/>
              <w:left w:val="single" w:color="auto" w:sz="6" w:space="0"/>
              <w:bottom w:val="single" w:color="auto" w:sz="6" w:space="0"/>
              <w:right w:val="single" w:color="auto" w:sz="4" w:space="0"/>
            </w:tcBorders>
            <w:vAlign w:val="top"/>
          </w:tcPr>
          <w:p>
            <w:pPr>
              <w:rPr>
                <w:color w:val="auto"/>
                <w:highlight w:val="none"/>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jc w:val="center"/>
              <w:rPr>
                <w:rFonts w:hint="eastAsia" w:eastAsia="宋体"/>
                <w:color w:val="auto"/>
                <w:highlight w:val="none"/>
                <w:lang w:val="en-US" w:eastAsia="zh-CN"/>
              </w:rPr>
            </w:pPr>
            <w:r>
              <w:rPr>
                <w:rFonts w:hint="eastAsia"/>
                <w:color w:val="auto"/>
                <w:highlight w:val="none"/>
                <w:lang w:val="en-US" w:eastAsia="zh-CN"/>
              </w:rPr>
              <w:t>8</w:t>
            </w:r>
          </w:p>
        </w:tc>
        <w:tc>
          <w:tcPr>
            <w:tcW w:w="3404" w:type="dxa"/>
            <w:tcBorders>
              <w:top w:val="single" w:color="auto" w:sz="6" w:space="0"/>
              <w:left w:val="single" w:color="auto" w:sz="6" w:space="0"/>
              <w:bottom w:val="single" w:color="auto" w:sz="6" w:space="0"/>
              <w:right w:val="single" w:color="auto" w:sz="6" w:space="0"/>
            </w:tcBorders>
            <w:vAlign w:val="center"/>
          </w:tcPr>
          <w:p>
            <w:pPr>
              <w:rPr>
                <w:rFonts w:hint="default"/>
                <w:color w:val="auto"/>
                <w:highlight w:val="none"/>
              </w:rPr>
            </w:pPr>
            <w:r>
              <w:rPr>
                <w:rFonts w:hint="eastAsia"/>
                <w:color w:val="auto"/>
                <w:highlight w:val="none"/>
                <w:lang w:eastAsia="zh-CN"/>
              </w:rPr>
              <w:t>铝包</w:t>
            </w:r>
            <w:r>
              <w:rPr>
                <w:rFonts w:hint="eastAsia"/>
                <w:color w:val="auto"/>
                <w:highlight w:val="none"/>
              </w:rPr>
              <w:t>钢芯铝绞线</w:t>
            </w:r>
            <w:r>
              <w:rPr>
                <w:rFonts w:hint="eastAsia"/>
                <w:color w:val="auto"/>
                <w:highlight w:val="none"/>
                <w:lang w:eastAsia="zh-CN"/>
              </w:rPr>
              <w:t>、</w:t>
            </w:r>
            <w:r>
              <w:rPr>
                <w:rFonts w:hint="eastAsia"/>
                <w:color w:val="auto"/>
                <w:highlight w:val="none"/>
                <w:lang w:val="en-US" w:eastAsia="zh-CN"/>
              </w:rPr>
              <w:t>耐热铝合金导线</w:t>
            </w:r>
          </w:p>
        </w:tc>
        <w:tc>
          <w:tcPr>
            <w:tcW w:w="850"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color w:val="auto"/>
                <w:highlight w:val="none"/>
              </w:rPr>
            </w:pPr>
          </w:p>
        </w:tc>
        <w:tc>
          <w:tcPr>
            <w:tcW w:w="852"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ascii="宋体" w:hAnsi="宋体"/>
                <w:color w:val="auto"/>
                <w:highlight w:val="none"/>
              </w:rPr>
              <w:t>吨</w:t>
            </w:r>
          </w:p>
        </w:tc>
        <w:tc>
          <w:tcPr>
            <w:tcW w:w="1135"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自行统计</w:t>
            </w:r>
          </w:p>
        </w:tc>
        <w:tc>
          <w:tcPr>
            <w:tcW w:w="2690" w:type="dxa"/>
            <w:tcBorders>
              <w:top w:val="single" w:color="auto" w:sz="6" w:space="0"/>
              <w:left w:val="single" w:color="auto" w:sz="6" w:space="0"/>
              <w:bottom w:val="single" w:color="auto" w:sz="6" w:space="0"/>
              <w:right w:val="single" w:color="auto" w:sz="4" w:space="0"/>
            </w:tcBorders>
            <w:vAlign w:val="top"/>
          </w:tcPr>
          <w:p>
            <w:pPr>
              <w:rPr>
                <w:color w:val="auto"/>
                <w:highlight w:val="none"/>
              </w:rPr>
            </w:pPr>
            <w:r>
              <w:rPr>
                <w:rFonts w:hint="eastAsia"/>
                <w:color w:val="auto"/>
                <w:highlight w:val="none"/>
              </w:rPr>
              <w:t>电力建设工程装置性材料预算价（</w:t>
            </w:r>
            <w:r>
              <w:rPr>
                <w:rFonts w:hint="eastAsia"/>
                <w:color w:val="auto"/>
                <w:highlight w:val="none"/>
                <w:lang w:eastAsia="zh-CN"/>
              </w:rPr>
              <w:t>2018年版</w:t>
            </w:r>
            <w:r>
              <w:rPr>
                <w:rFonts w:hint="eastAsia"/>
                <w:color w:val="auto"/>
                <w:highlight w:val="none"/>
              </w:rPr>
              <w:t>）</w:t>
            </w: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jc w:val="center"/>
              <w:rPr>
                <w:rFonts w:hint="eastAsia"/>
                <w:color w:val="auto"/>
                <w:highlight w:val="none"/>
              </w:rPr>
            </w:pPr>
            <w:r>
              <w:rPr>
                <w:rFonts w:hint="eastAsia"/>
                <w:color w:val="auto"/>
                <w:highlight w:val="none"/>
                <w:lang w:val="en-US" w:eastAsia="zh-CN"/>
              </w:rPr>
              <w:t>9</w:t>
            </w:r>
          </w:p>
        </w:tc>
        <w:tc>
          <w:tcPr>
            <w:tcW w:w="3404" w:type="dxa"/>
            <w:tcBorders>
              <w:top w:val="single" w:color="auto" w:sz="6" w:space="0"/>
              <w:left w:val="single" w:color="auto" w:sz="6" w:space="0"/>
              <w:bottom w:val="single" w:color="auto" w:sz="6" w:space="0"/>
              <w:right w:val="single" w:color="auto" w:sz="6" w:space="0"/>
            </w:tcBorders>
            <w:vAlign w:val="center"/>
          </w:tcPr>
          <w:p>
            <w:pPr>
              <w:rPr>
                <w:rFonts w:hint="eastAsia"/>
                <w:color w:val="auto"/>
                <w:highlight w:val="none"/>
              </w:rPr>
            </w:pPr>
            <w:r>
              <w:rPr>
                <w:rFonts w:hint="eastAsia"/>
                <w:color w:val="auto"/>
                <w:highlight w:val="none"/>
              </w:rPr>
              <w:t>镀锌钢绞线</w:t>
            </w:r>
            <w:r>
              <w:rPr>
                <w:rFonts w:hint="eastAsia"/>
                <w:color w:val="auto"/>
                <w:highlight w:val="none"/>
                <w:lang w:eastAsia="zh-CN"/>
              </w:rPr>
              <w:t>和铝包钢绞线</w:t>
            </w:r>
          </w:p>
        </w:tc>
        <w:tc>
          <w:tcPr>
            <w:tcW w:w="850"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852"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ascii="宋体" w:hAnsi="宋体"/>
                <w:color w:val="auto"/>
                <w:highlight w:val="none"/>
              </w:rPr>
              <w:t>吨</w:t>
            </w:r>
          </w:p>
        </w:tc>
        <w:tc>
          <w:tcPr>
            <w:tcW w:w="1135"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自行统计</w:t>
            </w:r>
          </w:p>
        </w:tc>
        <w:tc>
          <w:tcPr>
            <w:tcW w:w="2690" w:type="dxa"/>
            <w:tcBorders>
              <w:top w:val="single" w:color="auto" w:sz="6" w:space="0"/>
              <w:left w:val="single" w:color="auto" w:sz="6" w:space="0"/>
              <w:bottom w:val="single" w:color="auto" w:sz="6" w:space="0"/>
              <w:right w:val="single" w:color="auto" w:sz="4" w:space="0"/>
            </w:tcBorders>
            <w:vAlign w:val="top"/>
          </w:tcPr>
          <w:p>
            <w:pPr>
              <w:rPr>
                <w:color w:val="auto"/>
                <w:highlight w:val="none"/>
              </w:rPr>
            </w:pPr>
            <w:r>
              <w:rPr>
                <w:rFonts w:hint="eastAsia"/>
                <w:color w:val="auto"/>
                <w:highlight w:val="none"/>
              </w:rPr>
              <w:t>电力建设工程装置性材料预算价（</w:t>
            </w:r>
            <w:r>
              <w:rPr>
                <w:rFonts w:hint="eastAsia"/>
                <w:color w:val="auto"/>
                <w:highlight w:val="none"/>
                <w:lang w:eastAsia="zh-CN"/>
              </w:rPr>
              <w:t>2018年版</w:t>
            </w:r>
            <w:r>
              <w:rPr>
                <w:rFonts w:hint="eastAsia"/>
                <w:color w:val="auto"/>
                <w:highlight w:val="none"/>
              </w:rPr>
              <w:t>）</w:t>
            </w: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jc w:val="center"/>
              <w:rPr>
                <w:rFonts w:hint="eastAsia"/>
                <w:color w:val="auto"/>
                <w:highlight w:val="none"/>
              </w:rPr>
            </w:pPr>
            <w:r>
              <w:rPr>
                <w:rFonts w:hint="eastAsia"/>
                <w:color w:val="auto"/>
                <w:highlight w:val="none"/>
                <w:lang w:val="en-US" w:eastAsia="zh-CN"/>
              </w:rPr>
              <w:t>10</w:t>
            </w:r>
          </w:p>
        </w:tc>
        <w:tc>
          <w:tcPr>
            <w:tcW w:w="3404" w:type="dxa"/>
            <w:tcBorders>
              <w:top w:val="single" w:color="auto" w:sz="6" w:space="0"/>
              <w:left w:val="single" w:color="auto" w:sz="6" w:space="0"/>
              <w:bottom w:val="single" w:color="auto" w:sz="6" w:space="0"/>
              <w:right w:val="single" w:color="auto" w:sz="6" w:space="0"/>
            </w:tcBorders>
            <w:vAlign w:val="center"/>
          </w:tcPr>
          <w:p>
            <w:pPr>
              <w:rPr>
                <w:rFonts w:hint="eastAsia"/>
                <w:color w:val="auto"/>
                <w:highlight w:val="none"/>
              </w:rPr>
            </w:pPr>
            <w:r>
              <w:rPr>
                <w:rFonts w:hint="eastAsia"/>
                <w:color w:val="auto"/>
                <w:highlight w:val="none"/>
              </w:rPr>
              <w:t>绝缘子</w:t>
            </w:r>
          </w:p>
        </w:tc>
        <w:tc>
          <w:tcPr>
            <w:tcW w:w="850"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852"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ascii="宋体" w:hAnsi="宋体"/>
                <w:color w:val="auto"/>
                <w:highlight w:val="none"/>
                <w:lang w:val="en-US" w:eastAsia="zh-CN"/>
              </w:rPr>
              <w:t>片</w:t>
            </w:r>
          </w:p>
        </w:tc>
        <w:tc>
          <w:tcPr>
            <w:tcW w:w="1135"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自行统计</w:t>
            </w:r>
          </w:p>
        </w:tc>
        <w:tc>
          <w:tcPr>
            <w:tcW w:w="2690" w:type="dxa"/>
            <w:tcBorders>
              <w:top w:val="single" w:color="auto" w:sz="6" w:space="0"/>
              <w:left w:val="single" w:color="auto" w:sz="6" w:space="0"/>
              <w:bottom w:val="single" w:color="auto" w:sz="6" w:space="0"/>
              <w:right w:val="single" w:color="auto" w:sz="4" w:space="0"/>
            </w:tcBorders>
            <w:vAlign w:val="top"/>
          </w:tcPr>
          <w:p>
            <w:pPr>
              <w:rPr>
                <w:color w:val="auto"/>
                <w:highlight w:val="none"/>
              </w:rPr>
            </w:pPr>
            <w:r>
              <w:rPr>
                <w:rFonts w:hint="eastAsia"/>
                <w:color w:val="auto"/>
                <w:highlight w:val="none"/>
              </w:rPr>
              <w:t>电力建设工程装置性材料预算价（</w:t>
            </w:r>
            <w:r>
              <w:rPr>
                <w:rFonts w:hint="eastAsia"/>
                <w:color w:val="auto"/>
                <w:highlight w:val="none"/>
                <w:lang w:eastAsia="zh-CN"/>
              </w:rPr>
              <w:t>2018年版</w:t>
            </w:r>
            <w:r>
              <w:rPr>
                <w:rFonts w:hint="eastAsia"/>
                <w:color w:val="auto"/>
                <w:highlight w:val="none"/>
              </w:rPr>
              <w:t>）</w:t>
            </w: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jc w:val="center"/>
              <w:rPr>
                <w:rFonts w:hint="eastAsia"/>
                <w:color w:val="auto"/>
                <w:highlight w:val="none"/>
              </w:rPr>
            </w:pPr>
            <w:r>
              <w:rPr>
                <w:rFonts w:hint="eastAsia"/>
                <w:color w:val="auto"/>
                <w:highlight w:val="none"/>
                <w:lang w:val="en-US" w:eastAsia="zh-CN"/>
              </w:rPr>
              <w:t>11</w:t>
            </w:r>
          </w:p>
        </w:tc>
        <w:tc>
          <w:tcPr>
            <w:tcW w:w="3404" w:type="dxa"/>
            <w:tcBorders>
              <w:top w:val="single" w:color="auto" w:sz="6" w:space="0"/>
              <w:left w:val="single" w:color="auto" w:sz="6" w:space="0"/>
              <w:bottom w:val="single" w:color="auto" w:sz="6" w:space="0"/>
              <w:right w:val="single" w:color="auto" w:sz="6" w:space="0"/>
            </w:tcBorders>
            <w:vAlign w:val="center"/>
          </w:tcPr>
          <w:p>
            <w:pPr>
              <w:snapToGrid w:val="0"/>
              <w:rPr>
                <w:rFonts w:hint="eastAsia"/>
                <w:color w:val="auto"/>
                <w:highlight w:val="none"/>
              </w:rPr>
            </w:pPr>
            <w:r>
              <w:rPr>
                <w:rFonts w:hint="eastAsia"/>
                <w:color w:val="auto"/>
                <w:highlight w:val="none"/>
                <w:lang w:val="en-US" w:eastAsia="zh-CN"/>
              </w:rPr>
              <w:t>电缆支架、电缆桥架</w:t>
            </w:r>
          </w:p>
        </w:tc>
        <w:tc>
          <w:tcPr>
            <w:tcW w:w="850" w:type="dxa"/>
            <w:tcBorders>
              <w:top w:val="single" w:color="auto" w:sz="6" w:space="0"/>
              <w:left w:val="single" w:color="auto" w:sz="6" w:space="0"/>
              <w:bottom w:val="single" w:color="auto" w:sz="6" w:space="0"/>
              <w:right w:val="single" w:color="auto" w:sz="6" w:space="0"/>
            </w:tcBorders>
            <w:vAlign w:val="center"/>
          </w:tcPr>
          <w:p>
            <w:pPr>
              <w:snapToGrid w:val="0"/>
              <w:rPr>
                <w:rFonts w:ascii="宋体"/>
                <w:color w:val="auto"/>
                <w:highlight w:val="none"/>
              </w:rPr>
            </w:pPr>
          </w:p>
        </w:tc>
        <w:tc>
          <w:tcPr>
            <w:tcW w:w="852" w:type="dxa"/>
            <w:tcBorders>
              <w:top w:val="single" w:color="auto" w:sz="6" w:space="0"/>
              <w:left w:val="single" w:color="auto" w:sz="6" w:space="0"/>
              <w:bottom w:val="single" w:color="auto" w:sz="6" w:space="0"/>
              <w:right w:val="single" w:color="auto" w:sz="6" w:space="0"/>
            </w:tcBorders>
            <w:vAlign w:val="center"/>
          </w:tcPr>
          <w:p>
            <w:pPr>
              <w:ind w:firstLine="308" w:firstLineChars="147"/>
              <w:rPr>
                <w:color w:val="auto"/>
                <w:highlight w:val="none"/>
              </w:rPr>
            </w:pPr>
          </w:p>
        </w:tc>
        <w:tc>
          <w:tcPr>
            <w:tcW w:w="1135"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自行统计</w:t>
            </w:r>
          </w:p>
        </w:tc>
        <w:tc>
          <w:tcPr>
            <w:tcW w:w="2690" w:type="dxa"/>
            <w:tcBorders>
              <w:top w:val="single" w:color="auto" w:sz="6" w:space="0"/>
              <w:left w:val="single" w:color="auto" w:sz="6" w:space="0"/>
              <w:bottom w:val="single" w:color="auto" w:sz="6" w:space="0"/>
              <w:right w:val="single" w:color="auto" w:sz="4" w:space="0"/>
            </w:tcBorders>
            <w:vAlign w:val="center"/>
          </w:tcPr>
          <w:p>
            <w:pPr>
              <w:jc w:val="left"/>
              <w:rPr>
                <w:color w:val="auto"/>
                <w:highlight w:val="none"/>
              </w:rPr>
            </w:pPr>
            <w:r>
              <w:rPr>
                <w:rFonts w:hint="eastAsia"/>
                <w:color w:val="auto"/>
                <w:highlight w:val="none"/>
              </w:rPr>
              <w:t>中标施工单位安装</w:t>
            </w: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二</w:t>
            </w:r>
          </w:p>
        </w:tc>
        <w:tc>
          <w:tcPr>
            <w:tcW w:w="3404" w:type="dxa"/>
            <w:tcBorders>
              <w:top w:val="single" w:color="auto" w:sz="6" w:space="0"/>
              <w:left w:val="single" w:color="auto" w:sz="6" w:space="0"/>
              <w:bottom w:val="single" w:color="auto" w:sz="6" w:space="0"/>
              <w:right w:val="single" w:color="auto" w:sz="6" w:space="0"/>
            </w:tcBorders>
            <w:vAlign w:val="center"/>
          </w:tcPr>
          <w:p>
            <w:pPr>
              <w:snapToGrid w:val="0"/>
              <w:rPr>
                <w:color w:val="auto"/>
                <w:highlight w:val="none"/>
              </w:rPr>
            </w:pPr>
            <w:r>
              <w:rPr>
                <w:rFonts w:hint="eastAsia"/>
                <w:color w:val="auto"/>
                <w:highlight w:val="none"/>
              </w:rPr>
              <w:t>建筑工程</w:t>
            </w:r>
          </w:p>
        </w:tc>
        <w:tc>
          <w:tcPr>
            <w:tcW w:w="850" w:type="dxa"/>
            <w:tcBorders>
              <w:top w:val="single" w:color="auto" w:sz="6" w:space="0"/>
              <w:left w:val="single" w:color="auto" w:sz="6" w:space="0"/>
              <w:bottom w:val="single" w:color="auto" w:sz="6" w:space="0"/>
              <w:right w:val="single" w:color="auto" w:sz="6" w:space="0"/>
            </w:tcBorders>
            <w:vAlign w:val="center"/>
          </w:tcPr>
          <w:p>
            <w:pPr>
              <w:snapToGrid w:val="0"/>
              <w:rPr>
                <w:rFonts w:ascii="宋体"/>
                <w:color w:val="auto"/>
                <w:highlight w:val="none"/>
              </w:rPr>
            </w:pPr>
          </w:p>
        </w:tc>
        <w:tc>
          <w:tcPr>
            <w:tcW w:w="852" w:type="dxa"/>
            <w:tcBorders>
              <w:top w:val="single" w:color="auto" w:sz="6" w:space="0"/>
              <w:left w:val="single" w:color="auto" w:sz="6" w:space="0"/>
              <w:bottom w:val="single" w:color="auto" w:sz="6" w:space="0"/>
              <w:right w:val="single" w:color="auto" w:sz="6" w:space="0"/>
            </w:tcBorders>
            <w:vAlign w:val="center"/>
          </w:tcPr>
          <w:p>
            <w:pPr>
              <w:ind w:firstLine="308" w:firstLineChars="147"/>
              <w:rPr>
                <w:color w:val="auto"/>
                <w:highlight w:val="none"/>
              </w:rPr>
            </w:pPr>
          </w:p>
        </w:tc>
        <w:tc>
          <w:tcPr>
            <w:tcW w:w="1135"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2690" w:type="dxa"/>
            <w:tcBorders>
              <w:top w:val="single" w:color="auto" w:sz="6" w:space="0"/>
              <w:left w:val="single" w:color="auto" w:sz="6" w:space="0"/>
              <w:bottom w:val="single" w:color="auto" w:sz="6" w:space="0"/>
              <w:right w:val="single" w:color="auto" w:sz="4" w:space="0"/>
            </w:tcBorders>
            <w:vAlign w:val="center"/>
          </w:tcPr>
          <w:p>
            <w:pPr>
              <w:ind w:firstLine="617" w:firstLineChars="294"/>
              <w:jc w:val="right"/>
              <w:rPr>
                <w:color w:val="auto"/>
                <w:highlight w:val="none"/>
              </w:rPr>
            </w:pP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（一）</w:t>
            </w:r>
          </w:p>
        </w:tc>
        <w:tc>
          <w:tcPr>
            <w:tcW w:w="3404" w:type="dxa"/>
            <w:tcBorders>
              <w:top w:val="single" w:color="auto" w:sz="6" w:space="0"/>
              <w:left w:val="single" w:color="auto" w:sz="6" w:space="0"/>
              <w:bottom w:val="single" w:color="auto" w:sz="6" w:space="0"/>
              <w:right w:val="single" w:color="auto" w:sz="6" w:space="0"/>
            </w:tcBorders>
            <w:vAlign w:val="center"/>
          </w:tcPr>
          <w:p>
            <w:pPr>
              <w:snapToGrid w:val="0"/>
              <w:rPr>
                <w:color w:val="auto"/>
                <w:highlight w:val="none"/>
              </w:rPr>
            </w:pPr>
            <w:r>
              <w:rPr>
                <w:rFonts w:hint="eastAsia"/>
                <w:color w:val="auto"/>
                <w:highlight w:val="none"/>
              </w:rPr>
              <w:t>设备部分</w:t>
            </w:r>
          </w:p>
        </w:tc>
        <w:tc>
          <w:tcPr>
            <w:tcW w:w="850" w:type="dxa"/>
            <w:tcBorders>
              <w:top w:val="single" w:color="auto" w:sz="6" w:space="0"/>
              <w:left w:val="single" w:color="auto" w:sz="6" w:space="0"/>
              <w:bottom w:val="single" w:color="auto" w:sz="6" w:space="0"/>
              <w:right w:val="single" w:color="auto" w:sz="6" w:space="0"/>
            </w:tcBorders>
            <w:vAlign w:val="center"/>
          </w:tcPr>
          <w:p>
            <w:pPr>
              <w:snapToGrid w:val="0"/>
              <w:rPr>
                <w:rFonts w:ascii="宋体"/>
                <w:color w:val="auto"/>
                <w:highlight w:val="none"/>
              </w:rPr>
            </w:pPr>
          </w:p>
        </w:tc>
        <w:tc>
          <w:tcPr>
            <w:tcW w:w="852" w:type="dxa"/>
            <w:tcBorders>
              <w:top w:val="single" w:color="auto" w:sz="6" w:space="0"/>
              <w:left w:val="single" w:color="auto" w:sz="6" w:space="0"/>
              <w:bottom w:val="single" w:color="auto" w:sz="6" w:space="0"/>
              <w:right w:val="single" w:color="auto" w:sz="6" w:space="0"/>
            </w:tcBorders>
            <w:vAlign w:val="center"/>
          </w:tcPr>
          <w:p>
            <w:pPr>
              <w:ind w:firstLine="308" w:firstLineChars="147"/>
              <w:rPr>
                <w:color w:val="auto"/>
                <w:highlight w:val="none"/>
              </w:rPr>
            </w:pPr>
          </w:p>
        </w:tc>
        <w:tc>
          <w:tcPr>
            <w:tcW w:w="1135"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2690" w:type="dxa"/>
            <w:tcBorders>
              <w:top w:val="single" w:color="auto" w:sz="6" w:space="0"/>
              <w:left w:val="single" w:color="auto" w:sz="6" w:space="0"/>
              <w:bottom w:val="single" w:color="auto" w:sz="6" w:space="0"/>
              <w:right w:val="single" w:color="auto" w:sz="4" w:space="0"/>
            </w:tcBorders>
            <w:vAlign w:val="center"/>
          </w:tcPr>
          <w:p>
            <w:pPr>
              <w:ind w:firstLine="617" w:firstLineChars="294"/>
              <w:jc w:val="right"/>
              <w:rPr>
                <w:color w:val="auto"/>
                <w:highlight w:val="none"/>
              </w:rPr>
            </w:pP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color w:val="auto"/>
                <w:highlight w:val="none"/>
              </w:rPr>
              <w:t>1</w:t>
            </w:r>
          </w:p>
        </w:tc>
        <w:tc>
          <w:tcPr>
            <w:tcW w:w="3404" w:type="dxa"/>
            <w:tcBorders>
              <w:top w:val="single" w:color="auto" w:sz="6" w:space="0"/>
              <w:left w:val="single" w:color="auto" w:sz="6" w:space="0"/>
              <w:bottom w:val="single" w:color="auto" w:sz="6" w:space="0"/>
              <w:right w:val="single" w:color="auto" w:sz="6" w:space="0"/>
            </w:tcBorders>
            <w:vAlign w:val="center"/>
          </w:tcPr>
          <w:p>
            <w:pPr>
              <w:snapToGrid w:val="0"/>
              <w:rPr>
                <w:color w:val="auto"/>
                <w:highlight w:val="none"/>
              </w:rPr>
            </w:pPr>
            <w:r>
              <w:rPr>
                <w:rFonts w:hint="eastAsia"/>
                <w:color w:val="auto"/>
                <w:highlight w:val="none"/>
              </w:rPr>
              <w:t>空调、</w:t>
            </w:r>
            <w:r>
              <w:rPr>
                <w:rFonts w:hint="eastAsia" w:ascii="宋体" w:hAnsi="宋体"/>
                <w:color w:val="auto"/>
                <w:highlight w:val="none"/>
              </w:rPr>
              <w:t>消防器材（灭火器、消防铲、消防斧、消防桶等）</w:t>
            </w:r>
          </w:p>
        </w:tc>
        <w:tc>
          <w:tcPr>
            <w:tcW w:w="850" w:type="dxa"/>
            <w:tcBorders>
              <w:top w:val="single" w:color="auto" w:sz="6" w:space="0"/>
              <w:left w:val="single" w:color="auto" w:sz="6" w:space="0"/>
              <w:bottom w:val="single" w:color="auto" w:sz="6" w:space="0"/>
              <w:right w:val="single" w:color="auto" w:sz="6" w:space="0"/>
            </w:tcBorders>
            <w:vAlign w:val="center"/>
          </w:tcPr>
          <w:p>
            <w:pPr>
              <w:snapToGrid w:val="0"/>
              <w:rPr>
                <w:rFonts w:ascii="宋体"/>
                <w:color w:val="auto"/>
                <w:highlight w:val="none"/>
              </w:rPr>
            </w:pPr>
          </w:p>
        </w:tc>
        <w:tc>
          <w:tcPr>
            <w:tcW w:w="852" w:type="dxa"/>
            <w:tcBorders>
              <w:top w:val="single" w:color="auto" w:sz="6" w:space="0"/>
              <w:left w:val="single" w:color="auto" w:sz="6" w:space="0"/>
              <w:bottom w:val="single" w:color="auto" w:sz="6" w:space="0"/>
              <w:right w:val="single" w:color="auto" w:sz="6" w:space="0"/>
            </w:tcBorders>
            <w:vAlign w:val="center"/>
          </w:tcPr>
          <w:p>
            <w:pPr>
              <w:ind w:firstLine="308" w:firstLineChars="147"/>
              <w:rPr>
                <w:color w:val="auto"/>
                <w:highlight w:val="none"/>
              </w:rPr>
            </w:pPr>
          </w:p>
        </w:tc>
        <w:tc>
          <w:tcPr>
            <w:tcW w:w="1135"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2690" w:type="dxa"/>
            <w:tcBorders>
              <w:top w:val="single" w:color="auto" w:sz="6" w:space="0"/>
              <w:left w:val="single" w:color="auto" w:sz="6" w:space="0"/>
              <w:bottom w:val="single" w:color="auto" w:sz="6" w:space="0"/>
              <w:right w:val="single" w:color="auto" w:sz="4" w:space="0"/>
            </w:tcBorders>
            <w:vAlign w:val="center"/>
          </w:tcPr>
          <w:p>
            <w:pPr>
              <w:ind w:firstLine="617" w:firstLineChars="294"/>
              <w:jc w:val="right"/>
              <w:rPr>
                <w:color w:val="auto"/>
                <w:highlight w:val="none"/>
              </w:rPr>
            </w:pP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jc w:val="center"/>
              <w:rPr>
                <w:rFonts w:hint="eastAsia" w:eastAsia="宋体"/>
                <w:color w:val="auto"/>
                <w:highlight w:val="none"/>
                <w:lang w:val="en-US" w:eastAsia="zh-CN"/>
              </w:rPr>
            </w:pPr>
            <w:r>
              <w:rPr>
                <w:rFonts w:hint="eastAsia"/>
                <w:color w:val="auto"/>
                <w:highlight w:val="none"/>
                <w:lang w:val="en-US" w:eastAsia="zh-CN"/>
              </w:rPr>
              <w:t>2</w:t>
            </w:r>
          </w:p>
        </w:tc>
        <w:tc>
          <w:tcPr>
            <w:tcW w:w="3404" w:type="dxa"/>
            <w:tcBorders>
              <w:top w:val="single" w:color="auto" w:sz="6" w:space="0"/>
              <w:left w:val="single" w:color="auto" w:sz="6" w:space="0"/>
              <w:bottom w:val="single" w:color="auto" w:sz="6" w:space="0"/>
              <w:right w:val="single" w:color="auto" w:sz="6" w:space="0"/>
            </w:tcBorders>
            <w:vAlign w:val="center"/>
          </w:tcPr>
          <w:p>
            <w:pPr>
              <w:snapToGrid w:val="0"/>
              <w:rPr>
                <w:color w:val="auto"/>
                <w:highlight w:val="none"/>
              </w:rPr>
            </w:pPr>
            <w:r>
              <w:rPr>
                <w:rFonts w:hint="eastAsia"/>
                <w:color w:val="auto"/>
                <w:highlight w:val="none"/>
              </w:rPr>
              <w:t>户内动力配电箱、户内检修电源箱</w:t>
            </w:r>
            <w:r>
              <w:rPr>
                <w:rFonts w:hint="eastAsia"/>
                <w:color w:val="auto"/>
                <w:highlight w:val="none"/>
                <w:lang w:eastAsia="zh-CN"/>
              </w:rPr>
              <w:t>（</w:t>
            </w:r>
            <w:r>
              <w:rPr>
                <w:rFonts w:hint="eastAsia"/>
                <w:color w:val="auto"/>
                <w:highlight w:val="none"/>
                <w:lang w:val="en-US" w:eastAsia="zh-CN"/>
              </w:rPr>
              <w:t>不含照明、消防的配电箱和电源箱</w:t>
            </w:r>
            <w:r>
              <w:rPr>
                <w:rFonts w:hint="eastAsia"/>
                <w:color w:val="auto"/>
                <w:highlight w:val="none"/>
                <w:lang w:eastAsia="zh-CN"/>
              </w:rPr>
              <w:t>）</w:t>
            </w:r>
          </w:p>
        </w:tc>
        <w:tc>
          <w:tcPr>
            <w:tcW w:w="850" w:type="dxa"/>
            <w:tcBorders>
              <w:top w:val="single" w:color="auto" w:sz="6" w:space="0"/>
              <w:left w:val="single" w:color="auto" w:sz="6" w:space="0"/>
              <w:bottom w:val="single" w:color="auto" w:sz="6" w:space="0"/>
              <w:right w:val="single" w:color="auto" w:sz="6" w:space="0"/>
            </w:tcBorders>
            <w:vAlign w:val="center"/>
          </w:tcPr>
          <w:p>
            <w:pPr>
              <w:snapToGrid w:val="0"/>
              <w:rPr>
                <w:rFonts w:ascii="宋体"/>
                <w:color w:val="auto"/>
                <w:highlight w:val="none"/>
              </w:rPr>
            </w:pPr>
          </w:p>
        </w:tc>
        <w:tc>
          <w:tcPr>
            <w:tcW w:w="852"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Calibri" w:hAnsi="Calibri" w:eastAsia="宋体" w:cs="Times New Roman"/>
                <w:color w:val="auto"/>
                <w:kern w:val="2"/>
                <w:sz w:val="21"/>
                <w:szCs w:val="22"/>
                <w:highlight w:val="none"/>
                <w:lang w:val="en-US" w:eastAsia="zh-CN" w:bidi="ar-SA"/>
              </w:rPr>
            </w:pPr>
            <w:r>
              <w:rPr>
                <w:rFonts w:hint="eastAsia"/>
                <w:color w:val="auto"/>
                <w:highlight w:val="none"/>
              </w:rPr>
              <w:t>个</w:t>
            </w: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Calibri" w:hAnsi="Calibri" w:eastAsia="宋体" w:cs="Times New Roman"/>
                <w:color w:val="auto"/>
                <w:kern w:val="2"/>
                <w:sz w:val="21"/>
                <w:szCs w:val="22"/>
                <w:highlight w:val="none"/>
                <w:lang w:val="en-US" w:eastAsia="zh-CN" w:bidi="ar-SA"/>
              </w:rPr>
            </w:pPr>
            <w:r>
              <w:rPr>
                <w:rFonts w:hint="eastAsia"/>
                <w:color w:val="auto"/>
                <w:highlight w:val="none"/>
              </w:rPr>
              <w:t>自行计算</w:t>
            </w:r>
          </w:p>
        </w:tc>
        <w:tc>
          <w:tcPr>
            <w:tcW w:w="2690" w:type="dxa"/>
            <w:tcBorders>
              <w:top w:val="single" w:color="auto" w:sz="6" w:space="0"/>
              <w:left w:val="single" w:color="auto" w:sz="6" w:space="0"/>
              <w:bottom w:val="single" w:color="auto" w:sz="6" w:space="0"/>
              <w:right w:val="single" w:color="auto" w:sz="4" w:space="0"/>
            </w:tcBorders>
            <w:shd w:val="clear" w:color="auto" w:fill="auto"/>
            <w:vAlign w:val="top"/>
          </w:tcPr>
          <w:p>
            <w:pPr>
              <w:rPr>
                <w:rFonts w:ascii="Calibri" w:hAnsi="Calibri" w:eastAsia="宋体" w:cs="Times New Roman"/>
                <w:color w:val="auto"/>
                <w:kern w:val="2"/>
                <w:sz w:val="21"/>
                <w:szCs w:val="22"/>
                <w:highlight w:val="none"/>
                <w:lang w:val="en-US" w:eastAsia="zh-CN" w:bidi="ar-SA"/>
              </w:rPr>
            </w:pP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（二）</w:t>
            </w:r>
          </w:p>
        </w:tc>
        <w:tc>
          <w:tcPr>
            <w:tcW w:w="3404" w:type="dxa"/>
            <w:tcBorders>
              <w:top w:val="single" w:color="auto" w:sz="6" w:space="0"/>
              <w:left w:val="single" w:color="auto" w:sz="6" w:space="0"/>
              <w:bottom w:val="single" w:color="auto" w:sz="6" w:space="0"/>
              <w:right w:val="single" w:color="auto" w:sz="6" w:space="0"/>
            </w:tcBorders>
            <w:vAlign w:val="center"/>
          </w:tcPr>
          <w:p>
            <w:pPr>
              <w:snapToGrid w:val="0"/>
              <w:rPr>
                <w:color w:val="auto"/>
                <w:highlight w:val="none"/>
              </w:rPr>
            </w:pPr>
            <w:r>
              <w:rPr>
                <w:rFonts w:hint="eastAsia"/>
                <w:color w:val="auto"/>
                <w:highlight w:val="none"/>
              </w:rPr>
              <w:t>材料部分</w:t>
            </w:r>
          </w:p>
        </w:tc>
        <w:tc>
          <w:tcPr>
            <w:tcW w:w="850" w:type="dxa"/>
            <w:tcBorders>
              <w:top w:val="single" w:color="auto" w:sz="6" w:space="0"/>
              <w:left w:val="single" w:color="auto" w:sz="6" w:space="0"/>
              <w:bottom w:val="single" w:color="auto" w:sz="6" w:space="0"/>
              <w:right w:val="single" w:color="auto" w:sz="6" w:space="0"/>
            </w:tcBorders>
            <w:vAlign w:val="center"/>
          </w:tcPr>
          <w:p>
            <w:pPr>
              <w:snapToGrid w:val="0"/>
              <w:rPr>
                <w:rFonts w:ascii="宋体"/>
                <w:color w:val="auto"/>
                <w:highlight w:val="none"/>
              </w:rPr>
            </w:pPr>
          </w:p>
        </w:tc>
        <w:tc>
          <w:tcPr>
            <w:tcW w:w="852" w:type="dxa"/>
            <w:tcBorders>
              <w:top w:val="single" w:color="auto" w:sz="6" w:space="0"/>
              <w:left w:val="single" w:color="auto" w:sz="6" w:space="0"/>
              <w:bottom w:val="single" w:color="auto" w:sz="6" w:space="0"/>
              <w:right w:val="single" w:color="auto" w:sz="6" w:space="0"/>
            </w:tcBorders>
            <w:vAlign w:val="center"/>
          </w:tcPr>
          <w:p>
            <w:pPr>
              <w:ind w:firstLine="308" w:firstLineChars="147"/>
              <w:rPr>
                <w:color w:val="auto"/>
                <w:highlight w:val="none"/>
              </w:rPr>
            </w:pPr>
          </w:p>
        </w:tc>
        <w:tc>
          <w:tcPr>
            <w:tcW w:w="1135"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2690" w:type="dxa"/>
            <w:tcBorders>
              <w:top w:val="single" w:color="auto" w:sz="6" w:space="0"/>
              <w:left w:val="single" w:color="auto" w:sz="6" w:space="0"/>
              <w:bottom w:val="single" w:color="auto" w:sz="6" w:space="0"/>
              <w:right w:val="single" w:color="auto" w:sz="4" w:space="0"/>
            </w:tcBorders>
            <w:vAlign w:val="center"/>
          </w:tcPr>
          <w:p>
            <w:pPr>
              <w:ind w:firstLine="617" w:firstLineChars="294"/>
              <w:jc w:val="right"/>
              <w:rPr>
                <w:color w:val="auto"/>
                <w:highlight w:val="none"/>
              </w:rPr>
            </w:pP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3404" w:type="dxa"/>
            <w:tcBorders>
              <w:top w:val="single" w:color="auto" w:sz="6" w:space="0"/>
              <w:left w:val="single" w:color="auto" w:sz="6" w:space="0"/>
              <w:bottom w:val="single" w:color="auto" w:sz="6" w:space="0"/>
              <w:right w:val="single" w:color="auto" w:sz="6" w:space="0"/>
            </w:tcBorders>
            <w:vAlign w:val="center"/>
          </w:tcPr>
          <w:p>
            <w:pPr>
              <w:snapToGrid w:val="0"/>
              <w:rPr>
                <w:color w:val="auto"/>
                <w:highlight w:val="none"/>
              </w:rPr>
            </w:pPr>
            <w:r>
              <w:rPr>
                <w:rFonts w:hint="eastAsia" w:ascii="宋体" w:hAnsi="宋体"/>
                <w:color w:val="auto"/>
                <w:szCs w:val="21"/>
                <w:highlight w:val="none"/>
                <w:lang w:eastAsia="zh-CN"/>
              </w:rPr>
              <w:t>复合</w:t>
            </w:r>
            <w:r>
              <w:rPr>
                <w:rFonts w:hint="eastAsia" w:ascii="宋体" w:hAnsi="宋体"/>
                <w:color w:val="auto"/>
                <w:szCs w:val="21"/>
                <w:highlight w:val="none"/>
              </w:rPr>
              <w:t>电缆沟盖板</w:t>
            </w:r>
          </w:p>
        </w:tc>
        <w:tc>
          <w:tcPr>
            <w:tcW w:w="850" w:type="dxa"/>
            <w:tcBorders>
              <w:top w:val="single" w:color="auto" w:sz="6" w:space="0"/>
              <w:left w:val="single" w:color="auto" w:sz="6" w:space="0"/>
              <w:bottom w:val="single" w:color="auto" w:sz="6" w:space="0"/>
              <w:right w:val="single" w:color="auto" w:sz="6" w:space="0"/>
            </w:tcBorders>
            <w:vAlign w:val="center"/>
          </w:tcPr>
          <w:p>
            <w:pPr>
              <w:snapToGrid w:val="0"/>
              <w:rPr>
                <w:rFonts w:ascii="宋体"/>
                <w:color w:val="auto"/>
                <w:highlight w:val="none"/>
              </w:rPr>
            </w:pPr>
          </w:p>
        </w:tc>
        <w:tc>
          <w:tcPr>
            <w:tcW w:w="852" w:type="dxa"/>
            <w:tcBorders>
              <w:top w:val="single" w:color="auto" w:sz="6" w:space="0"/>
              <w:left w:val="single" w:color="auto" w:sz="6" w:space="0"/>
              <w:bottom w:val="single" w:color="auto" w:sz="6" w:space="0"/>
              <w:right w:val="single" w:color="auto" w:sz="6" w:space="0"/>
            </w:tcBorders>
            <w:vAlign w:val="center"/>
          </w:tcPr>
          <w:p>
            <w:pPr>
              <w:ind w:firstLine="308" w:firstLineChars="147"/>
              <w:rPr>
                <w:color w:val="auto"/>
                <w:highlight w:val="none"/>
              </w:rPr>
            </w:pPr>
          </w:p>
        </w:tc>
        <w:tc>
          <w:tcPr>
            <w:tcW w:w="1135"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2690" w:type="dxa"/>
            <w:tcBorders>
              <w:top w:val="single" w:color="auto" w:sz="6" w:space="0"/>
              <w:left w:val="single" w:color="auto" w:sz="6" w:space="0"/>
              <w:bottom w:val="single" w:color="auto" w:sz="6" w:space="0"/>
              <w:right w:val="single" w:color="auto" w:sz="4" w:space="0"/>
            </w:tcBorders>
            <w:vAlign w:val="center"/>
          </w:tcPr>
          <w:p>
            <w:pPr>
              <w:jc w:val="left"/>
              <w:rPr>
                <w:color w:val="auto"/>
                <w:highlight w:val="none"/>
              </w:rPr>
            </w:pPr>
            <w:r>
              <w:rPr>
                <w:rFonts w:hint="eastAsia"/>
                <w:color w:val="auto"/>
                <w:highlight w:val="none"/>
              </w:rPr>
              <w:t>中标施工单位安装</w:t>
            </w:r>
          </w:p>
        </w:tc>
      </w:tr>
    </w:tbl>
    <w:p>
      <w:pPr>
        <w:jc w:val="both"/>
        <w:rPr>
          <w:rFonts w:hint="eastAsia"/>
          <w:b/>
          <w:color w:val="auto"/>
          <w:highlight w:val="none"/>
        </w:rPr>
      </w:pPr>
    </w:p>
    <w:p>
      <w:pPr>
        <w:jc w:val="center"/>
        <w:rPr>
          <w:rFonts w:hint="eastAsia"/>
          <w:b/>
          <w:color w:val="auto"/>
          <w:highlight w:val="none"/>
        </w:rPr>
      </w:pPr>
      <w:r>
        <w:rPr>
          <w:rFonts w:hint="eastAsia"/>
          <w:b/>
          <w:color w:val="auto"/>
          <w:highlight w:val="none"/>
        </w:rPr>
        <w:t>中标人提供的设备、材料清单</w:t>
      </w:r>
    </w:p>
    <w:tbl>
      <w:tblPr>
        <w:tblStyle w:val="13"/>
        <w:tblpPr w:leftFromText="180" w:rightFromText="180" w:vertAnchor="text" w:horzAnchor="margin" w:tblpXSpec="center" w:tblpY="256"/>
        <w:tblW w:w="9855" w:type="dxa"/>
        <w:tblInd w:w="0" w:type="dxa"/>
        <w:tblLayout w:type="fixed"/>
        <w:tblCellMar>
          <w:top w:w="0" w:type="dxa"/>
          <w:left w:w="108" w:type="dxa"/>
          <w:bottom w:w="0" w:type="dxa"/>
          <w:right w:w="108" w:type="dxa"/>
        </w:tblCellMar>
      </w:tblPr>
      <w:tblGrid>
        <w:gridCol w:w="946"/>
        <w:gridCol w:w="2848"/>
        <w:gridCol w:w="1579"/>
        <w:gridCol w:w="1149"/>
        <w:gridCol w:w="1666"/>
        <w:gridCol w:w="1667"/>
      </w:tblGrid>
      <w:tr>
        <w:tblPrEx>
          <w:tblCellMar>
            <w:top w:w="0" w:type="dxa"/>
            <w:left w:w="108" w:type="dxa"/>
            <w:bottom w:w="0" w:type="dxa"/>
            <w:right w:w="108" w:type="dxa"/>
          </w:tblCellMar>
        </w:tblPrEx>
        <w:trPr>
          <w:trHeight w:val="397" w:hRule="atLeast"/>
          <w:tblHeader/>
        </w:trPr>
        <w:tc>
          <w:tcPr>
            <w:tcW w:w="946" w:type="dxa"/>
            <w:tcBorders>
              <w:top w:val="single" w:color="auto" w:sz="8" w:space="0"/>
              <w:left w:val="single" w:color="auto" w:sz="8" w:space="0"/>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序号</w:t>
            </w:r>
          </w:p>
        </w:tc>
        <w:tc>
          <w:tcPr>
            <w:tcW w:w="2848"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设备、材料名称</w:t>
            </w:r>
          </w:p>
        </w:tc>
        <w:tc>
          <w:tcPr>
            <w:tcW w:w="1579"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规格型号</w:t>
            </w:r>
          </w:p>
        </w:tc>
        <w:tc>
          <w:tcPr>
            <w:tcW w:w="1149"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单位</w:t>
            </w:r>
          </w:p>
        </w:tc>
        <w:tc>
          <w:tcPr>
            <w:tcW w:w="1666"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数量</w:t>
            </w:r>
          </w:p>
        </w:tc>
        <w:tc>
          <w:tcPr>
            <w:tcW w:w="1667"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单价（元）</w:t>
            </w: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widowControl/>
              <w:jc w:val="center"/>
              <w:rPr>
                <w:rFonts w:ascii="宋体" w:hAnsi="宋体"/>
                <w:color w:val="auto"/>
                <w:kern w:val="0"/>
                <w:highlight w:val="none"/>
              </w:rPr>
            </w:pPr>
            <w:r>
              <w:rPr>
                <w:rFonts w:hint="eastAsia" w:ascii="宋体" w:hAnsi="宋体"/>
                <w:color w:val="auto"/>
                <w:kern w:val="0"/>
                <w:highlight w:val="none"/>
              </w:rPr>
              <w:t>一</w:t>
            </w:r>
          </w:p>
        </w:tc>
        <w:tc>
          <w:tcPr>
            <w:tcW w:w="2848" w:type="dxa"/>
            <w:tcBorders>
              <w:top w:val="nil"/>
              <w:left w:val="nil"/>
              <w:bottom w:val="single" w:color="auto" w:sz="4" w:space="0"/>
              <w:right w:val="single" w:color="auto" w:sz="4" w:space="0"/>
            </w:tcBorders>
            <w:vAlign w:val="center"/>
          </w:tcPr>
          <w:p>
            <w:pPr>
              <w:widowControl/>
              <w:spacing w:line="360" w:lineRule="auto"/>
              <w:rPr>
                <w:color w:val="auto"/>
                <w:highlight w:val="none"/>
              </w:rPr>
            </w:pPr>
            <w:r>
              <w:rPr>
                <w:rFonts w:hint="eastAsia"/>
                <w:color w:val="auto"/>
                <w:highlight w:val="none"/>
              </w:rPr>
              <w:t>安装工程（含通信）</w:t>
            </w:r>
            <w:r>
              <w:rPr>
                <w:color w:val="auto"/>
                <w:highlight w:val="none"/>
              </w:rPr>
              <w:t xml:space="preserve"> </w:t>
            </w:r>
          </w:p>
        </w:tc>
        <w:tc>
          <w:tcPr>
            <w:tcW w:w="1579"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widowControl/>
              <w:spacing w:line="360" w:lineRule="auto"/>
              <w:jc w:val="center"/>
              <w:rPr>
                <w:color w:val="auto"/>
                <w:highlight w:val="none"/>
              </w:rPr>
            </w:pPr>
          </w:p>
        </w:tc>
        <w:tc>
          <w:tcPr>
            <w:tcW w:w="1666" w:type="dxa"/>
            <w:tcBorders>
              <w:top w:val="nil"/>
              <w:left w:val="nil"/>
              <w:bottom w:val="single" w:color="auto" w:sz="4" w:space="0"/>
              <w:right w:val="single" w:color="auto" w:sz="4" w:space="0"/>
            </w:tcBorders>
            <w:vAlign w:val="center"/>
          </w:tcPr>
          <w:p>
            <w:pPr>
              <w:jc w:val="center"/>
              <w:rPr>
                <w:color w:val="auto"/>
                <w:highlight w:val="none"/>
              </w:rPr>
            </w:pPr>
          </w:p>
        </w:tc>
        <w:tc>
          <w:tcPr>
            <w:tcW w:w="1667" w:type="dxa"/>
            <w:tcBorders>
              <w:top w:val="nil"/>
              <w:left w:val="nil"/>
              <w:bottom w:val="single" w:color="auto" w:sz="4" w:space="0"/>
              <w:right w:val="single" w:color="auto" w:sz="4" w:space="0"/>
            </w:tcBorders>
            <w:vAlign w:val="center"/>
          </w:tcPr>
          <w:p>
            <w:pPr>
              <w:widowControl/>
              <w:spacing w:line="360" w:lineRule="auto"/>
              <w:jc w:val="right"/>
              <w:rPr>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widowControl/>
              <w:jc w:val="center"/>
              <w:rPr>
                <w:rFonts w:ascii="宋体" w:hAnsi="宋体"/>
                <w:color w:val="auto"/>
                <w:kern w:val="0"/>
                <w:highlight w:val="none"/>
              </w:rPr>
            </w:pPr>
            <w:r>
              <w:rPr>
                <w:rFonts w:hint="eastAsia" w:ascii="宋体" w:hAnsi="宋体"/>
                <w:color w:val="auto"/>
                <w:kern w:val="0"/>
                <w:highlight w:val="none"/>
              </w:rPr>
              <w:t>（一）</w:t>
            </w:r>
          </w:p>
        </w:tc>
        <w:tc>
          <w:tcPr>
            <w:tcW w:w="2848"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rPr>
              <w:t>设备部分</w:t>
            </w:r>
          </w:p>
        </w:tc>
        <w:tc>
          <w:tcPr>
            <w:tcW w:w="1579"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jc w:val="center"/>
              <w:rPr>
                <w:color w:val="auto"/>
                <w:highlight w:val="none"/>
              </w:rPr>
            </w:pPr>
          </w:p>
        </w:tc>
        <w:tc>
          <w:tcPr>
            <w:tcW w:w="1666" w:type="dxa"/>
            <w:tcBorders>
              <w:top w:val="nil"/>
              <w:left w:val="nil"/>
              <w:bottom w:val="single" w:color="auto" w:sz="4" w:space="0"/>
              <w:right w:val="single" w:color="auto" w:sz="4" w:space="0"/>
            </w:tcBorders>
            <w:vAlign w:val="center"/>
          </w:tcPr>
          <w:p>
            <w:pPr>
              <w:jc w:val="center"/>
              <w:rPr>
                <w:color w:val="auto"/>
                <w:highlight w:val="none"/>
              </w:rPr>
            </w:pPr>
          </w:p>
        </w:tc>
        <w:tc>
          <w:tcPr>
            <w:tcW w:w="1667" w:type="dxa"/>
            <w:tcBorders>
              <w:top w:val="nil"/>
              <w:left w:val="nil"/>
              <w:bottom w:val="single" w:color="auto" w:sz="4" w:space="0"/>
              <w:right w:val="single" w:color="auto" w:sz="4" w:space="0"/>
            </w:tcBorders>
            <w:vAlign w:val="center"/>
          </w:tcPr>
          <w:p>
            <w:pPr>
              <w:widowControl/>
              <w:spacing w:line="360" w:lineRule="auto"/>
              <w:jc w:val="right"/>
              <w:rPr>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jc w:val="center"/>
              <w:rPr>
                <w:color w:val="auto"/>
                <w:highlight w:val="none"/>
              </w:rPr>
            </w:pPr>
            <w:r>
              <w:rPr>
                <w:color w:val="auto"/>
                <w:highlight w:val="none"/>
              </w:rPr>
              <w:t>1</w:t>
            </w:r>
          </w:p>
        </w:tc>
        <w:tc>
          <w:tcPr>
            <w:tcW w:w="2848"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lang w:val="en-US" w:eastAsia="zh-CN"/>
              </w:rPr>
              <w:t>扩建</w:t>
            </w:r>
            <w:r>
              <w:rPr>
                <w:rFonts w:hint="eastAsia"/>
                <w:color w:val="auto"/>
                <w:highlight w:val="none"/>
              </w:rPr>
              <w:t>间隔保护改造（电缆标志牌更换，保护信息管理子站系统接入、</w:t>
            </w:r>
            <w:r>
              <w:rPr>
                <w:rFonts w:hint="eastAsia"/>
                <w:color w:val="auto"/>
                <w:highlight w:val="none"/>
                <w:lang w:val="en-US" w:eastAsia="zh-CN"/>
              </w:rPr>
              <w:t>电能计量接入</w:t>
            </w:r>
            <w:r>
              <w:rPr>
                <w:rFonts w:hint="eastAsia"/>
                <w:color w:val="auto"/>
                <w:highlight w:val="none"/>
              </w:rPr>
              <w:t>、直流系统及交流不间断电源接入、同步时钟对时系统接入、视频及环境监测系统接入，PMU接入，</w:t>
            </w:r>
            <w:r>
              <w:rPr>
                <w:rFonts w:hint="eastAsia"/>
                <w:color w:val="auto"/>
                <w:highlight w:val="none"/>
                <w:lang w:val="en-US" w:eastAsia="zh-CN"/>
              </w:rPr>
              <w:t>行波测距</w:t>
            </w:r>
            <w:r>
              <w:rPr>
                <w:rFonts w:hint="eastAsia"/>
                <w:color w:val="auto"/>
                <w:highlight w:val="none"/>
              </w:rPr>
              <w:t>接入，计算机监控系统完善接入，五防锁具软件升级采购及接入系统调试，光通道调试、保护对调，间隔名调整）。</w:t>
            </w:r>
          </w:p>
        </w:tc>
        <w:tc>
          <w:tcPr>
            <w:tcW w:w="1579" w:type="dxa"/>
            <w:tcBorders>
              <w:top w:val="nil"/>
              <w:left w:val="nil"/>
              <w:bottom w:val="single" w:color="auto" w:sz="4" w:space="0"/>
              <w:right w:val="single" w:color="auto" w:sz="4" w:space="0"/>
            </w:tcBorders>
            <w:vAlign w:val="top"/>
          </w:tcPr>
          <w:p>
            <w:pPr>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间隔</w:t>
            </w:r>
          </w:p>
        </w:tc>
        <w:tc>
          <w:tcPr>
            <w:tcW w:w="1666"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自行计算</w:t>
            </w:r>
          </w:p>
        </w:tc>
        <w:tc>
          <w:tcPr>
            <w:tcW w:w="1667"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自行报价</w:t>
            </w:r>
          </w:p>
        </w:tc>
      </w:tr>
      <w:tr>
        <w:tblPrEx>
          <w:tblCellMar>
            <w:top w:w="0" w:type="dxa"/>
            <w:left w:w="108" w:type="dxa"/>
            <w:bottom w:w="0" w:type="dxa"/>
            <w:right w:w="108" w:type="dxa"/>
          </w:tblCellMar>
        </w:tblPrEx>
        <w:trPr>
          <w:cantSplit/>
          <w:trHeight w:val="397" w:hRule="atLeast"/>
        </w:trPr>
        <w:tc>
          <w:tcPr>
            <w:tcW w:w="946" w:type="dxa"/>
            <w:tcBorders>
              <w:top w:val="nil"/>
              <w:left w:val="single" w:color="auto" w:sz="8" w:space="0"/>
              <w:bottom w:val="single" w:color="auto" w:sz="4" w:space="0"/>
              <w:right w:val="single" w:color="auto" w:sz="4" w:space="0"/>
            </w:tcBorders>
            <w:vAlign w:val="center"/>
          </w:tcPr>
          <w:p>
            <w:pPr>
              <w:jc w:val="center"/>
              <w:rPr>
                <w:color w:val="auto"/>
                <w:highlight w:val="none"/>
              </w:rPr>
            </w:pPr>
            <w:r>
              <w:rPr>
                <w:color w:val="auto"/>
                <w:highlight w:val="none"/>
              </w:rPr>
              <w:t>2</w:t>
            </w:r>
          </w:p>
        </w:tc>
        <w:tc>
          <w:tcPr>
            <w:tcW w:w="2848"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rPr>
              <w:t>通信机房温湿度变控器</w:t>
            </w:r>
          </w:p>
        </w:tc>
        <w:tc>
          <w:tcPr>
            <w:tcW w:w="1579" w:type="dxa"/>
            <w:tcBorders>
              <w:top w:val="nil"/>
              <w:left w:val="nil"/>
              <w:bottom w:val="single" w:color="auto" w:sz="4" w:space="0"/>
              <w:right w:val="single" w:color="auto" w:sz="4" w:space="0"/>
            </w:tcBorders>
            <w:vAlign w:val="top"/>
          </w:tcPr>
          <w:p>
            <w:pPr>
              <w:rPr>
                <w:color w:val="auto"/>
                <w:highlight w:val="none"/>
              </w:rPr>
            </w:pPr>
          </w:p>
        </w:tc>
        <w:tc>
          <w:tcPr>
            <w:tcW w:w="1149"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个</w:t>
            </w:r>
          </w:p>
        </w:tc>
        <w:tc>
          <w:tcPr>
            <w:tcW w:w="1666"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自行计算</w:t>
            </w:r>
          </w:p>
        </w:tc>
        <w:tc>
          <w:tcPr>
            <w:tcW w:w="1667"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自行报价</w:t>
            </w:r>
          </w:p>
        </w:tc>
      </w:tr>
      <w:tr>
        <w:tblPrEx>
          <w:tblCellMar>
            <w:top w:w="0" w:type="dxa"/>
            <w:left w:w="108" w:type="dxa"/>
            <w:bottom w:w="0" w:type="dxa"/>
            <w:right w:w="108" w:type="dxa"/>
          </w:tblCellMar>
        </w:tblPrEx>
        <w:trPr>
          <w:cantSplit/>
          <w:trHeight w:val="397" w:hRule="atLeast"/>
        </w:trPr>
        <w:tc>
          <w:tcPr>
            <w:tcW w:w="946" w:type="dxa"/>
            <w:tcBorders>
              <w:top w:val="nil"/>
              <w:left w:val="single" w:color="auto" w:sz="8" w:space="0"/>
              <w:bottom w:val="single" w:color="auto" w:sz="4" w:space="0"/>
              <w:right w:val="single" w:color="auto" w:sz="4" w:space="0"/>
            </w:tcBorders>
            <w:vAlign w:val="center"/>
          </w:tcPr>
          <w:p>
            <w:pPr>
              <w:jc w:val="center"/>
              <w:rPr>
                <w:rFonts w:hint="eastAsia" w:ascii="Calibri" w:hAnsi="Calibri" w:eastAsia="宋体" w:cs="Times New Roman"/>
                <w:color w:val="auto"/>
                <w:kern w:val="2"/>
                <w:sz w:val="21"/>
                <w:szCs w:val="22"/>
                <w:highlight w:val="none"/>
                <w:lang w:val="en-US" w:eastAsia="zh-CN" w:bidi="ar-SA"/>
              </w:rPr>
            </w:pPr>
            <w:r>
              <w:rPr>
                <w:rFonts w:hint="eastAsia"/>
                <w:color w:val="auto"/>
                <w:highlight w:val="none"/>
                <w:lang w:val="en-US" w:eastAsia="zh-CN"/>
              </w:rPr>
              <w:t>3</w:t>
            </w:r>
          </w:p>
        </w:tc>
        <w:tc>
          <w:tcPr>
            <w:tcW w:w="2848" w:type="dxa"/>
            <w:tcBorders>
              <w:top w:val="nil"/>
              <w:left w:val="nil"/>
              <w:bottom w:val="single" w:color="auto" w:sz="4" w:space="0"/>
              <w:right w:val="single" w:color="auto" w:sz="4" w:space="0"/>
            </w:tcBorders>
            <w:vAlign w:val="center"/>
          </w:tcPr>
          <w:p>
            <w:pPr>
              <w:rPr>
                <w:rFonts w:hint="eastAsia" w:ascii="Calibri" w:hAnsi="Calibri" w:eastAsia="宋体" w:cs="Times New Roman"/>
                <w:color w:val="auto"/>
                <w:kern w:val="2"/>
                <w:sz w:val="21"/>
                <w:szCs w:val="22"/>
                <w:highlight w:val="none"/>
                <w:lang w:val="en-US" w:eastAsia="zh-CN" w:bidi="ar-SA"/>
              </w:rPr>
            </w:pPr>
            <w:r>
              <w:rPr>
                <w:rFonts w:hint="eastAsia"/>
                <w:color w:val="auto"/>
                <w:highlight w:val="none"/>
                <w:lang w:val="en-US" w:eastAsia="zh-CN"/>
              </w:rPr>
              <w:t>端子箱遥控总空开</w:t>
            </w:r>
          </w:p>
        </w:tc>
        <w:tc>
          <w:tcPr>
            <w:tcW w:w="1579" w:type="dxa"/>
            <w:tcBorders>
              <w:top w:val="nil"/>
              <w:left w:val="nil"/>
              <w:bottom w:val="single" w:color="auto" w:sz="4" w:space="0"/>
              <w:right w:val="single" w:color="auto" w:sz="4" w:space="0"/>
            </w:tcBorders>
            <w:vAlign w:val="top"/>
          </w:tcPr>
          <w:p>
            <w:pPr>
              <w:rPr>
                <w:rFonts w:ascii="Calibri" w:hAnsi="Calibri" w:eastAsia="宋体" w:cs="Times New Roman"/>
                <w:color w:val="auto"/>
                <w:kern w:val="2"/>
                <w:sz w:val="21"/>
                <w:szCs w:val="22"/>
                <w:highlight w:val="none"/>
                <w:lang w:val="en-US" w:eastAsia="zh-CN" w:bidi="ar-SA"/>
              </w:rPr>
            </w:pPr>
          </w:p>
        </w:tc>
        <w:tc>
          <w:tcPr>
            <w:tcW w:w="1149" w:type="dxa"/>
            <w:tcBorders>
              <w:top w:val="nil"/>
              <w:left w:val="nil"/>
              <w:bottom w:val="single" w:color="auto" w:sz="4" w:space="0"/>
              <w:right w:val="single" w:color="auto" w:sz="4" w:space="0"/>
            </w:tcBorders>
            <w:vAlign w:val="center"/>
          </w:tcPr>
          <w:p>
            <w:pPr>
              <w:jc w:val="center"/>
              <w:rPr>
                <w:rFonts w:hint="eastAsia" w:ascii="Calibri" w:hAnsi="Calibri" w:eastAsia="宋体" w:cs="Times New Roman"/>
                <w:color w:val="auto"/>
                <w:kern w:val="2"/>
                <w:sz w:val="21"/>
                <w:szCs w:val="22"/>
                <w:highlight w:val="none"/>
                <w:lang w:val="en-US" w:eastAsia="zh-CN" w:bidi="ar-SA"/>
              </w:rPr>
            </w:pPr>
            <w:r>
              <w:rPr>
                <w:rFonts w:hint="eastAsia"/>
                <w:color w:val="auto"/>
                <w:highlight w:val="none"/>
              </w:rPr>
              <w:t>个</w:t>
            </w:r>
          </w:p>
        </w:tc>
        <w:tc>
          <w:tcPr>
            <w:tcW w:w="1666" w:type="dxa"/>
            <w:tcBorders>
              <w:top w:val="nil"/>
              <w:left w:val="nil"/>
              <w:bottom w:val="single" w:color="auto" w:sz="4" w:space="0"/>
              <w:right w:val="single" w:color="auto" w:sz="4" w:space="0"/>
            </w:tcBorders>
            <w:vAlign w:val="center"/>
          </w:tcPr>
          <w:p>
            <w:pPr>
              <w:jc w:val="center"/>
              <w:rPr>
                <w:rFonts w:hint="eastAsia" w:ascii="Calibri" w:hAnsi="Calibri" w:eastAsia="宋体" w:cs="Times New Roman"/>
                <w:color w:val="auto"/>
                <w:kern w:val="2"/>
                <w:sz w:val="21"/>
                <w:szCs w:val="22"/>
                <w:highlight w:val="none"/>
                <w:lang w:val="en-US" w:eastAsia="zh-CN" w:bidi="ar-SA"/>
              </w:rPr>
            </w:pPr>
            <w:r>
              <w:rPr>
                <w:rFonts w:hint="eastAsia"/>
                <w:color w:val="auto"/>
                <w:highlight w:val="none"/>
              </w:rPr>
              <w:t>自行计算</w:t>
            </w:r>
          </w:p>
        </w:tc>
        <w:tc>
          <w:tcPr>
            <w:tcW w:w="1667" w:type="dxa"/>
            <w:tcBorders>
              <w:top w:val="nil"/>
              <w:left w:val="nil"/>
              <w:bottom w:val="single" w:color="auto" w:sz="4" w:space="0"/>
              <w:right w:val="single" w:color="auto" w:sz="4" w:space="0"/>
            </w:tcBorders>
            <w:vAlign w:val="center"/>
          </w:tcPr>
          <w:p>
            <w:pPr>
              <w:jc w:val="center"/>
              <w:rPr>
                <w:rFonts w:hint="eastAsia" w:ascii="Calibri" w:hAnsi="Calibri" w:eastAsia="宋体" w:cs="Times New Roman"/>
                <w:color w:val="auto"/>
                <w:kern w:val="2"/>
                <w:sz w:val="21"/>
                <w:szCs w:val="22"/>
                <w:highlight w:val="none"/>
                <w:lang w:val="en-US" w:eastAsia="zh-CN" w:bidi="ar-SA"/>
              </w:rPr>
            </w:pPr>
            <w:r>
              <w:rPr>
                <w:rFonts w:hint="eastAsia"/>
                <w:color w:val="auto"/>
                <w:highlight w:val="none"/>
              </w:rPr>
              <w:t>自行报价</w:t>
            </w:r>
          </w:p>
        </w:tc>
      </w:tr>
      <w:tr>
        <w:tblPrEx>
          <w:tblCellMar>
            <w:top w:w="0" w:type="dxa"/>
            <w:left w:w="108" w:type="dxa"/>
            <w:bottom w:w="0" w:type="dxa"/>
            <w:right w:w="108" w:type="dxa"/>
          </w:tblCellMar>
        </w:tblPrEx>
        <w:trPr>
          <w:cantSplit/>
          <w:trHeight w:val="397" w:hRule="atLeast"/>
        </w:trPr>
        <w:tc>
          <w:tcPr>
            <w:tcW w:w="946" w:type="dxa"/>
            <w:tcBorders>
              <w:top w:val="nil"/>
              <w:left w:val="single" w:color="auto" w:sz="8" w:space="0"/>
              <w:bottom w:val="single" w:color="auto" w:sz="4" w:space="0"/>
              <w:right w:val="single" w:color="auto" w:sz="4" w:space="0"/>
            </w:tcBorders>
            <w:vAlign w:val="center"/>
          </w:tcPr>
          <w:p>
            <w:pPr>
              <w:jc w:val="center"/>
              <w:rPr>
                <w:rFonts w:hint="eastAsia" w:ascii="Calibri" w:hAnsi="Calibri" w:eastAsia="宋体" w:cs="Times New Roman"/>
                <w:color w:val="auto"/>
                <w:kern w:val="2"/>
                <w:sz w:val="21"/>
                <w:szCs w:val="22"/>
                <w:highlight w:val="none"/>
                <w:lang w:val="en-US" w:eastAsia="zh-CN" w:bidi="ar-SA"/>
              </w:rPr>
            </w:pPr>
            <w:r>
              <w:rPr>
                <w:rFonts w:hint="eastAsia"/>
                <w:color w:val="auto"/>
                <w:highlight w:val="none"/>
                <w:lang w:val="en-US" w:eastAsia="zh-CN"/>
              </w:rPr>
              <w:t>4</w:t>
            </w:r>
          </w:p>
        </w:tc>
        <w:tc>
          <w:tcPr>
            <w:tcW w:w="2848" w:type="dxa"/>
            <w:tcBorders>
              <w:top w:val="nil"/>
              <w:left w:val="nil"/>
              <w:bottom w:val="single" w:color="auto" w:sz="4" w:space="0"/>
              <w:right w:val="single" w:color="auto" w:sz="4" w:space="0"/>
            </w:tcBorders>
            <w:vAlign w:val="center"/>
          </w:tcPr>
          <w:p>
            <w:pPr>
              <w:rPr>
                <w:rFonts w:hint="eastAsia" w:ascii="Calibri" w:hAnsi="Calibri" w:eastAsia="宋体" w:cs="Times New Roman"/>
                <w:color w:val="auto"/>
                <w:kern w:val="2"/>
                <w:sz w:val="21"/>
                <w:szCs w:val="22"/>
                <w:highlight w:val="none"/>
                <w:lang w:val="en-US" w:eastAsia="zh-CN" w:bidi="ar-SA"/>
              </w:rPr>
            </w:pPr>
            <w:r>
              <w:rPr>
                <w:rFonts w:hint="eastAsia"/>
                <w:color w:val="auto"/>
                <w:highlight w:val="none"/>
                <w:lang w:val="en-US" w:eastAsia="zh-CN"/>
              </w:rPr>
              <w:t>断相闭锁继电器</w:t>
            </w:r>
          </w:p>
        </w:tc>
        <w:tc>
          <w:tcPr>
            <w:tcW w:w="1579" w:type="dxa"/>
            <w:tcBorders>
              <w:top w:val="nil"/>
              <w:left w:val="nil"/>
              <w:bottom w:val="single" w:color="auto" w:sz="4" w:space="0"/>
              <w:right w:val="single" w:color="auto" w:sz="4" w:space="0"/>
            </w:tcBorders>
            <w:vAlign w:val="top"/>
          </w:tcPr>
          <w:p>
            <w:pPr>
              <w:rPr>
                <w:rFonts w:ascii="Calibri" w:hAnsi="Calibri" w:eastAsia="宋体" w:cs="Times New Roman"/>
                <w:color w:val="auto"/>
                <w:kern w:val="2"/>
                <w:sz w:val="21"/>
                <w:szCs w:val="22"/>
                <w:highlight w:val="none"/>
                <w:lang w:val="en-US" w:eastAsia="zh-CN" w:bidi="ar-SA"/>
              </w:rPr>
            </w:pPr>
          </w:p>
        </w:tc>
        <w:tc>
          <w:tcPr>
            <w:tcW w:w="1149" w:type="dxa"/>
            <w:tcBorders>
              <w:top w:val="nil"/>
              <w:left w:val="nil"/>
              <w:bottom w:val="single" w:color="auto" w:sz="4" w:space="0"/>
              <w:right w:val="single" w:color="auto" w:sz="4" w:space="0"/>
            </w:tcBorders>
            <w:vAlign w:val="center"/>
          </w:tcPr>
          <w:p>
            <w:pPr>
              <w:jc w:val="center"/>
              <w:rPr>
                <w:rFonts w:hint="eastAsia" w:ascii="Calibri" w:hAnsi="Calibri" w:eastAsia="宋体" w:cs="Times New Roman"/>
                <w:color w:val="auto"/>
                <w:kern w:val="2"/>
                <w:sz w:val="21"/>
                <w:szCs w:val="22"/>
                <w:highlight w:val="none"/>
                <w:lang w:val="en-US" w:eastAsia="zh-CN" w:bidi="ar-SA"/>
              </w:rPr>
            </w:pPr>
            <w:r>
              <w:rPr>
                <w:rFonts w:hint="eastAsia"/>
                <w:color w:val="auto"/>
                <w:highlight w:val="none"/>
              </w:rPr>
              <w:t>个</w:t>
            </w:r>
          </w:p>
        </w:tc>
        <w:tc>
          <w:tcPr>
            <w:tcW w:w="1666" w:type="dxa"/>
            <w:tcBorders>
              <w:top w:val="nil"/>
              <w:left w:val="nil"/>
              <w:bottom w:val="single" w:color="auto" w:sz="4" w:space="0"/>
              <w:right w:val="single" w:color="auto" w:sz="4" w:space="0"/>
            </w:tcBorders>
            <w:vAlign w:val="center"/>
          </w:tcPr>
          <w:p>
            <w:pPr>
              <w:jc w:val="center"/>
              <w:rPr>
                <w:rFonts w:hint="eastAsia" w:ascii="Calibri" w:hAnsi="Calibri" w:eastAsia="宋体" w:cs="Times New Roman"/>
                <w:color w:val="auto"/>
                <w:kern w:val="2"/>
                <w:sz w:val="21"/>
                <w:szCs w:val="22"/>
                <w:highlight w:val="none"/>
                <w:lang w:val="en-US" w:eastAsia="zh-CN" w:bidi="ar-SA"/>
              </w:rPr>
            </w:pPr>
            <w:r>
              <w:rPr>
                <w:rFonts w:hint="eastAsia"/>
                <w:color w:val="auto"/>
                <w:highlight w:val="none"/>
              </w:rPr>
              <w:t>自行计算</w:t>
            </w:r>
          </w:p>
        </w:tc>
        <w:tc>
          <w:tcPr>
            <w:tcW w:w="1667" w:type="dxa"/>
            <w:tcBorders>
              <w:top w:val="nil"/>
              <w:left w:val="nil"/>
              <w:bottom w:val="single" w:color="auto" w:sz="4" w:space="0"/>
              <w:right w:val="single" w:color="auto" w:sz="4" w:space="0"/>
            </w:tcBorders>
            <w:vAlign w:val="center"/>
          </w:tcPr>
          <w:p>
            <w:pPr>
              <w:jc w:val="center"/>
              <w:rPr>
                <w:rFonts w:hint="eastAsia" w:ascii="Calibri" w:hAnsi="Calibri" w:eastAsia="宋体" w:cs="Times New Roman"/>
                <w:color w:val="auto"/>
                <w:kern w:val="2"/>
                <w:sz w:val="21"/>
                <w:szCs w:val="22"/>
                <w:highlight w:val="none"/>
                <w:lang w:val="en-US" w:eastAsia="zh-CN" w:bidi="ar-SA"/>
              </w:rPr>
            </w:pPr>
            <w:r>
              <w:rPr>
                <w:rFonts w:hint="eastAsia"/>
                <w:color w:val="auto"/>
                <w:highlight w:val="none"/>
              </w:rPr>
              <w:t>自行报价</w:t>
            </w:r>
          </w:p>
        </w:tc>
      </w:tr>
      <w:tr>
        <w:tblPrEx>
          <w:tblCellMar>
            <w:top w:w="0" w:type="dxa"/>
            <w:left w:w="108" w:type="dxa"/>
            <w:bottom w:w="0" w:type="dxa"/>
            <w:right w:w="108" w:type="dxa"/>
          </w:tblCellMar>
        </w:tblPrEx>
        <w:trPr>
          <w:cantSplit/>
          <w:trHeight w:val="397" w:hRule="atLeast"/>
        </w:trPr>
        <w:tc>
          <w:tcPr>
            <w:tcW w:w="946" w:type="dxa"/>
            <w:tcBorders>
              <w:top w:val="nil"/>
              <w:left w:val="single" w:color="auto" w:sz="8" w:space="0"/>
              <w:bottom w:val="single" w:color="auto" w:sz="4" w:space="0"/>
              <w:right w:val="single" w:color="auto" w:sz="4" w:space="0"/>
            </w:tcBorders>
            <w:vAlign w:val="center"/>
          </w:tcPr>
          <w:p>
            <w:pPr>
              <w:jc w:val="center"/>
              <w:rPr>
                <w:rFonts w:hint="eastAsia" w:ascii="Calibri" w:hAnsi="Calibri" w:eastAsia="宋体" w:cs="Times New Roman"/>
                <w:color w:val="auto"/>
                <w:kern w:val="2"/>
                <w:sz w:val="21"/>
                <w:szCs w:val="22"/>
                <w:highlight w:val="none"/>
                <w:lang w:val="en-US" w:eastAsia="zh-CN" w:bidi="ar-SA"/>
              </w:rPr>
            </w:pPr>
            <w:r>
              <w:rPr>
                <w:rFonts w:hint="eastAsia"/>
                <w:color w:val="auto"/>
                <w:highlight w:val="none"/>
                <w:lang w:val="en-US" w:eastAsia="zh-CN"/>
              </w:rPr>
              <w:t>5</w:t>
            </w:r>
          </w:p>
        </w:tc>
        <w:tc>
          <w:tcPr>
            <w:tcW w:w="2848" w:type="dxa"/>
            <w:tcBorders>
              <w:top w:val="nil"/>
              <w:left w:val="nil"/>
              <w:bottom w:val="single" w:color="auto" w:sz="4" w:space="0"/>
              <w:right w:val="single" w:color="auto" w:sz="4" w:space="0"/>
            </w:tcBorders>
            <w:vAlign w:val="center"/>
          </w:tcPr>
          <w:p>
            <w:pPr>
              <w:rPr>
                <w:rFonts w:hint="eastAsia" w:ascii="Calibri" w:hAnsi="Calibri" w:eastAsia="宋体" w:cs="Times New Roman"/>
                <w:color w:val="auto"/>
                <w:kern w:val="2"/>
                <w:sz w:val="21"/>
                <w:szCs w:val="22"/>
                <w:highlight w:val="none"/>
                <w:lang w:val="en-US" w:eastAsia="zh-CN" w:bidi="ar-SA"/>
              </w:rPr>
            </w:pPr>
            <w:r>
              <w:rPr>
                <w:rFonts w:hint="eastAsia"/>
                <w:color w:val="auto"/>
                <w:highlight w:val="none"/>
                <w:lang w:val="en-US" w:eastAsia="zh-CN"/>
              </w:rPr>
              <w:t>图像监控系统（新增网络高清球机）</w:t>
            </w:r>
          </w:p>
        </w:tc>
        <w:tc>
          <w:tcPr>
            <w:tcW w:w="1579" w:type="dxa"/>
            <w:tcBorders>
              <w:top w:val="nil"/>
              <w:left w:val="nil"/>
              <w:bottom w:val="single" w:color="auto" w:sz="4" w:space="0"/>
              <w:right w:val="single" w:color="auto" w:sz="4" w:space="0"/>
            </w:tcBorders>
            <w:vAlign w:val="top"/>
          </w:tcPr>
          <w:p>
            <w:pPr>
              <w:rPr>
                <w:rFonts w:ascii="Calibri" w:hAnsi="Calibri" w:eastAsia="宋体" w:cs="Times New Roman"/>
                <w:color w:val="auto"/>
                <w:kern w:val="2"/>
                <w:sz w:val="21"/>
                <w:szCs w:val="22"/>
                <w:highlight w:val="none"/>
                <w:lang w:val="en-US" w:eastAsia="zh-CN" w:bidi="ar-SA"/>
              </w:rPr>
            </w:pPr>
          </w:p>
        </w:tc>
        <w:tc>
          <w:tcPr>
            <w:tcW w:w="1149" w:type="dxa"/>
            <w:tcBorders>
              <w:top w:val="nil"/>
              <w:left w:val="nil"/>
              <w:bottom w:val="single" w:color="auto" w:sz="4" w:space="0"/>
              <w:right w:val="single" w:color="auto" w:sz="4" w:space="0"/>
            </w:tcBorders>
            <w:vAlign w:val="center"/>
          </w:tcPr>
          <w:p>
            <w:pPr>
              <w:jc w:val="center"/>
              <w:rPr>
                <w:rFonts w:hint="eastAsia" w:ascii="Calibri" w:hAnsi="Calibri" w:eastAsia="宋体" w:cs="Times New Roman"/>
                <w:color w:val="auto"/>
                <w:kern w:val="2"/>
                <w:sz w:val="21"/>
                <w:szCs w:val="22"/>
                <w:highlight w:val="none"/>
                <w:lang w:val="en-US" w:eastAsia="zh-CN" w:bidi="ar-SA"/>
              </w:rPr>
            </w:pPr>
            <w:r>
              <w:rPr>
                <w:rFonts w:hint="eastAsia"/>
                <w:color w:val="auto"/>
                <w:highlight w:val="none"/>
                <w:lang w:val="en-US" w:eastAsia="zh-CN"/>
              </w:rPr>
              <w:t>项</w:t>
            </w:r>
          </w:p>
        </w:tc>
        <w:tc>
          <w:tcPr>
            <w:tcW w:w="1666" w:type="dxa"/>
            <w:tcBorders>
              <w:top w:val="nil"/>
              <w:left w:val="nil"/>
              <w:bottom w:val="single" w:color="auto" w:sz="4" w:space="0"/>
              <w:right w:val="single" w:color="auto" w:sz="4" w:space="0"/>
            </w:tcBorders>
            <w:vAlign w:val="center"/>
          </w:tcPr>
          <w:p>
            <w:pPr>
              <w:jc w:val="center"/>
              <w:rPr>
                <w:rFonts w:hint="eastAsia" w:ascii="Calibri" w:hAnsi="Calibri" w:eastAsia="宋体" w:cs="Times New Roman"/>
                <w:color w:val="auto"/>
                <w:kern w:val="2"/>
                <w:sz w:val="21"/>
                <w:szCs w:val="22"/>
                <w:highlight w:val="none"/>
                <w:lang w:val="en-US" w:eastAsia="zh-CN" w:bidi="ar-SA"/>
              </w:rPr>
            </w:pPr>
            <w:r>
              <w:rPr>
                <w:rFonts w:hint="eastAsia"/>
                <w:color w:val="auto"/>
                <w:highlight w:val="none"/>
              </w:rPr>
              <w:t>自行计算</w:t>
            </w:r>
          </w:p>
        </w:tc>
        <w:tc>
          <w:tcPr>
            <w:tcW w:w="1667" w:type="dxa"/>
            <w:tcBorders>
              <w:top w:val="nil"/>
              <w:left w:val="nil"/>
              <w:bottom w:val="single" w:color="auto" w:sz="4" w:space="0"/>
              <w:right w:val="single" w:color="auto" w:sz="4" w:space="0"/>
            </w:tcBorders>
            <w:vAlign w:val="center"/>
          </w:tcPr>
          <w:p>
            <w:pPr>
              <w:jc w:val="center"/>
              <w:rPr>
                <w:rFonts w:hint="eastAsia" w:ascii="Calibri" w:hAnsi="Calibri" w:eastAsia="宋体" w:cs="Times New Roman"/>
                <w:color w:val="auto"/>
                <w:kern w:val="2"/>
                <w:sz w:val="21"/>
                <w:szCs w:val="22"/>
                <w:highlight w:val="none"/>
                <w:lang w:val="en-US" w:eastAsia="zh-CN" w:bidi="ar-SA"/>
              </w:rPr>
            </w:pPr>
            <w:r>
              <w:rPr>
                <w:rFonts w:hint="eastAsia"/>
                <w:color w:val="auto"/>
                <w:highlight w:val="none"/>
              </w:rPr>
              <w:t>自行报价</w:t>
            </w:r>
          </w:p>
        </w:tc>
      </w:tr>
      <w:tr>
        <w:tblPrEx>
          <w:tblCellMar>
            <w:top w:w="0" w:type="dxa"/>
            <w:left w:w="108" w:type="dxa"/>
            <w:bottom w:w="0" w:type="dxa"/>
            <w:right w:w="108" w:type="dxa"/>
          </w:tblCellMar>
        </w:tblPrEx>
        <w:trPr>
          <w:cantSplit/>
          <w:trHeight w:val="397" w:hRule="atLeast"/>
        </w:trPr>
        <w:tc>
          <w:tcPr>
            <w:tcW w:w="946" w:type="dxa"/>
            <w:tcBorders>
              <w:top w:val="nil"/>
              <w:left w:val="single" w:color="auto" w:sz="8" w:space="0"/>
              <w:bottom w:val="single" w:color="auto" w:sz="4" w:space="0"/>
              <w:right w:val="single" w:color="auto" w:sz="4" w:space="0"/>
            </w:tcBorders>
            <w:vAlign w:val="center"/>
          </w:tcPr>
          <w:p>
            <w:pPr>
              <w:jc w:val="center"/>
              <w:rPr>
                <w:rFonts w:hint="default"/>
                <w:color w:val="auto"/>
                <w:highlight w:val="none"/>
                <w:lang w:val="en-US" w:eastAsia="zh-CN"/>
              </w:rPr>
            </w:pPr>
            <w:r>
              <w:rPr>
                <w:rFonts w:hint="eastAsia"/>
                <w:color w:val="auto"/>
                <w:highlight w:val="none"/>
                <w:lang w:val="en-US" w:eastAsia="zh-CN"/>
              </w:rPr>
              <w:t>6</w:t>
            </w:r>
          </w:p>
        </w:tc>
        <w:tc>
          <w:tcPr>
            <w:tcW w:w="2848" w:type="dxa"/>
            <w:tcBorders>
              <w:top w:val="nil"/>
              <w:left w:val="nil"/>
              <w:bottom w:val="single" w:color="auto" w:sz="4" w:space="0"/>
              <w:right w:val="single" w:color="auto" w:sz="4" w:space="0"/>
            </w:tcBorders>
            <w:vAlign w:val="center"/>
          </w:tcPr>
          <w:p>
            <w:pPr>
              <w:rPr>
                <w:rFonts w:hint="eastAsia"/>
                <w:color w:val="auto"/>
                <w:highlight w:val="none"/>
                <w:lang w:val="en-US" w:eastAsia="zh-CN"/>
              </w:rPr>
            </w:pPr>
            <w:r>
              <w:rPr>
                <w:rFonts w:hint="eastAsia"/>
                <w:color w:val="auto"/>
                <w:highlight w:val="none"/>
                <w:lang w:val="en-US" w:eastAsia="zh-CN"/>
              </w:rPr>
              <w:t>智能巡检机器人扩容</w:t>
            </w:r>
          </w:p>
        </w:tc>
        <w:tc>
          <w:tcPr>
            <w:tcW w:w="1579" w:type="dxa"/>
            <w:tcBorders>
              <w:top w:val="nil"/>
              <w:left w:val="nil"/>
              <w:bottom w:val="single" w:color="auto" w:sz="4" w:space="0"/>
              <w:right w:val="single" w:color="auto" w:sz="4" w:space="0"/>
            </w:tcBorders>
            <w:vAlign w:val="top"/>
          </w:tcPr>
          <w:p>
            <w:pPr>
              <w:rPr>
                <w:rFonts w:ascii="Calibri" w:hAnsi="Calibri" w:eastAsia="宋体" w:cs="Times New Roman"/>
                <w:color w:val="auto"/>
                <w:kern w:val="2"/>
                <w:sz w:val="21"/>
                <w:szCs w:val="22"/>
                <w:highlight w:val="none"/>
                <w:lang w:val="en-US" w:eastAsia="zh-CN" w:bidi="ar-SA"/>
              </w:rPr>
            </w:pPr>
          </w:p>
        </w:tc>
        <w:tc>
          <w:tcPr>
            <w:tcW w:w="1149" w:type="dxa"/>
            <w:tcBorders>
              <w:top w:val="nil"/>
              <w:left w:val="nil"/>
              <w:bottom w:val="single" w:color="auto" w:sz="4" w:space="0"/>
              <w:right w:val="single" w:color="auto" w:sz="4" w:space="0"/>
            </w:tcBorders>
            <w:vAlign w:val="center"/>
          </w:tcPr>
          <w:p>
            <w:pPr>
              <w:jc w:val="center"/>
              <w:rPr>
                <w:rFonts w:hint="eastAsia" w:ascii="Calibri" w:hAnsi="Calibri" w:eastAsia="宋体" w:cs="Times New Roman"/>
                <w:color w:val="auto"/>
                <w:kern w:val="2"/>
                <w:sz w:val="21"/>
                <w:szCs w:val="22"/>
                <w:highlight w:val="none"/>
                <w:lang w:val="en-US" w:eastAsia="zh-CN" w:bidi="ar-SA"/>
              </w:rPr>
            </w:pPr>
            <w:r>
              <w:rPr>
                <w:rFonts w:hint="eastAsia"/>
                <w:color w:val="auto"/>
                <w:highlight w:val="none"/>
                <w:lang w:val="en-US" w:eastAsia="zh-CN"/>
              </w:rPr>
              <w:t>项</w:t>
            </w:r>
          </w:p>
        </w:tc>
        <w:tc>
          <w:tcPr>
            <w:tcW w:w="1666" w:type="dxa"/>
            <w:tcBorders>
              <w:top w:val="nil"/>
              <w:left w:val="nil"/>
              <w:bottom w:val="single" w:color="auto" w:sz="4" w:space="0"/>
              <w:right w:val="single" w:color="auto" w:sz="4" w:space="0"/>
            </w:tcBorders>
            <w:vAlign w:val="center"/>
          </w:tcPr>
          <w:p>
            <w:pPr>
              <w:jc w:val="center"/>
              <w:rPr>
                <w:rFonts w:hint="eastAsia" w:ascii="Calibri" w:hAnsi="Calibri" w:eastAsia="宋体" w:cs="Times New Roman"/>
                <w:color w:val="auto"/>
                <w:kern w:val="2"/>
                <w:sz w:val="21"/>
                <w:szCs w:val="22"/>
                <w:highlight w:val="none"/>
                <w:lang w:val="en-US" w:eastAsia="zh-CN" w:bidi="ar-SA"/>
              </w:rPr>
            </w:pPr>
            <w:r>
              <w:rPr>
                <w:rFonts w:hint="eastAsia"/>
                <w:color w:val="auto"/>
                <w:highlight w:val="none"/>
              </w:rPr>
              <w:t>自行计算</w:t>
            </w:r>
          </w:p>
        </w:tc>
        <w:tc>
          <w:tcPr>
            <w:tcW w:w="1667" w:type="dxa"/>
            <w:tcBorders>
              <w:top w:val="nil"/>
              <w:left w:val="nil"/>
              <w:bottom w:val="single" w:color="auto" w:sz="4" w:space="0"/>
              <w:right w:val="single" w:color="auto" w:sz="4" w:space="0"/>
            </w:tcBorders>
            <w:vAlign w:val="center"/>
          </w:tcPr>
          <w:p>
            <w:pPr>
              <w:jc w:val="center"/>
              <w:rPr>
                <w:rFonts w:hint="eastAsia" w:ascii="Calibri" w:hAnsi="Calibri" w:eastAsia="宋体" w:cs="Times New Roman"/>
                <w:color w:val="auto"/>
                <w:kern w:val="2"/>
                <w:sz w:val="21"/>
                <w:szCs w:val="22"/>
                <w:highlight w:val="none"/>
                <w:lang w:val="en-US" w:eastAsia="zh-CN" w:bidi="ar-SA"/>
              </w:rPr>
            </w:pPr>
            <w:r>
              <w:rPr>
                <w:rFonts w:hint="eastAsia"/>
                <w:color w:val="auto"/>
                <w:highlight w:val="none"/>
              </w:rPr>
              <w:t>自行报价</w:t>
            </w:r>
          </w:p>
        </w:tc>
      </w:tr>
      <w:tr>
        <w:tblPrEx>
          <w:tblCellMar>
            <w:top w:w="0" w:type="dxa"/>
            <w:left w:w="108" w:type="dxa"/>
            <w:bottom w:w="0" w:type="dxa"/>
            <w:right w:w="108" w:type="dxa"/>
          </w:tblCellMar>
        </w:tblPrEx>
        <w:trPr>
          <w:cantSplit/>
          <w:trHeight w:val="397" w:hRule="atLeast"/>
        </w:trPr>
        <w:tc>
          <w:tcPr>
            <w:tcW w:w="946" w:type="dxa"/>
            <w:tcBorders>
              <w:top w:val="nil"/>
              <w:left w:val="single" w:color="auto" w:sz="8" w:space="0"/>
              <w:bottom w:val="single" w:color="auto" w:sz="4" w:space="0"/>
              <w:right w:val="single" w:color="auto" w:sz="4" w:space="0"/>
            </w:tcBorders>
            <w:vAlign w:val="center"/>
          </w:tcPr>
          <w:p>
            <w:pPr>
              <w:jc w:val="center"/>
              <w:rPr>
                <w:color w:val="auto"/>
                <w:highlight w:val="none"/>
              </w:rPr>
            </w:pPr>
            <w:r>
              <w:rPr>
                <w:rFonts w:hint="eastAsia"/>
                <w:color w:val="auto"/>
                <w:highlight w:val="none"/>
              </w:rPr>
              <w:t>（二）</w:t>
            </w:r>
          </w:p>
        </w:tc>
        <w:tc>
          <w:tcPr>
            <w:tcW w:w="2848"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rPr>
              <w:t>材料部分</w:t>
            </w:r>
          </w:p>
        </w:tc>
        <w:tc>
          <w:tcPr>
            <w:tcW w:w="1579"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ind w:firstLine="308" w:firstLineChars="147"/>
              <w:rPr>
                <w:color w:val="auto"/>
                <w:highlight w:val="none"/>
              </w:rPr>
            </w:pPr>
          </w:p>
        </w:tc>
        <w:tc>
          <w:tcPr>
            <w:tcW w:w="1666" w:type="dxa"/>
            <w:tcBorders>
              <w:top w:val="nil"/>
              <w:left w:val="nil"/>
              <w:bottom w:val="single" w:color="auto" w:sz="4" w:space="0"/>
              <w:right w:val="single" w:color="auto" w:sz="4" w:space="0"/>
            </w:tcBorders>
            <w:vAlign w:val="center"/>
          </w:tcPr>
          <w:p>
            <w:pPr>
              <w:jc w:val="center"/>
              <w:rPr>
                <w:color w:val="auto"/>
                <w:highlight w:val="none"/>
              </w:rPr>
            </w:pPr>
          </w:p>
        </w:tc>
        <w:tc>
          <w:tcPr>
            <w:tcW w:w="1667" w:type="dxa"/>
            <w:tcBorders>
              <w:top w:val="nil"/>
              <w:left w:val="nil"/>
              <w:bottom w:val="single" w:color="auto" w:sz="4" w:space="0"/>
              <w:right w:val="single" w:color="auto" w:sz="4" w:space="0"/>
            </w:tcBorders>
            <w:vAlign w:val="center"/>
          </w:tcPr>
          <w:p>
            <w:pPr>
              <w:ind w:firstLine="617" w:firstLineChars="294"/>
              <w:jc w:val="right"/>
              <w:rPr>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jc w:val="center"/>
              <w:rPr>
                <w:rFonts w:hint="eastAsia" w:eastAsia="宋体"/>
                <w:color w:val="auto"/>
                <w:highlight w:val="none"/>
                <w:lang w:eastAsia="zh-CN"/>
              </w:rPr>
            </w:pPr>
            <w:r>
              <w:rPr>
                <w:rFonts w:hint="eastAsia"/>
                <w:color w:val="auto"/>
                <w:highlight w:val="none"/>
                <w:lang w:val="en-US" w:eastAsia="zh-CN"/>
              </w:rPr>
              <w:t>1</w:t>
            </w:r>
          </w:p>
        </w:tc>
        <w:tc>
          <w:tcPr>
            <w:tcW w:w="2848" w:type="dxa"/>
            <w:tcBorders>
              <w:top w:val="nil"/>
              <w:left w:val="nil"/>
              <w:bottom w:val="single" w:color="auto" w:sz="4" w:space="0"/>
              <w:right w:val="single" w:color="auto" w:sz="4" w:space="0"/>
            </w:tcBorders>
            <w:vAlign w:val="center"/>
          </w:tcPr>
          <w:p>
            <w:pPr>
              <w:widowControl/>
              <w:spacing w:line="360" w:lineRule="auto"/>
              <w:rPr>
                <w:rFonts w:hint="eastAsia"/>
                <w:color w:val="auto"/>
                <w:highlight w:val="none"/>
              </w:rPr>
            </w:pPr>
            <w:r>
              <w:rPr>
                <w:rFonts w:hint="eastAsia"/>
                <w:color w:val="auto"/>
                <w:highlight w:val="none"/>
              </w:rPr>
              <w:t>除招标人购买外的所有材料</w:t>
            </w:r>
          </w:p>
        </w:tc>
        <w:tc>
          <w:tcPr>
            <w:tcW w:w="1579"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jc w:val="center"/>
              <w:rPr>
                <w:color w:val="auto"/>
                <w:highlight w:val="none"/>
              </w:rPr>
            </w:pPr>
          </w:p>
        </w:tc>
        <w:tc>
          <w:tcPr>
            <w:tcW w:w="1666"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自行计算</w:t>
            </w:r>
          </w:p>
        </w:tc>
        <w:tc>
          <w:tcPr>
            <w:tcW w:w="1667"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自行报价</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二</w:t>
            </w:r>
          </w:p>
        </w:tc>
        <w:tc>
          <w:tcPr>
            <w:tcW w:w="2848" w:type="dxa"/>
            <w:tcBorders>
              <w:top w:val="single" w:color="auto" w:sz="6" w:space="0"/>
              <w:left w:val="single" w:color="auto" w:sz="6" w:space="0"/>
              <w:bottom w:val="single" w:color="auto" w:sz="6" w:space="0"/>
              <w:right w:val="single" w:color="auto" w:sz="6" w:space="0"/>
            </w:tcBorders>
            <w:vAlign w:val="center"/>
          </w:tcPr>
          <w:p>
            <w:pPr>
              <w:snapToGrid w:val="0"/>
              <w:rPr>
                <w:color w:val="auto"/>
                <w:highlight w:val="none"/>
              </w:rPr>
            </w:pPr>
            <w:r>
              <w:rPr>
                <w:rFonts w:hint="eastAsia"/>
                <w:color w:val="auto"/>
                <w:highlight w:val="none"/>
              </w:rPr>
              <w:t>建筑工程</w:t>
            </w:r>
          </w:p>
        </w:tc>
        <w:tc>
          <w:tcPr>
            <w:tcW w:w="1579" w:type="dxa"/>
            <w:tcBorders>
              <w:top w:val="single" w:color="auto" w:sz="6" w:space="0"/>
              <w:left w:val="single" w:color="auto" w:sz="6" w:space="0"/>
              <w:bottom w:val="single" w:color="auto" w:sz="6" w:space="0"/>
              <w:right w:val="single" w:color="auto" w:sz="6" w:space="0"/>
            </w:tcBorders>
            <w:vAlign w:val="center"/>
          </w:tcPr>
          <w:p>
            <w:pPr>
              <w:snapToGrid w:val="0"/>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ind w:firstLine="308" w:firstLineChars="147"/>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667" w:type="dxa"/>
            <w:tcBorders>
              <w:top w:val="single" w:color="auto" w:sz="6" w:space="0"/>
              <w:left w:val="single" w:color="auto" w:sz="6" w:space="0"/>
              <w:bottom w:val="single" w:color="auto" w:sz="6" w:space="0"/>
              <w:right w:val="single" w:color="auto" w:sz="4" w:space="0"/>
            </w:tcBorders>
            <w:vAlign w:val="center"/>
          </w:tcPr>
          <w:p>
            <w:pPr>
              <w:ind w:firstLine="617" w:firstLineChars="294"/>
              <w:jc w:val="right"/>
              <w:rPr>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（一）</w:t>
            </w:r>
          </w:p>
        </w:tc>
        <w:tc>
          <w:tcPr>
            <w:tcW w:w="2848" w:type="dxa"/>
            <w:tcBorders>
              <w:top w:val="single" w:color="auto" w:sz="6" w:space="0"/>
              <w:left w:val="single" w:color="auto" w:sz="6" w:space="0"/>
              <w:bottom w:val="single" w:color="auto" w:sz="6" w:space="0"/>
              <w:right w:val="single" w:color="auto" w:sz="6" w:space="0"/>
            </w:tcBorders>
            <w:vAlign w:val="center"/>
          </w:tcPr>
          <w:p>
            <w:pPr>
              <w:snapToGrid w:val="0"/>
              <w:rPr>
                <w:color w:val="auto"/>
                <w:highlight w:val="none"/>
              </w:rPr>
            </w:pPr>
            <w:r>
              <w:rPr>
                <w:rFonts w:hint="eastAsia"/>
                <w:color w:val="auto"/>
                <w:highlight w:val="none"/>
              </w:rPr>
              <w:t>设备部分</w:t>
            </w:r>
          </w:p>
        </w:tc>
        <w:tc>
          <w:tcPr>
            <w:tcW w:w="1579" w:type="dxa"/>
            <w:tcBorders>
              <w:top w:val="single" w:color="auto" w:sz="6" w:space="0"/>
              <w:left w:val="single" w:color="auto" w:sz="6" w:space="0"/>
              <w:bottom w:val="single" w:color="auto" w:sz="6" w:space="0"/>
              <w:right w:val="single" w:color="auto" w:sz="6" w:space="0"/>
            </w:tcBorders>
            <w:vAlign w:val="center"/>
          </w:tcPr>
          <w:p>
            <w:pPr>
              <w:snapToGrid w:val="0"/>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ind w:firstLine="308" w:firstLineChars="147"/>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667" w:type="dxa"/>
            <w:tcBorders>
              <w:top w:val="single" w:color="auto" w:sz="6" w:space="0"/>
              <w:left w:val="single" w:color="auto" w:sz="6" w:space="0"/>
              <w:bottom w:val="single" w:color="auto" w:sz="6" w:space="0"/>
              <w:right w:val="single" w:color="auto" w:sz="4" w:space="0"/>
            </w:tcBorders>
            <w:vAlign w:val="center"/>
          </w:tcPr>
          <w:p>
            <w:pPr>
              <w:ind w:firstLine="617" w:firstLineChars="294"/>
              <w:jc w:val="right"/>
              <w:rPr>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jc w:val="center"/>
              <w:rPr>
                <w:rFonts w:hint="eastAsia" w:eastAsia="宋体"/>
                <w:color w:val="auto"/>
                <w:highlight w:val="none"/>
                <w:lang w:val="en-US" w:eastAsia="zh-CN"/>
              </w:rPr>
            </w:pPr>
            <w:r>
              <w:rPr>
                <w:rFonts w:hint="eastAsia"/>
                <w:color w:val="auto"/>
                <w:highlight w:val="none"/>
                <w:lang w:val="en-US" w:eastAsia="zh-CN"/>
              </w:rPr>
              <w:t>1</w:t>
            </w:r>
          </w:p>
        </w:tc>
        <w:tc>
          <w:tcPr>
            <w:tcW w:w="2848" w:type="dxa"/>
            <w:tcBorders>
              <w:top w:val="single" w:color="auto" w:sz="6" w:space="0"/>
              <w:left w:val="single" w:color="auto" w:sz="6" w:space="0"/>
              <w:bottom w:val="single" w:color="auto" w:sz="6" w:space="0"/>
              <w:right w:val="single" w:color="auto" w:sz="6" w:space="0"/>
            </w:tcBorders>
            <w:shd w:val="clear" w:color="auto" w:fill="auto"/>
            <w:vAlign w:val="center"/>
          </w:tcPr>
          <w:p>
            <w:pPr>
              <w:jc w:val="left"/>
              <w:rPr>
                <w:rFonts w:hint="eastAsia" w:ascii="Calibri" w:hAnsi="Calibri" w:eastAsia="宋体" w:cs="Times New Roman"/>
                <w:color w:val="auto"/>
                <w:kern w:val="2"/>
                <w:sz w:val="21"/>
                <w:szCs w:val="22"/>
                <w:highlight w:val="none"/>
                <w:lang w:val="en-US" w:eastAsia="zh-CN" w:bidi="ar-SA"/>
              </w:rPr>
            </w:pPr>
            <w:r>
              <w:rPr>
                <w:rFonts w:hint="eastAsia"/>
                <w:color w:val="auto"/>
                <w:highlight w:val="none"/>
              </w:rPr>
              <w:t>消防及火灾自动报警系统（含电缆）</w:t>
            </w:r>
          </w:p>
        </w:tc>
        <w:tc>
          <w:tcPr>
            <w:tcW w:w="1579"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Calibri" w:hAnsi="Calibri" w:eastAsia="宋体" w:cs="Times New Roman"/>
                <w:color w:val="auto"/>
                <w:kern w:val="2"/>
                <w:sz w:val="21"/>
                <w:szCs w:val="22"/>
                <w:highlight w:val="none"/>
                <w:lang w:val="en-US" w:eastAsia="zh-CN" w:bidi="ar-SA"/>
              </w:rPr>
            </w:pPr>
          </w:p>
        </w:tc>
        <w:tc>
          <w:tcPr>
            <w:tcW w:w="1149"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hint="eastAsia" w:ascii="Calibri" w:hAnsi="Calibri" w:eastAsia="宋体" w:cs="Times New Roman"/>
                <w:color w:val="auto"/>
                <w:kern w:val="2"/>
                <w:sz w:val="21"/>
                <w:szCs w:val="22"/>
                <w:highlight w:val="none"/>
                <w:lang w:val="en-US" w:eastAsia="zh-CN" w:bidi="ar-SA"/>
              </w:rPr>
            </w:pPr>
            <w:r>
              <w:rPr>
                <w:rFonts w:hint="eastAsia"/>
                <w:color w:val="auto"/>
                <w:highlight w:val="none"/>
              </w:rPr>
              <w:t>套</w:t>
            </w:r>
          </w:p>
        </w:tc>
        <w:tc>
          <w:tcPr>
            <w:tcW w:w="1666"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hint="eastAsia" w:ascii="Calibri" w:hAnsi="Calibri" w:eastAsia="宋体" w:cs="Times New Roman"/>
                <w:color w:val="auto"/>
                <w:kern w:val="2"/>
                <w:sz w:val="21"/>
                <w:szCs w:val="22"/>
                <w:highlight w:val="none"/>
                <w:lang w:val="en-US" w:eastAsia="zh-CN" w:bidi="ar-SA"/>
              </w:rPr>
            </w:pPr>
            <w:r>
              <w:rPr>
                <w:rFonts w:hint="eastAsia"/>
                <w:color w:val="auto"/>
                <w:highlight w:val="none"/>
              </w:rPr>
              <w:t>自行计算</w:t>
            </w:r>
          </w:p>
        </w:tc>
        <w:tc>
          <w:tcPr>
            <w:tcW w:w="1667" w:type="dxa"/>
            <w:tcBorders>
              <w:top w:val="single" w:color="auto" w:sz="6" w:space="0"/>
              <w:left w:val="single" w:color="auto" w:sz="6" w:space="0"/>
              <w:bottom w:val="single" w:color="auto" w:sz="6" w:space="0"/>
              <w:right w:val="single" w:color="auto" w:sz="4" w:space="0"/>
            </w:tcBorders>
            <w:shd w:val="clear" w:color="auto" w:fill="auto"/>
            <w:vAlign w:val="center"/>
          </w:tcPr>
          <w:p>
            <w:pPr>
              <w:jc w:val="center"/>
              <w:rPr>
                <w:rFonts w:hint="eastAsia" w:ascii="Calibri" w:hAnsi="Calibri" w:eastAsia="宋体" w:cs="Times New Roman"/>
                <w:color w:val="auto"/>
                <w:kern w:val="2"/>
                <w:sz w:val="21"/>
                <w:szCs w:val="22"/>
                <w:highlight w:val="none"/>
                <w:lang w:val="en-US" w:eastAsia="zh-CN" w:bidi="ar-SA"/>
              </w:rPr>
            </w:pPr>
            <w:r>
              <w:rPr>
                <w:rFonts w:hint="eastAsia"/>
                <w:color w:val="auto"/>
                <w:highlight w:val="none"/>
              </w:rPr>
              <w:t>自行报价</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jc w:val="center"/>
              <w:rPr>
                <w:rFonts w:hint="eastAsia" w:eastAsia="宋体"/>
                <w:color w:val="auto"/>
                <w:highlight w:val="none"/>
                <w:lang w:eastAsia="zh-CN"/>
              </w:rPr>
            </w:pPr>
            <w:r>
              <w:rPr>
                <w:rFonts w:hint="eastAsia"/>
                <w:color w:val="auto"/>
                <w:highlight w:val="none"/>
                <w:lang w:val="en-US" w:eastAsia="zh-CN"/>
              </w:rPr>
              <w:t>2</w:t>
            </w:r>
          </w:p>
        </w:tc>
        <w:tc>
          <w:tcPr>
            <w:tcW w:w="2848" w:type="dxa"/>
            <w:tcBorders>
              <w:top w:val="single" w:color="auto" w:sz="6" w:space="0"/>
              <w:left w:val="single" w:color="auto" w:sz="6" w:space="0"/>
              <w:bottom w:val="single" w:color="auto" w:sz="6" w:space="0"/>
              <w:right w:val="single" w:color="auto" w:sz="6" w:space="0"/>
            </w:tcBorders>
            <w:vAlign w:val="center"/>
          </w:tcPr>
          <w:p>
            <w:pPr>
              <w:jc w:val="left"/>
              <w:rPr>
                <w:color w:val="auto"/>
                <w:highlight w:val="none"/>
              </w:rPr>
            </w:pPr>
            <w:r>
              <w:rPr>
                <w:rFonts w:hint="eastAsia"/>
                <w:color w:val="auto"/>
                <w:highlight w:val="none"/>
              </w:rPr>
              <w:t>水喷淋灭火系统（含电缆）</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套</w:t>
            </w:r>
          </w:p>
        </w:tc>
        <w:tc>
          <w:tcPr>
            <w:tcW w:w="1666"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自行计算</w:t>
            </w:r>
          </w:p>
        </w:tc>
        <w:tc>
          <w:tcPr>
            <w:tcW w:w="1667" w:type="dxa"/>
            <w:tcBorders>
              <w:top w:val="single" w:color="auto" w:sz="6" w:space="0"/>
              <w:left w:val="single" w:color="auto" w:sz="6" w:space="0"/>
              <w:bottom w:val="single" w:color="auto" w:sz="6" w:space="0"/>
              <w:right w:val="single" w:color="auto" w:sz="4" w:space="0"/>
            </w:tcBorders>
            <w:vAlign w:val="center"/>
          </w:tcPr>
          <w:p>
            <w:pPr>
              <w:jc w:val="center"/>
              <w:rPr>
                <w:color w:val="auto"/>
                <w:highlight w:val="none"/>
              </w:rPr>
            </w:pPr>
            <w:r>
              <w:rPr>
                <w:rFonts w:hint="eastAsia"/>
                <w:color w:val="auto"/>
                <w:highlight w:val="none"/>
              </w:rPr>
              <w:t>自行报价</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jc w:val="center"/>
              <w:rPr>
                <w:rFonts w:hint="eastAsia" w:eastAsia="宋体"/>
                <w:color w:val="auto"/>
                <w:highlight w:val="none"/>
                <w:lang w:eastAsia="zh-CN"/>
              </w:rPr>
            </w:pPr>
            <w:r>
              <w:rPr>
                <w:rFonts w:hint="eastAsia"/>
                <w:color w:val="auto"/>
                <w:highlight w:val="none"/>
                <w:lang w:val="en-US" w:eastAsia="zh-CN"/>
              </w:rPr>
              <w:t>3</w:t>
            </w:r>
          </w:p>
        </w:tc>
        <w:tc>
          <w:tcPr>
            <w:tcW w:w="2848" w:type="dxa"/>
            <w:tcBorders>
              <w:top w:val="single" w:color="auto" w:sz="6" w:space="0"/>
              <w:left w:val="single" w:color="auto" w:sz="6" w:space="0"/>
              <w:bottom w:val="single" w:color="auto" w:sz="6" w:space="0"/>
              <w:right w:val="single" w:color="auto" w:sz="6" w:space="0"/>
            </w:tcBorders>
            <w:vAlign w:val="center"/>
          </w:tcPr>
          <w:p>
            <w:pPr>
              <w:jc w:val="left"/>
              <w:rPr>
                <w:color w:val="auto"/>
                <w:highlight w:val="none"/>
              </w:rPr>
            </w:pPr>
            <w:r>
              <w:rPr>
                <w:rFonts w:hint="eastAsia"/>
                <w:color w:val="auto"/>
                <w:highlight w:val="none"/>
              </w:rPr>
              <w:t>供水一体化设备</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套</w:t>
            </w:r>
          </w:p>
        </w:tc>
        <w:tc>
          <w:tcPr>
            <w:tcW w:w="1666"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自行计算</w:t>
            </w:r>
          </w:p>
        </w:tc>
        <w:tc>
          <w:tcPr>
            <w:tcW w:w="1667" w:type="dxa"/>
            <w:tcBorders>
              <w:top w:val="single" w:color="auto" w:sz="6" w:space="0"/>
              <w:left w:val="single" w:color="auto" w:sz="6" w:space="0"/>
              <w:bottom w:val="single" w:color="auto" w:sz="6" w:space="0"/>
              <w:right w:val="single" w:color="auto" w:sz="4" w:space="0"/>
            </w:tcBorders>
            <w:vAlign w:val="center"/>
          </w:tcPr>
          <w:p>
            <w:pPr>
              <w:jc w:val="center"/>
              <w:rPr>
                <w:color w:val="auto"/>
                <w:highlight w:val="none"/>
              </w:rPr>
            </w:pPr>
            <w:r>
              <w:rPr>
                <w:rFonts w:hint="eastAsia"/>
                <w:color w:val="auto"/>
                <w:highlight w:val="none"/>
              </w:rPr>
              <w:t>自行报价</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jc w:val="center"/>
              <w:rPr>
                <w:rFonts w:hint="eastAsia" w:eastAsia="宋体"/>
                <w:color w:val="auto"/>
                <w:highlight w:val="none"/>
                <w:lang w:eastAsia="zh-CN"/>
              </w:rPr>
            </w:pPr>
            <w:r>
              <w:rPr>
                <w:rFonts w:hint="eastAsia"/>
                <w:color w:val="auto"/>
                <w:highlight w:val="none"/>
                <w:lang w:val="en-US" w:eastAsia="zh-CN"/>
              </w:rPr>
              <w:t>4</w:t>
            </w:r>
          </w:p>
        </w:tc>
        <w:tc>
          <w:tcPr>
            <w:tcW w:w="2848" w:type="dxa"/>
            <w:tcBorders>
              <w:top w:val="single" w:color="auto" w:sz="6" w:space="0"/>
              <w:left w:val="single" w:color="auto" w:sz="6" w:space="0"/>
              <w:bottom w:val="single" w:color="auto" w:sz="6" w:space="0"/>
              <w:right w:val="single" w:color="auto" w:sz="6" w:space="0"/>
            </w:tcBorders>
            <w:vAlign w:val="center"/>
          </w:tcPr>
          <w:p>
            <w:pPr>
              <w:rPr>
                <w:color w:val="auto"/>
                <w:highlight w:val="none"/>
              </w:rPr>
            </w:pPr>
            <w:r>
              <w:rPr>
                <w:rFonts w:hint="eastAsia"/>
                <w:color w:val="auto"/>
                <w:highlight w:val="none"/>
              </w:rPr>
              <w:t>污水处理装置</w:t>
            </w:r>
          </w:p>
        </w:tc>
        <w:tc>
          <w:tcPr>
            <w:tcW w:w="1579" w:type="dxa"/>
            <w:tcBorders>
              <w:top w:val="single" w:color="auto" w:sz="6" w:space="0"/>
              <w:left w:val="single" w:color="auto" w:sz="6" w:space="0"/>
              <w:bottom w:val="single" w:color="auto" w:sz="6" w:space="0"/>
              <w:right w:val="single" w:color="auto" w:sz="6" w:space="0"/>
            </w:tcBorders>
            <w:vAlign w:val="center"/>
          </w:tcPr>
          <w:p>
            <w:pPr>
              <w:snapToGrid w:val="0"/>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套</w:t>
            </w:r>
          </w:p>
        </w:tc>
        <w:tc>
          <w:tcPr>
            <w:tcW w:w="1666"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自行计算</w:t>
            </w:r>
          </w:p>
        </w:tc>
        <w:tc>
          <w:tcPr>
            <w:tcW w:w="1667" w:type="dxa"/>
            <w:tcBorders>
              <w:top w:val="single" w:color="auto" w:sz="6" w:space="0"/>
              <w:left w:val="single" w:color="auto" w:sz="6" w:space="0"/>
              <w:bottom w:val="single" w:color="auto" w:sz="6" w:space="0"/>
              <w:right w:val="single" w:color="auto" w:sz="4" w:space="0"/>
            </w:tcBorders>
            <w:vAlign w:val="center"/>
          </w:tcPr>
          <w:p>
            <w:pPr>
              <w:jc w:val="center"/>
              <w:rPr>
                <w:color w:val="auto"/>
                <w:highlight w:val="none"/>
              </w:rPr>
            </w:pPr>
            <w:r>
              <w:rPr>
                <w:rFonts w:hint="eastAsia"/>
                <w:color w:val="auto"/>
                <w:highlight w:val="none"/>
              </w:rPr>
              <w:t>自行报价</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jc w:val="center"/>
              <w:rPr>
                <w:rFonts w:hint="eastAsia" w:eastAsia="宋体"/>
                <w:color w:val="auto"/>
                <w:highlight w:val="none"/>
                <w:lang w:eastAsia="zh-CN"/>
              </w:rPr>
            </w:pPr>
            <w:r>
              <w:rPr>
                <w:rFonts w:hint="eastAsia"/>
                <w:color w:val="auto"/>
                <w:highlight w:val="none"/>
                <w:lang w:val="en-US" w:eastAsia="zh-CN"/>
              </w:rPr>
              <w:t>5</w:t>
            </w:r>
          </w:p>
        </w:tc>
        <w:tc>
          <w:tcPr>
            <w:tcW w:w="2848" w:type="dxa"/>
            <w:tcBorders>
              <w:top w:val="single" w:color="auto" w:sz="6" w:space="0"/>
              <w:left w:val="single" w:color="auto" w:sz="6" w:space="0"/>
              <w:bottom w:val="single" w:color="auto" w:sz="6" w:space="0"/>
              <w:right w:val="single" w:color="auto" w:sz="6" w:space="0"/>
            </w:tcBorders>
            <w:vAlign w:val="center"/>
          </w:tcPr>
          <w:p>
            <w:pPr>
              <w:rPr>
                <w:color w:val="auto"/>
                <w:highlight w:val="none"/>
              </w:rPr>
            </w:pPr>
            <w:r>
              <w:rPr>
                <w:rFonts w:hint="eastAsia"/>
                <w:color w:val="auto"/>
                <w:highlight w:val="none"/>
              </w:rPr>
              <w:t>除以上标明的设备及招标人购买外的所有设备</w:t>
            </w:r>
          </w:p>
        </w:tc>
        <w:tc>
          <w:tcPr>
            <w:tcW w:w="1579" w:type="dxa"/>
            <w:tcBorders>
              <w:top w:val="single" w:color="auto" w:sz="6" w:space="0"/>
              <w:left w:val="single" w:color="auto" w:sz="6" w:space="0"/>
              <w:bottom w:val="single" w:color="auto" w:sz="6" w:space="0"/>
              <w:right w:val="single" w:color="auto" w:sz="6" w:space="0"/>
            </w:tcBorders>
            <w:vAlign w:val="center"/>
          </w:tcPr>
          <w:p>
            <w:pPr>
              <w:snapToGrid w:val="0"/>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ind w:firstLine="308" w:firstLineChars="147"/>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667" w:type="dxa"/>
            <w:tcBorders>
              <w:top w:val="single" w:color="auto" w:sz="6" w:space="0"/>
              <w:left w:val="single" w:color="auto" w:sz="6" w:space="0"/>
              <w:bottom w:val="single" w:color="auto" w:sz="6" w:space="0"/>
              <w:right w:val="single" w:color="auto" w:sz="4" w:space="0"/>
            </w:tcBorders>
            <w:vAlign w:val="center"/>
          </w:tcPr>
          <w:p>
            <w:pPr>
              <w:ind w:firstLine="617" w:firstLineChars="294"/>
              <w:jc w:val="right"/>
              <w:rPr>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（二）</w:t>
            </w:r>
          </w:p>
        </w:tc>
        <w:tc>
          <w:tcPr>
            <w:tcW w:w="2848" w:type="dxa"/>
            <w:tcBorders>
              <w:top w:val="single" w:color="auto" w:sz="6" w:space="0"/>
              <w:left w:val="single" w:color="auto" w:sz="6" w:space="0"/>
              <w:bottom w:val="single" w:color="auto" w:sz="6" w:space="0"/>
              <w:right w:val="single" w:color="auto" w:sz="6" w:space="0"/>
            </w:tcBorders>
            <w:vAlign w:val="center"/>
          </w:tcPr>
          <w:p>
            <w:pPr>
              <w:snapToGrid w:val="0"/>
              <w:rPr>
                <w:color w:val="auto"/>
                <w:highlight w:val="none"/>
              </w:rPr>
            </w:pPr>
            <w:r>
              <w:rPr>
                <w:rFonts w:hint="eastAsia"/>
                <w:color w:val="auto"/>
                <w:highlight w:val="none"/>
              </w:rPr>
              <w:t>材料部分</w:t>
            </w:r>
          </w:p>
        </w:tc>
        <w:tc>
          <w:tcPr>
            <w:tcW w:w="1579" w:type="dxa"/>
            <w:tcBorders>
              <w:top w:val="single" w:color="auto" w:sz="6" w:space="0"/>
              <w:left w:val="single" w:color="auto" w:sz="6" w:space="0"/>
              <w:bottom w:val="single" w:color="auto" w:sz="6" w:space="0"/>
              <w:right w:val="single" w:color="auto" w:sz="6" w:space="0"/>
            </w:tcBorders>
            <w:vAlign w:val="center"/>
          </w:tcPr>
          <w:p>
            <w:pPr>
              <w:snapToGrid w:val="0"/>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ind w:firstLine="308" w:firstLineChars="147"/>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667" w:type="dxa"/>
            <w:tcBorders>
              <w:top w:val="single" w:color="auto" w:sz="6" w:space="0"/>
              <w:left w:val="single" w:color="auto" w:sz="6" w:space="0"/>
              <w:bottom w:val="single" w:color="auto" w:sz="6" w:space="0"/>
              <w:right w:val="single" w:color="auto" w:sz="4" w:space="0"/>
            </w:tcBorders>
            <w:vAlign w:val="center"/>
          </w:tcPr>
          <w:p>
            <w:pPr>
              <w:ind w:firstLine="617" w:firstLineChars="294"/>
              <w:jc w:val="right"/>
              <w:rPr>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jc w:val="center"/>
              <w:rPr>
                <w:rFonts w:hint="eastAsia" w:eastAsia="宋体"/>
                <w:color w:val="auto"/>
                <w:highlight w:val="none"/>
                <w:lang w:eastAsia="zh-CN"/>
              </w:rPr>
            </w:pPr>
            <w:r>
              <w:rPr>
                <w:rFonts w:hint="eastAsia"/>
                <w:color w:val="auto"/>
                <w:highlight w:val="none"/>
                <w:lang w:val="en-US" w:eastAsia="zh-CN"/>
              </w:rPr>
              <w:t>1</w:t>
            </w:r>
          </w:p>
        </w:tc>
        <w:tc>
          <w:tcPr>
            <w:tcW w:w="2848" w:type="dxa"/>
            <w:tcBorders>
              <w:top w:val="single" w:color="auto" w:sz="6" w:space="0"/>
              <w:left w:val="single" w:color="auto" w:sz="6" w:space="0"/>
              <w:bottom w:val="single" w:color="auto" w:sz="6" w:space="0"/>
              <w:right w:val="single" w:color="auto" w:sz="6" w:space="0"/>
            </w:tcBorders>
            <w:vAlign w:val="center"/>
          </w:tcPr>
          <w:p>
            <w:pPr>
              <w:snapToGrid w:val="0"/>
              <w:rPr>
                <w:rFonts w:hint="eastAsia"/>
                <w:color w:val="auto"/>
                <w:highlight w:val="none"/>
              </w:rPr>
            </w:pPr>
            <w:r>
              <w:rPr>
                <w:rFonts w:hint="eastAsia"/>
                <w:color w:val="auto"/>
                <w:highlight w:val="none"/>
              </w:rPr>
              <w:t>除招标人购买外的所有材料</w:t>
            </w:r>
          </w:p>
        </w:tc>
        <w:tc>
          <w:tcPr>
            <w:tcW w:w="1579" w:type="dxa"/>
            <w:tcBorders>
              <w:top w:val="single" w:color="auto" w:sz="6" w:space="0"/>
              <w:left w:val="single" w:color="auto" w:sz="6" w:space="0"/>
              <w:bottom w:val="single" w:color="auto" w:sz="6" w:space="0"/>
              <w:right w:val="single" w:color="auto" w:sz="6" w:space="0"/>
            </w:tcBorders>
            <w:vAlign w:val="center"/>
          </w:tcPr>
          <w:p>
            <w:pPr>
              <w:snapToGrid w:val="0"/>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ind w:firstLine="308" w:firstLineChars="147"/>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667" w:type="dxa"/>
            <w:tcBorders>
              <w:top w:val="single" w:color="auto" w:sz="6" w:space="0"/>
              <w:left w:val="single" w:color="auto" w:sz="6" w:space="0"/>
              <w:bottom w:val="single" w:color="auto" w:sz="6" w:space="0"/>
              <w:right w:val="single" w:color="auto" w:sz="4" w:space="0"/>
            </w:tcBorders>
            <w:vAlign w:val="center"/>
          </w:tcPr>
          <w:p>
            <w:pPr>
              <w:ind w:firstLine="617" w:firstLineChars="294"/>
              <w:jc w:val="right"/>
              <w:rPr>
                <w:color w:val="auto"/>
                <w:highlight w:val="none"/>
              </w:rPr>
            </w:pPr>
          </w:p>
        </w:tc>
      </w:tr>
    </w:tbl>
    <w:p>
      <w:pPr>
        <w:jc w:val="center"/>
        <w:rPr>
          <w:rFonts w:hint="eastAsia"/>
          <w:b/>
          <w:color w:val="auto"/>
          <w:highlight w:val="none"/>
        </w:rPr>
      </w:pPr>
    </w:p>
    <w:p>
      <w:pPr>
        <w:ind w:firstLine="94" w:firstLineChars="45"/>
        <w:rPr>
          <w:rFonts w:ascii="宋体" w:hAnsi="宋体"/>
          <w:color w:val="auto"/>
          <w:highlight w:val="none"/>
          <w:u w:val="single"/>
        </w:rPr>
      </w:pPr>
      <w:r>
        <w:rPr>
          <w:rFonts w:hint="eastAsia" w:ascii="宋体" w:hAnsi="宋体"/>
          <w:color w:val="auto"/>
          <w:highlight w:val="none"/>
        </w:rPr>
        <w:t>说明：1、设备、材料按</w:t>
      </w:r>
      <w:r>
        <w:rPr>
          <w:rFonts w:hint="eastAsia" w:ascii="宋体" w:hAnsi="宋体"/>
          <w:color w:val="auto"/>
          <w:highlight w:val="none"/>
          <w:u w:val="single"/>
        </w:rPr>
        <w:t>、《电网工程建设预算编制与计算规定》（</w:t>
      </w:r>
      <w:r>
        <w:rPr>
          <w:rFonts w:hint="eastAsia" w:ascii="宋体" w:hAnsi="宋体"/>
          <w:color w:val="auto"/>
          <w:highlight w:val="none"/>
          <w:u w:val="single"/>
          <w:lang w:eastAsia="zh-CN"/>
        </w:rPr>
        <w:t>2018</w:t>
      </w:r>
      <w:r>
        <w:rPr>
          <w:rFonts w:hint="eastAsia" w:ascii="宋体" w:hAnsi="宋体"/>
          <w:color w:val="auto"/>
          <w:highlight w:val="none"/>
          <w:u w:val="single"/>
        </w:rPr>
        <w:t>年版）</w:t>
      </w:r>
      <w:r>
        <w:rPr>
          <w:rFonts w:hint="eastAsia" w:ascii="宋体" w:hAnsi="宋体"/>
          <w:color w:val="auto"/>
          <w:highlight w:val="none"/>
        </w:rPr>
        <w:t>划分。</w:t>
      </w:r>
    </w:p>
    <w:p>
      <w:pPr>
        <w:ind w:firstLine="735" w:firstLineChars="350"/>
        <w:rPr>
          <w:rFonts w:hint="eastAsia" w:ascii="宋体" w:hAnsi="宋体" w:eastAsia="宋体"/>
          <w:color w:val="auto"/>
          <w:highlight w:val="none"/>
          <w:lang w:eastAsia="zh-CN"/>
        </w:rPr>
      </w:pPr>
      <w:r>
        <w:rPr>
          <w:rFonts w:hint="eastAsia" w:ascii="宋体" w:hAnsi="宋体"/>
          <w:color w:val="auto"/>
          <w:highlight w:val="none"/>
        </w:rPr>
        <w:t>2、如五防系统、二次防雷系统、在线监测装置由招标人提供时，则由厂家安装调试，中标单位配合、协调</w:t>
      </w:r>
      <w:r>
        <w:rPr>
          <w:rFonts w:hint="eastAsia" w:ascii="宋体" w:hAnsi="宋体"/>
          <w:color w:val="auto"/>
          <w:highlight w:val="none"/>
          <w:lang w:eastAsia="zh-CN"/>
        </w:rPr>
        <w:t>，二次安防设备由招标人提供，二次安防联调由中标单位负责，厂家配合调试。</w:t>
      </w:r>
    </w:p>
    <w:p>
      <w:pPr>
        <w:ind w:firstLine="735" w:firstLineChars="350"/>
        <w:rPr>
          <w:rFonts w:hAnsi="宋体"/>
          <w:color w:val="auto"/>
          <w:highlight w:val="none"/>
        </w:rPr>
      </w:pPr>
      <w:r>
        <w:rPr>
          <w:rFonts w:hint="eastAsia" w:ascii="宋体" w:hAnsi="宋体"/>
          <w:color w:val="auto"/>
          <w:highlight w:val="none"/>
        </w:rPr>
        <w:t>3、如</w:t>
      </w:r>
      <w:r>
        <w:rPr>
          <w:rFonts w:hint="eastAsia" w:hAnsi="宋体"/>
          <w:color w:val="auto"/>
          <w:highlight w:val="none"/>
        </w:rPr>
        <w:t>电子围栏由中标人提供，中标人还需办理完成当地公安局备案手续。</w:t>
      </w:r>
    </w:p>
    <w:p>
      <w:pPr>
        <w:ind w:firstLine="735" w:firstLineChars="350"/>
        <w:rPr>
          <w:rFonts w:hint="eastAsia"/>
          <w:color w:val="auto"/>
          <w:highlight w:val="none"/>
        </w:rPr>
      </w:pPr>
      <w:r>
        <w:rPr>
          <w:rFonts w:hint="eastAsia" w:ascii="宋体" w:hAnsi="宋体"/>
          <w:color w:val="auto"/>
          <w:highlight w:val="none"/>
        </w:rPr>
        <w:t>4、招标人提供的</w:t>
      </w:r>
      <w:r>
        <w:rPr>
          <w:rFonts w:hint="eastAsia"/>
          <w:color w:val="auto"/>
          <w:highlight w:val="none"/>
        </w:rPr>
        <w:t>变电站钢结构包含：钢母线构架、钢进出线构架、钢主变构架（前述构架均包含横梁、横梁走道、地线柱、爬梯、柱上避雷针）、独立避雷针塔及配套连接件（如包箍、螺栓等）、钢设备支架。</w:t>
      </w:r>
    </w:p>
    <w:p>
      <w:pPr>
        <w:ind w:firstLine="735" w:firstLineChars="350"/>
        <w:rPr>
          <w:color w:val="auto"/>
          <w:highlight w:val="none"/>
        </w:rPr>
      </w:pPr>
      <w:r>
        <w:rPr>
          <w:rFonts w:hint="eastAsia" w:ascii="宋体" w:hAnsi="宋体"/>
          <w:color w:val="auto"/>
          <w:highlight w:val="none"/>
          <w:lang w:val="en-US" w:eastAsia="zh-CN"/>
        </w:rPr>
        <w:t>5</w:t>
      </w:r>
      <w:r>
        <w:rPr>
          <w:rFonts w:hint="eastAsia" w:ascii="宋体" w:hAnsi="宋体"/>
          <w:color w:val="auto"/>
          <w:highlight w:val="none"/>
        </w:rPr>
        <w:t>、非复合</w:t>
      </w:r>
      <w:r>
        <w:rPr>
          <w:rFonts w:hint="eastAsia" w:ascii="宋体" w:hAnsi="宋体"/>
          <w:color w:val="auto"/>
          <w:highlight w:val="none"/>
          <w:lang w:val="en-US" w:eastAsia="zh-CN"/>
        </w:rPr>
        <w:t>电缆沟盖板</w:t>
      </w:r>
      <w:r>
        <w:rPr>
          <w:rFonts w:hint="eastAsia" w:ascii="宋体" w:hAnsi="宋体"/>
          <w:color w:val="auto"/>
          <w:highlight w:val="none"/>
        </w:rPr>
        <w:t>由中标人采购</w:t>
      </w:r>
      <w:r>
        <w:rPr>
          <w:rFonts w:hint="eastAsia"/>
          <w:color w:val="auto"/>
          <w:highlight w:val="none"/>
        </w:rPr>
        <w:t>。</w:t>
      </w:r>
    </w:p>
    <w:p>
      <w:pPr>
        <w:ind w:firstLine="724" w:firstLineChars="345"/>
        <w:rPr>
          <w:rFonts w:hint="eastAsia" w:ascii="宋体" w:hAnsi="宋体"/>
          <w:color w:val="auto"/>
          <w:highlight w:val="none"/>
        </w:rPr>
      </w:pPr>
      <w:r>
        <w:rPr>
          <w:rFonts w:hint="eastAsia" w:ascii="宋体" w:hAnsi="宋体"/>
          <w:color w:val="auto"/>
          <w:highlight w:val="none"/>
          <w:lang w:val="en-US" w:eastAsia="zh-CN"/>
        </w:rPr>
        <w:t>6</w:t>
      </w:r>
      <w:r>
        <w:rPr>
          <w:rFonts w:hint="eastAsia" w:ascii="宋体" w:hAnsi="宋体"/>
          <w:color w:val="auto"/>
          <w:highlight w:val="none"/>
        </w:rPr>
        <w:t>、变电站对侧间隔涉及间隔施工或间隔调换时，考虑不连续停电时产生多次进退场费用和办理工作票手续。间隔扩建围挡措施费用按南网相关要求自行报价。</w:t>
      </w:r>
    </w:p>
    <w:p>
      <w:pPr>
        <w:ind w:firstLine="724" w:firstLineChars="345"/>
        <w:rPr>
          <w:rFonts w:hint="eastAsia" w:ascii="宋体" w:hAnsi="宋体"/>
          <w:color w:val="auto"/>
          <w:highlight w:val="none"/>
        </w:rPr>
      </w:pPr>
      <w:r>
        <w:rPr>
          <w:rFonts w:hint="eastAsia" w:ascii="宋体" w:hAnsi="宋体"/>
          <w:highlight w:val="none"/>
          <w:lang w:val="en-US" w:eastAsia="zh-CN"/>
        </w:rPr>
        <w:t>7</w:t>
      </w:r>
      <w:r>
        <w:rPr>
          <w:rFonts w:hint="eastAsia" w:ascii="宋体" w:hAnsi="宋体"/>
          <w:highlight w:val="none"/>
        </w:rPr>
        <w:t>、消防及火灾自动报警系统的设备材料（含感温系统）由中标人采购。依据电力工程建筑定额，在建筑工程中计列。</w:t>
      </w:r>
    </w:p>
    <w:p>
      <w:pPr>
        <w:ind w:firstLine="724" w:firstLineChars="345"/>
        <w:rPr>
          <w:rFonts w:hint="eastAsia" w:ascii="宋体" w:hAnsi="宋体"/>
          <w:color w:val="auto"/>
          <w:highlight w:val="none"/>
        </w:rPr>
      </w:pPr>
      <w:r>
        <w:rPr>
          <w:rFonts w:hint="eastAsia" w:ascii="宋体" w:hAnsi="宋体"/>
          <w:color w:val="auto"/>
          <w:highlight w:val="none"/>
          <w:lang w:val="en-US" w:eastAsia="zh-CN"/>
        </w:rPr>
        <w:t>8</w:t>
      </w:r>
      <w:r>
        <w:rPr>
          <w:rFonts w:hint="eastAsia" w:ascii="宋体" w:hAnsi="宋体"/>
          <w:color w:val="auto"/>
          <w:highlight w:val="none"/>
        </w:rPr>
        <w:t>、变电站混凝土采用商品混凝土。</w:t>
      </w:r>
    </w:p>
    <w:p>
      <w:pPr>
        <w:ind w:firstLine="724" w:firstLineChars="345"/>
        <w:rPr>
          <w:rFonts w:hint="eastAsia" w:ascii="宋体" w:hAnsi="宋体"/>
          <w:strike/>
          <w:color w:val="auto"/>
          <w:highlight w:val="none"/>
          <w:lang w:val="en-US" w:eastAsia="zh-CN"/>
        </w:rPr>
      </w:pPr>
    </w:p>
    <w:p>
      <w:pPr>
        <w:pStyle w:val="6"/>
        <w:rPr>
          <w:rFonts w:hint="eastAsia" w:ascii="宋体" w:hAnsi="宋体"/>
          <w:strike/>
          <w:color w:val="auto"/>
          <w:highlight w:val="none"/>
          <w:lang w:val="en-US" w:eastAsia="zh-CN"/>
        </w:rPr>
      </w:pPr>
    </w:p>
    <w:p>
      <w:pPr>
        <w:pStyle w:val="7"/>
        <w:rPr>
          <w:rFonts w:hint="eastAsia" w:ascii="宋体" w:hAnsi="宋体"/>
          <w:strike/>
          <w:color w:val="auto"/>
          <w:highlight w:val="none"/>
          <w:lang w:val="en-US" w:eastAsia="zh-CN"/>
        </w:rPr>
      </w:pPr>
    </w:p>
    <w:p>
      <w:pPr>
        <w:rPr>
          <w:rFonts w:hint="eastAsia" w:ascii="宋体" w:hAnsi="宋体"/>
          <w:strike/>
          <w:color w:val="auto"/>
          <w:highlight w:val="none"/>
          <w:lang w:val="en-US" w:eastAsia="zh-CN"/>
        </w:rPr>
      </w:pPr>
    </w:p>
    <w:p>
      <w:pPr>
        <w:pStyle w:val="6"/>
        <w:rPr>
          <w:rFonts w:hint="eastAsia"/>
          <w:highlight w:val="none"/>
          <w:lang w:val="en-US" w:eastAsia="zh-CN"/>
        </w:rPr>
      </w:pPr>
    </w:p>
    <w:p>
      <w:pPr>
        <w:snapToGrid/>
        <w:spacing w:before="0" w:after="0" w:line="240" w:lineRule="auto"/>
        <w:ind w:left="0" w:right="0"/>
        <w:jc w:val="center"/>
        <w:rPr>
          <w:rFonts w:hint="eastAsia" w:ascii="宋体" w:hAnsi="宋体" w:eastAsia="宋体" w:cs="Times New Roman"/>
          <w:b/>
          <w:color w:val="auto"/>
          <w:sz w:val="32"/>
          <w:szCs w:val="32"/>
          <w:highlight w:val="none"/>
          <w:u w:val="single"/>
          <w:lang w:val="en-US" w:eastAsia="zh-CN"/>
        </w:rPr>
      </w:pPr>
      <w:r>
        <w:rPr>
          <w:rFonts w:hint="eastAsia" w:ascii="宋体" w:hAnsi="宋体" w:eastAsia="宋体" w:cs="Times New Roman"/>
          <w:b/>
          <w:color w:val="auto"/>
          <w:sz w:val="32"/>
          <w:szCs w:val="32"/>
          <w:highlight w:val="none"/>
          <w:u w:val="single"/>
          <w:lang w:val="en-US" w:eastAsia="zh-CN"/>
        </w:rPr>
        <w:t>2、220kV航洋（渔万）送变电工程</w:t>
      </w:r>
      <w:r>
        <w:rPr>
          <w:rFonts w:hint="eastAsia" w:ascii="宋体" w:hAnsi="宋体" w:cs="Times New Roman"/>
          <w:b/>
          <w:color w:val="auto"/>
          <w:sz w:val="32"/>
          <w:szCs w:val="32"/>
          <w:highlight w:val="none"/>
          <w:u w:val="single"/>
          <w:lang w:val="en-US" w:eastAsia="zh-CN"/>
        </w:rPr>
        <w:t>架空</w:t>
      </w:r>
      <w:r>
        <w:rPr>
          <w:rFonts w:hint="eastAsia" w:ascii="宋体" w:hAnsi="宋体" w:eastAsia="宋体" w:cs="Times New Roman"/>
          <w:b/>
          <w:color w:val="auto"/>
          <w:sz w:val="32"/>
          <w:szCs w:val="32"/>
          <w:highlight w:val="none"/>
          <w:u w:val="single"/>
          <w:lang w:val="en-US" w:eastAsia="zh-CN"/>
        </w:rPr>
        <w:t>线路部分</w:t>
      </w:r>
    </w:p>
    <w:p>
      <w:pPr>
        <w:jc w:val="center"/>
        <w:rPr>
          <w:b/>
          <w:color w:val="auto"/>
          <w:highlight w:val="none"/>
        </w:rPr>
      </w:pPr>
      <w:r>
        <w:rPr>
          <w:rFonts w:hint="eastAsia"/>
          <w:b/>
          <w:color w:val="auto"/>
          <w:highlight w:val="none"/>
        </w:rPr>
        <w:t>招标人提供的设备、材料清单</w:t>
      </w:r>
    </w:p>
    <w:tbl>
      <w:tblPr>
        <w:tblStyle w:val="13"/>
        <w:tblpPr w:leftFromText="180" w:rightFromText="180" w:vertAnchor="text" w:horzAnchor="margin" w:tblpXSpec="center" w:tblpY="357"/>
        <w:tblW w:w="10080" w:type="dxa"/>
        <w:tblInd w:w="0" w:type="dxa"/>
        <w:tblLayout w:type="fixed"/>
        <w:tblCellMar>
          <w:top w:w="0" w:type="dxa"/>
          <w:left w:w="108" w:type="dxa"/>
          <w:bottom w:w="0" w:type="dxa"/>
          <w:right w:w="108" w:type="dxa"/>
        </w:tblCellMar>
      </w:tblPr>
      <w:tblGrid>
        <w:gridCol w:w="947"/>
        <w:gridCol w:w="3000"/>
        <w:gridCol w:w="1107"/>
        <w:gridCol w:w="1143"/>
        <w:gridCol w:w="1400"/>
        <w:gridCol w:w="2483"/>
      </w:tblGrid>
      <w:tr>
        <w:tblPrEx>
          <w:tblCellMar>
            <w:top w:w="0" w:type="dxa"/>
            <w:left w:w="108" w:type="dxa"/>
            <w:bottom w:w="0" w:type="dxa"/>
            <w:right w:w="108" w:type="dxa"/>
          </w:tblCellMar>
        </w:tblPrEx>
        <w:trPr>
          <w:trHeight w:val="397" w:hRule="atLeast"/>
          <w:tblHeader/>
        </w:trPr>
        <w:tc>
          <w:tcPr>
            <w:tcW w:w="947" w:type="dxa"/>
            <w:tcBorders>
              <w:top w:val="single" w:color="auto" w:sz="8" w:space="0"/>
              <w:left w:val="single" w:color="auto" w:sz="8" w:space="0"/>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序号</w:t>
            </w:r>
          </w:p>
        </w:tc>
        <w:tc>
          <w:tcPr>
            <w:tcW w:w="3000"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设备、材料名称</w:t>
            </w:r>
          </w:p>
        </w:tc>
        <w:tc>
          <w:tcPr>
            <w:tcW w:w="1107"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规格型号</w:t>
            </w:r>
          </w:p>
        </w:tc>
        <w:tc>
          <w:tcPr>
            <w:tcW w:w="1143"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单位</w:t>
            </w:r>
          </w:p>
        </w:tc>
        <w:tc>
          <w:tcPr>
            <w:tcW w:w="1400"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数量</w:t>
            </w:r>
          </w:p>
        </w:tc>
        <w:tc>
          <w:tcPr>
            <w:tcW w:w="2483"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单价（元）</w:t>
            </w:r>
          </w:p>
        </w:tc>
      </w:tr>
      <w:tr>
        <w:tblPrEx>
          <w:tblCellMar>
            <w:top w:w="0" w:type="dxa"/>
            <w:left w:w="108" w:type="dxa"/>
            <w:bottom w:w="0" w:type="dxa"/>
            <w:right w:w="108" w:type="dxa"/>
          </w:tblCellMar>
        </w:tblPrEx>
        <w:trPr>
          <w:trHeight w:val="397" w:hRule="atLeast"/>
        </w:trPr>
        <w:tc>
          <w:tcPr>
            <w:tcW w:w="947" w:type="dxa"/>
            <w:tcBorders>
              <w:top w:val="nil"/>
              <w:left w:val="single" w:color="auto" w:sz="8" w:space="0"/>
              <w:bottom w:val="single" w:color="auto" w:sz="4" w:space="0"/>
              <w:right w:val="single" w:color="auto" w:sz="4" w:space="0"/>
            </w:tcBorders>
            <w:vAlign w:val="center"/>
          </w:tcPr>
          <w:p>
            <w:pPr>
              <w:widowControl/>
              <w:jc w:val="center"/>
              <w:rPr>
                <w:rFonts w:ascii="宋体" w:hAnsi="宋体"/>
                <w:color w:val="auto"/>
                <w:kern w:val="0"/>
                <w:highlight w:val="none"/>
              </w:rPr>
            </w:pPr>
            <w:r>
              <w:rPr>
                <w:rFonts w:hint="eastAsia" w:ascii="宋体" w:hAnsi="宋体"/>
                <w:color w:val="auto"/>
                <w:kern w:val="0"/>
                <w:highlight w:val="none"/>
              </w:rPr>
              <w:t>（一）</w:t>
            </w:r>
          </w:p>
        </w:tc>
        <w:tc>
          <w:tcPr>
            <w:tcW w:w="3000"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rPr>
              <w:t>设备部分</w:t>
            </w:r>
          </w:p>
        </w:tc>
        <w:tc>
          <w:tcPr>
            <w:tcW w:w="1107"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3" w:type="dxa"/>
            <w:tcBorders>
              <w:top w:val="nil"/>
              <w:left w:val="nil"/>
              <w:bottom w:val="single" w:color="auto" w:sz="4" w:space="0"/>
              <w:right w:val="single" w:color="auto" w:sz="4" w:space="0"/>
            </w:tcBorders>
            <w:vAlign w:val="center"/>
          </w:tcPr>
          <w:p>
            <w:pPr>
              <w:jc w:val="center"/>
              <w:rPr>
                <w:color w:val="auto"/>
                <w:highlight w:val="none"/>
              </w:rPr>
            </w:pPr>
          </w:p>
        </w:tc>
        <w:tc>
          <w:tcPr>
            <w:tcW w:w="1400" w:type="dxa"/>
            <w:tcBorders>
              <w:top w:val="nil"/>
              <w:left w:val="nil"/>
              <w:bottom w:val="single" w:color="auto" w:sz="4" w:space="0"/>
              <w:right w:val="single" w:color="auto" w:sz="4" w:space="0"/>
            </w:tcBorders>
            <w:vAlign w:val="center"/>
          </w:tcPr>
          <w:p>
            <w:pPr>
              <w:jc w:val="center"/>
              <w:rPr>
                <w:color w:val="auto"/>
                <w:highlight w:val="none"/>
              </w:rPr>
            </w:pPr>
          </w:p>
        </w:tc>
        <w:tc>
          <w:tcPr>
            <w:tcW w:w="2483" w:type="dxa"/>
            <w:tcBorders>
              <w:top w:val="nil"/>
              <w:left w:val="nil"/>
              <w:bottom w:val="single" w:color="auto" w:sz="4" w:space="0"/>
              <w:right w:val="single" w:color="auto" w:sz="4" w:space="0"/>
            </w:tcBorders>
            <w:vAlign w:val="center"/>
          </w:tcPr>
          <w:p>
            <w:pPr>
              <w:widowControl/>
              <w:spacing w:line="360" w:lineRule="auto"/>
              <w:jc w:val="right"/>
              <w:rPr>
                <w:color w:val="auto"/>
                <w:highlight w:val="none"/>
              </w:rPr>
            </w:pPr>
          </w:p>
        </w:tc>
      </w:tr>
      <w:tr>
        <w:tblPrEx>
          <w:tblCellMar>
            <w:top w:w="0" w:type="dxa"/>
            <w:left w:w="108" w:type="dxa"/>
            <w:bottom w:w="0" w:type="dxa"/>
            <w:right w:w="108" w:type="dxa"/>
          </w:tblCellMar>
        </w:tblPrEx>
        <w:trPr>
          <w:trHeight w:val="397" w:hRule="atLeast"/>
        </w:trPr>
        <w:tc>
          <w:tcPr>
            <w:tcW w:w="947" w:type="dxa"/>
            <w:tcBorders>
              <w:top w:val="nil"/>
              <w:left w:val="single" w:color="auto" w:sz="8" w:space="0"/>
              <w:bottom w:val="single" w:color="auto" w:sz="4" w:space="0"/>
              <w:right w:val="single" w:color="auto" w:sz="4" w:space="0"/>
            </w:tcBorders>
            <w:vAlign w:val="center"/>
          </w:tcPr>
          <w:p>
            <w:pPr>
              <w:jc w:val="center"/>
              <w:rPr>
                <w:rFonts w:hint="eastAsia" w:eastAsia="宋体"/>
                <w:color w:val="auto"/>
                <w:highlight w:val="none"/>
                <w:lang w:val="en-US" w:eastAsia="zh-CN"/>
              </w:rPr>
            </w:pPr>
            <w:r>
              <w:rPr>
                <w:rFonts w:hint="eastAsia"/>
                <w:color w:val="auto"/>
                <w:highlight w:val="none"/>
                <w:lang w:val="en-US" w:eastAsia="zh-CN"/>
              </w:rPr>
              <w:t>1</w:t>
            </w:r>
          </w:p>
        </w:tc>
        <w:tc>
          <w:tcPr>
            <w:tcW w:w="3000"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rPr>
              <w:t>避雷器</w:t>
            </w:r>
          </w:p>
        </w:tc>
        <w:tc>
          <w:tcPr>
            <w:tcW w:w="1107"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3"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台</w:t>
            </w:r>
          </w:p>
        </w:tc>
        <w:tc>
          <w:tcPr>
            <w:tcW w:w="1400" w:type="dxa"/>
            <w:tcBorders>
              <w:top w:val="nil"/>
              <w:left w:val="nil"/>
              <w:bottom w:val="single" w:color="auto" w:sz="4" w:space="0"/>
              <w:right w:val="single" w:color="auto" w:sz="4" w:space="0"/>
            </w:tcBorders>
            <w:vAlign w:val="center"/>
          </w:tcPr>
          <w:p>
            <w:pPr>
              <w:jc w:val="center"/>
              <w:rPr>
                <w:rFonts w:hint="default" w:eastAsia="宋体"/>
                <w:color w:val="auto"/>
                <w:highlight w:val="none"/>
                <w:lang w:val="en-US" w:eastAsia="zh-CN"/>
              </w:rPr>
            </w:pPr>
            <w:r>
              <w:rPr>
                <w:rFonts w:hint="eastAsia"/>
                <w:color w:val="auto"/>
                <w:highlight w:val="none"/>
              </w:rPr>
              <w:t>自行统计</w:t>
            </w:r>
          </w:p>
        </w:tc>
        <w:tc>
          <w:tcPr>
            <w:tcW w:w="2483" w:type="dxa"/>
            <w:tcBorders>
              <w:top w:val="nil"/>
              <w:left w:val="nil"/>
              <w:bottom w:val="single" w:color="auto" w:sz="4" w:space="0"/>
              <w:right w:val="single" w:color="auto" w:sz="4" w:space="0"/>
            </w:tcBorders>
            <w:vAlign w:val="center"/>
          </w:tcPr>
          <w:p>
            <w:pPr>
              <w:widowControl/>
              <w:spacing w:line="360" w:lineRule="auto"/>
              <w:jc w:val="right"/>
              <w:rPr>
                <w:color w:val="auto"/>
                <w:highlight w:val="none"/>
              </w:rPr>
            </w:pPr>
          </w:p>
        </w:tc>
      </w:tr>
      <w:tr>
        <w:tblPrEx>
          <w:tblCellMar>
            <w:top w:w="0" w:type="dxa"/>
            <w:left w:w="108" w:type="dxa"/>
            <w:bottom w:w="0" w:type="dxa"/>
            <w:right w:w="108" w:type="dxa"/>
          </w:tblCellMar>
        </w:tblPrEx>
        <w:trPr>
          <w:trHeight w:val="397" w:hRule="atLeast"/>
        </w:trPr>
        <w:tc>
          <w:tcPr>
            <w:tcW w:w="947" w:type="dxa"/>
            <w:tcBorders>
              <w:top w:val="nil"/>
              <w:left w:val="single" w:color="auto" w:sz="8" w:space="0"/>
              <w:bottom w:val="single" w:color="auto" w:sz="4" w:space="0"/>
              <w:right w:val="single" w:color="auto" w:sz="4" w:space="0"/>
            </w:tcBorders>
            <w:vAlign w:val="center"/>
          </w:tcPr>
          <w:p>
            <w:pPr>
              <w:jc w:val="center"/>
              <w:rPr>
                <w:rFonts w:hint="eastAsia" w:eastAsia="宋体"/>
                <w:color w:val="auto"/>
                <w:highlight w:val="none"/>
                <w:lang w:val="en-US" w:eastAsia="zh-CN"/>
              </w:rPr>
            </w:pPr>
            <w:r>
              <w:rPr>
                <w:rFonts w:hint="eastAsia"/>
                <w:color w:val="auto"/>
                <w:highlight w:val="none"/>
                <w:lang w:val="en-US" w:eastAsia="zh-CN"/>
              </w:rPr>
              <w:t>2</w:t>
            </w:r>
          </w:p>
        </w:tc>
        <w:tc>
          <w:tcPr>
            <w:tcW w:w="3000" w:type="dxa"/>
            <w:tcBorders>
              <w:top w:val="nil"/>
              <w:left w:val="nil"/>
              <w:bottom w:val="single" w:color="auto" w:sz="4" w:space="0"/>
              <w:right w:val="single" w:color="auto" w:sz="4" w:space="0"/>
            </w:tcBorders>
            <w:vAlign w:val="center"/>
          </w:tcPr>
          <w:p>
            <w:pPr>
              <w:rPr>
                <w:rFonts w:hint="eastAsia" w:eastAsia="宋体"/>
                <w:color w:val="auto"/>
                <w:highlight w:val="none"/>
                <w:lang w:eastAsia="zh-CN"/>
              </w:rPr>
            </w:pPr>
            <w:r>
              <w:rPr>
                <w:rFonts w:hint="eastAsia"/>
                <w:color w:val="auto"/>
                <w:highlight w:val="none"/>
                <w:lang w:eastAsia="zh-CN"/>
              </w:rPr>
              <w:t>故障定位装置</w:t>
            </w:r>
          </w:p>
        </w:tc>
        <w:tc>
          <w:tcPr>
            <w:tcW w:w="1107"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3"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套</w:t>
            </w:r>
          </w:p>
        </w:tc>
        <w:tc>
          <w:tcPr>
            <w:tcW w:w="1400" w:type="dxa"/>
            <w:tcBorders>
              <w:top w:val="nil"/>
              <w:left w:val="nil"/>
              <w:bottom w:val="single" w:color="auto" w:sz="4" w:space="0"/>
              <w:right w:val="single" w:color="auto" w:sz="4" w:space="0"/>
            </w:tcBorders>
            <w:vAlign w:val="center"/>
          </w:tcPr>
          <w:p>
            <w:pPr>
              <w:jc w:val="center"/>
              <w:rPr>
                <w:rFonts w:hint="eastAsia" w:eastAsia="宋体"/>
                <w:color w:val="auto"/>
                <w:highlight w:val="none"/>
                <w:lang w:val="en-US" w:eastAsia="zh-CN"/>
              </w:rPr>
            </w:pPr>
            <w:r>
              <w:rPr>
                <w:rFonts w:hint="eastAsia"/>
                <w:color w:val="auto"/>
                <w:highlight w:val="none"/>
              </w:rPr>
              <w:t>自行统计</w:t>
            </w:r>
          </w:p>
        </w:tc>
        <w:tc>
          <w:tcPr>
            <w:tcW w:w="2483" w:type="dxa"/>
            <w:tcBorders>
              <w:top w:val="nil"/>
              <w:left w:val="nil"/>
              <w:bottom w:val="single" w:color="auto" w:sz="4" w:space="0"/>
              <w:right w:val="single" w:color="auto" w:sz="4" w:space="0"/>
            </w:tcBorders>
            <w:vAlign w:val="center"/>
          </w:tcPr>
          <w:p>
            <w:pPr>
              <w:widowControl/>
              <w:spacing w:line="360" w:lineRule="auto"/>
              <w:jc w:val="right"/>
              <w:rPr>
                <w:color w:val="auto"/>
                <w:highlight w:val="none"/>
              </w:rPr>
            </w:pPr>
          </w:p>
        </w:tc>
      </w:tr>
      <w:tr>
        <w:tblPrEx>
          <w:tblCellMar>
            <w:top w:w="0" w:type="dxa"/>
            <w:left w:w="108" w:type="dxa"/>
            <w:bottom w:w="0" w:type="dxa"/>
            <w:right w:w="108" w:type="dxa"/>
          </w:tblCellMar>
        </w:tblPrEx>
        <w:trPr>
          <w:trHeight w:val="397" w:hRule="atLeast"/>
        </w:trPr>
        <w:tc>
          <w:tcPr>
            <w:tcW w:w="947" w:type="dxa"/>
            <w:tcBorders>
              <w:top w:val="nil"/>
              <w:left w:val="single" w:color="auto" w:sz="8" w:space="0"/>
              <w:bottom w:val="single" w:color="auto" w:sz="4" w:space="0"/>
              <w:right w:val="single" w:color="auto" w:sz="4" w:space="0"/>
            </w:tcBorders>
            <w:vAlign w:val="center"/>
          </w:tcPr>
          <w:p>
            <w:pPr>
              <w:jc w:val="center"/>
              <w:rPr>
                <w:rFonts w:hint="eastAsia" w:eastAsia="宋体"/>
                <w:color w:val="auto"/>
                <w:highlight w:val="none"/>
                <w:lang w:val="en-US" w:eastAsia="zh-CN"/>
              </w:rPr>
            </w:pPr>
            <w:r>
              <w:rPr>
                <w:rFonts w:hint="eastAsia"/>
                <w:color w:val="auto"/>
                <w:highlight w:val="none"/>
                <w:lang w:val="en-US" w:eastAsia="zh-CN"/>
              </w:rPr>
              <w:t>3</w:t>
            </w:r>
          </w:p>
        </w:tc>
        <w:tc>
          <w:tcPr>
            <w:tcW w:w="3000" w:type="dxa"/>
            <w:tcBorders>
              <w:top w:val="nil"/>
              <w:left w:val="nil"/>
              <w:bottom w:val="single" w:color="auto" w:sz="4" w:space="0"/>
              <w:right w:val="single" w:color="auto" w:sz="4" w:space="0"/>
            </w:tcBorders>
            <w:vAlign w:val="center"/>
          </w:tcPr>
          <w:p>
            <w:pPr>
              <w:rPr>
                <w:rFonts w:hint="eastAsia"/>
                <w:color w:val="auto"/>
                <w:highlight w:val="none"/>
                <w:lang w:eastAsia="zh-CN"/>
              </w:rPr>
            </w:pPr>
            <w:r>
              <w:rPr>
                <w:rFonts w:hint="eastAsia"/>
                <w:color w:val="auto"/>
                <w:highlight w:val="none"/>
                <w:lang w:eastAsia="zh-CN"/>
              </w:rPr>
              <w:t>在线监测装置</w:t>
            </w:r>
          </w:p>
        </w:tc>
        <w:tc>
          <w:tcPr>
            <w:tcW w:w="1107"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3"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套</w:t>
            </w:r>
          </w:p>
        </w:tc>
        <w:tc>
          <w:tcPr>
            <w:tcW w:w="1400" w:type="dxa"/>
            <w:tcBorders>
              <w:top w:val="nil"/>
              <w:left w:val="nil"/>
              <w:bottom w:val="single" w:color="auto" w:sz="4" w:space="0"/>
              <w:right w:val="single" w:color="auto" w:sz="4" w:space="0"/>
            </w:tcBorders>
            <w:vAlign w:val="center"/>
          </w:tcPr>
          <w:p>
            <w:pPr>
              <w:jc w:val="center"/>
              <w:rPr>
                <w:rFonts w:hint="eastAsia" w:eastAsia="宋体"/>
                <w:color w:val="auto"/>
                <w:highlight w:val="none"/>
                <w:lang w:val="en-US" w:eastAsia="zh-CN"/>
              </w:rPr>
            </w:pPr>
            <w:r>
              <w:rPr>
                <w:rFonts w:hint="eastAsia"/>
                <w:color w:val="auto"/>
                <w:highlight w:val="none"/>
              </w:rPr>
              <w:t>自行统计</w:t>
            </w:r>
          </w:p>
        </w:tc>
        <w:tc>
          <w:tcPr>
            <w:tcW w:w="2483" w:type="dxa"/>
            <w:tcBorders>
              <w:top w:val="nil"/>
              <w:left w:val="nil"/>
              <w:bottom w:val="single" w:color="auto" w:sz="4" w:space="0"/>
              <w:right w:val="single" w:color="auto" w:sz="4" w:space="0"/>
            </w:tcBorders>
            <w:vAlign w:val="center"/>
          </w:tcPr>
          <w:p>
            <w:pPr>
              <w:widowControl/>
              <w:spacing w:line="360" w:lineRule="auto"/>
              <w:jc w:val="right"/>
              <w:rPr>
                <w:color w:val="auto"/>
                <w:highlight w:val="none"/>
              </w:rPr>
            </w:pPr>
          </w:p>
        </w:tc>
      </w:tr>
      <w:tr>
        <w:tblPrEx>
          <w:tblCellMar>
            <w:top w:w="0" w:type="dxa"/>
            <w:left w:w="108" w:type="dxa"/>
            <w:bottom w:w="0" w:type="dxa"/>
            <w:right w:w="108" w:type="dxa"/>
          </w:tblCellMar>
        </w:tblPrEx>
        <w:trPr>
          <w:trHeight w:val="397" w:hRule="atLeast"/>
        </w:trPr>
        <w:tc>
          <w:tcPr>
            <w:tcW w:w="947" w:type="dxa"/>
            <w:tcBorders>
              <w:top w:val="nil"/>
              <w:left w:val="single" w:color="auto" w:sz="8" w:space="0"/>
              <w:bottom w:val="single" w:color="auto" w:sz="4" w:space="0"/>
              <w:right w:val="single" w:color="auto" w:sz="4" w:space="0"/>
            </w:tcBorders>
            <w:vAlign w:val="center"/>
          </w:tcPr>
          <w:p>
            <w:pPr>
              <w:jc w:val="center"/>
              <w:rPr>
                <w:rFonts w:hint="default"/>
                <w:color w:val="auto"/>
                <w:highlight w:val="none"/>
                <w:lang w:val="en-US" w:eastAsia="zh-CN"/>
              </w:rPr>
            </w:pPr>
          </w:p>
        </w:tc>
        <w:tc>
          <w:tcPr>
            <w:tcW w:w="3000" w:type="dxa"/>
            <w:tcBorders>
              <w:top w:val="nil"/>
              <w:left w:val="nil"/>
              <w:bottom w:val="single" w:color="auto" w:sz="4" w:space="0"/>
              <w:right w:val="single" w:color="auto" w:sz="4" w:space="0"/>
            </w:tcBorders>
            <w:vAlign w:val="center"/>
          </w:tcPr>
          <w:p>
            <w:pPr>
              <w:rPr>
                <w:rFonts w:hint="eastAsia"/>
                <w:color w:val="auto"/>
                <w:highlight w:val="none"/>
                <w:lang w:eastAsia="zh-CN"/>
              </w:rPr>
            </w:pPr>
          </w:p>
        </w:tc>
        <w:tc>
          <w:tcPr>
            <w:tcW w:w="1107"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3"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400" w:type="dxa"/>
            <w:tcBorders>
              <w:top w:val="nil"/>
              <w:left w:val="nil"/>
              <w:bottom w:val="single" w:color="auto" w:sz="4" w:space="0"/>
              <w:right w:val="single" w:color="auto" w:sz="4" w:space="0"/>
            </w:tcBorders>
            <w:vAlign w:val="center"/>
          </w:tcPr>
          <w:p>
            <w:pPr>
              <w:jc w:val="center"/>
              <w:rPr>
                <w:rFonts w:hint="default"/>
                <w:color w:val="auto"/>
                <w:highlight w:val="none"/>
                <w:lang w:val="en-US" w:eastAsia="zh-CN"/>
              </w:rPr>
            </w:pPr>
          </w:p>
        </w:tc>
        <w:tc>
          <w:tcPr>
            <w:tcW w:w="2483" w:type="dxa"/>
            <w:tcBorders>
              <w:top w:val="nil"/>
              <w:left w:val="nil"/>
              <w:bottom w:val="single" w:color="auto" w:sz="4" w:space="0"/>
              <w:right w:val="single" w:color="auto" w:sz="4" w:space="0"/>
            </w:tcBorders>
            <w:vAlign w:val="center"/>
          </w:tcPr>
          <w:p>
            <w:pPr>
              <w:widowControl/>
              <w:spacing w:line="360" w:lineRule="auto"/>
              <w:jc w:val="right"/>
              <w:rPr>
                <w:color w:val="auto"/>
                <w:highlight w:val="none"/>
              </w:rPr>
            </w:pPr>
          </w:p>
        </w:tc>
      </w:tr>
      <w:tr>
        <w:tblPrEx>
          <w:tblCellMar>
            <w:top w:w="0" w:type="dxa"/>
            <w:left w:w="108" w:type="dxa"/>
            <w:bottom w:w="0" w:type="dxa"/>
            <w:right w:w="108" w:type="dxa"/>
          </w:tblCellMar>
        </w:tblPrEx>
        <w:trPr>
          <w:cantSplit/>
          <w:trHeight w:val="397" w:hRule="atLeast"/>
        </w:trPr>
        <w:tc>
          <w:tcPr>
            <w:tcW w:w="947" w:type="dxa"/>
            <w:tcBorders>
              <w:top w:val="nil"/>
              <w:left w:val="single" w:color="auto" w:sz="8" w:space="0"/>
              <w:bottom w:val="single" w:color="auto" w:sz="4" w:space="0"/>
              <w:right w:val="single" w:color="auto" w:sz="4" w:space="0"/>
            </w:tcBorders>
            <w:vAlign w:val="center"/>
          </w:tcPr>
          <w:p>
            <w:pPr>
              <w:jc w:val="center"/>
              <w:rPr>
                <w:color w:val="auto"/>
                <w:highlight w:val="none"/>
              </w:rPr>
            </w:pPr>
            <w:r>
              <w:rPr>
                <w:rFonts w:hint="eastAsia"/>
                <w:color w:val="auto"/>
                <w:highlight w:val="none"/>
              </w:rPr>
              <w:t>（二）</w:t>
            </w:r>
          </w:p>
        </w:tc>
        <w:tc>
          <w:tcPr>
            <w:tcW w:w="3000"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rPr>
              <w:t>材料部分</w:t>
            </w:r>
          </w:p>
        </w:tc>
        <w:tc>
          <w:tcPr>
            <w:tcW w:w="1107"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3" w:type="dxa"/>
            <w:tcBorders>
              <w:top w:val="nil"/>
              <w:left w:val="nil"/>
              <w:bottom w:val="single" w:color="auto" w:sz="4" w:space="0"/>
              <w:right w:val="single" w:color="auto" w:sz="4" w:space="0"/>
            </w:tcBorders>
            <w:vAlign w:val="center"/>
          </w:tcPr>
          <w:p>
            <w:pPr>
              <w:ind w:firstLine="308" w:firstLineChars="147"/>
              <w:rPr>
                <w:color w:val="auto"/>
                <w:highlight w:val="none"/>
              </w:rPr>
            </w:pPr>
          </w:p>
        </w:tc>
        <w:tc>
          <w:tcPr>
            <w:tcW w:w="1400" w:type="dxa"/>
            <w:tcBorders>
              <w:top w:val="nil"/>
              <w:left w:val="nil"/>
              <w:bottom w:val="single" w:color="auto" w:sz="4" w:space="0"/>
              <w:right w:val="single" w:color="auto" w:sz="4" w:space="0"/>
            </w:tcBorders>
            <w:vAlign w:val="center"/>
          </w:tcPr>
          <w:p>
            <w:pPr>
              <w:jc w:val="center"/>
              <w:rPr>
                <w:color w:val="auto"/>
                <w:highlight w:val="none"/>
              </w:rPr>
            </w:pPr>
          </w:p>
        </w:tc>
        <w:tc>
          <w:tcPr>
            <w:tcW w:w="2483" w:type="dxa"/>
            <w:tcBorders>
              <w:top w:val="nil"/>
              <w:left w:val="nil"/>
              <w:bottom w:val="single" w:color="auto" w:sz="4" w:space="0"/>
              <w:right w:val="single" w:color="auto" w:sz="4" w:space="0"/>
            </w:tcBorders>
            <w:vAlign w:val="center"/>
          </w:tcPr>
          <w:p>
            <w:pPr>
              <w:ind w:firstLine="617" w:firstLineChars="294"/>
              <w:jc w:val="right"/>
              <w:rPr>
                <w:color w:val="auto"/>
                <w:highlight w:val="none"/>
              </w:rPr>
            </w:pP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color w:val="auto"/>
                <w:kern w:val="0"/>
                <w:highlight w:val="none"/>
              </w:rPr>
            </w:pPr>
            <w:r>
              <w:rPr>
                <w:rFonts w:hint="eastAsia" w:ascii="宋体" w:hAnsi="宋体"/>
                <w:color w:val="auto"/>
                <w:kern w:val="0"/>
                <w:highlight w:val="none"/>
              </w:rPr>
              <w:t>1</w:t>
            </w:r>
          </w:p>
        </w:tc>
        <w:tc>
          <w:tcPr>
            <w:tcW w:w="3000" w:type="dxa"/>
            <w:tcBorders>
              <w:top w:val="single" w:color="auto" w:sz="6" w:space="0"/>
              <w:left w:val="single" w:color="auto" w:sz="6" w:space="0"/>
              <w:bottom w:val="single" w:color="auto" w:sz="6" w:space="0"/>
              <w:right w:val="single" w:color="auto" w:sz="6" w:space="0"/>
            </w:tcBorders>
            <w:vAlign w:val="center"/>
          </w:tcPr>
          <w:p>
            <w:pPr>
              <w:rPr>
                <w:rFonts w:ascii="宋体" w:hAnsi="宋体"/>
                <w:color w:val="auto"/>
                <w:highlight w:val="none"/>
              </w:rPr>
            </w:pPr>
            <w:r>
              <w:rPr>
                <w:rFonts w:hint="eastAsia"/>
                <w:color w:val="auto"/>
                <w:highlight w:val="none"/>
              </w:rPr>
              <w:t>铁塔（直线塔）（不含地脚螺栓）</w:t>
            </w:r>
          </w:p>
        </w:tc>
        <w:tc>
          <w:tcPr>
            <w:tcW w:w="1107"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color w:val="auto"/>
                <w:kern w:val="0"/>
                <w:highlight w:val="none"/>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auto"/>
                <w:highlight w:val="none"/>
              </w:rPr>
            </w:pPr>
            <w:r>
              <w:rPr>
                <w:rFonts w:hint="eastAsia" w:ascii="宋体" w:hAnsi="宋体"/>
                <w:color w:val="auto"/>
                <w:highlight w:val="none"/>
              </w:rPr>
              <w:t>吨</w:t>
            </w: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rFonts w:ascii="宋体" w:hAnsi="宋体"/>
                <w:color w:val="auto"/>
                <w:highlight w:val="none"/>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tcPr>
          <w:p>
            <w:pPr>
              <w:rPr>
                <w:color w:val="auto"/>
                <w:highlight w:val="none"/>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color w:val="auto"/>
                <w:kern w:val="0"/>
                <w:highlight w:val="none"/>
              </w:rPr>
            </w:pPr>
            <w:r>
              <w:rPr>
                <w:rFonts w:hint="eastAsia" w:ascii="宋体" w:hAnsi="宋体"/>
                <w:color w:val="auto"/>
                <w:kern w:val="0"/>
                <w:highlight w:val="none"/>
              </w:rPr>
              <w:t>2</w:t>
            </w:r>
          </w:p>
        </w:tc>
        <w:tc>
          <w:tcPr>
            <w:tcW w:w="3000" w:type="dxa"/>
            <w:tcBorders>
              <w:top w:val="single" w:color="auto" w:sz="6" w:space="0"/>
              <w:left w:val="single" w:color="auto" w:sz="6" w:space="0"/>
              <w:bottom w:val="single" w:color="auto" w:sz="6" w:space="0"/>
              <w:right w:val="single" w:color="auto" w:sz="6" w:space="0"/>
            </w:tcBorders>
            <w:vAlign w:val="center"/>
          </w:tcPr>
          <w:p>
            <w:pPr>
              <w:rPr>
                <w:rFonts w:ascii="宋体" w:hAnsi="宋体"/>
                <w:color w:val="auto"/>
                <w:highlight w:val="none"/>
              </w:rPr>
            </w:pPr>
            <w:r>
              <w:rPr>
                <w:rFonts w:hint="eastAsia"/>
                <w:color w:val="auto"/>
                <w:highlight w:val="none"/>
              </w:rPr>
              <w:t>铁塔（耐张塔）（不含地脚螺栓）</w:t>
            </w:r>
          </w:p>
        </w:tc>
        <w:tc>
          <w:tcPr>
            <w:tcW w:w="1107"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color w:val="auto"/>
                <w:kern w:val="0"/>
                <w:highlight w:val="none"/>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auto"/>
                <w:highlight w:val="none"/>
              </w:rPr>
            </w:pPr>
            <w:r>
              <w:rPr>
                <w:rFonts w:hint="eastAsia" w:ascii="宋体" w:hAnsi="宋体"/>
                <w:color w:val="auto"/>
                <w:highlight w:val="none"/>
              </w:rPr>
              <w:t>吨</w:t>
            </w: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rFonts w:ascii="宋体" w:hAnsi="宋体"/>
                <w:color w:val="auto"/>
                <w:highlight w:val="none"/>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tcPr>
          <w:p>
            <w:pPr>
              <w:rPr>
                <w:color w:val="auto"/>
                <w:highlight w:val="none"/>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widowControl/>
              <w:jc w:val="center"/>
              <w:rPr>
                <w:rFonts w:hint="eastAsia" w:ascii="宋体" w:hAnsi="宋体" w:eastAsia="宋体"/>
                <w:color w:val="auto"/>
                <w:kern w:val="0"/>
                <w:highlight w:val="none"/>
                <w:lang w:val="en-US" w:eastAsia="zh-CN"/>
              </w:rPr>
            </w:pPr>
            <w:r>
              <w:rPr>
                <w:rFonts w:hint="eastAsia" w:ascii="宋体" w:hAnsi="宋体"/>
                <w:color w:val="auto"/>
                <w:kern w:val="0"/>
                <w:highlight w:val="none"/>
                <w:lang w:val="en-US" w:eastAsia="zh-CN"/>
              </w:rPr>
              <w:t>3</w:t>
            </w:r>
          </w:p>
        </w:tc>
        <w:tc>
          <w:tcPr>
            <w:tcW w:w="3000" w:type="dxa"/>
            <w:tcBorders>
              <w:top w:val="single" w:color="auto" w:sz="6" w:space="0"/>
              <w:left w:val="single" w:color="auto" w:sz="6" w:space="0"/>
              <w:bottom w:val="single" w:color="auto" w:sz="6" w:space="0"/>
              <w:right w:val="single" w:color="auto" w:sz="6" w:space="0"/>
            </w:tcBorders>
            <w:vAlign w:val="center"/>
          </w:tcPr>
          <w:p>
            <w:pPr>
              <w:rPr>
                <w:rFonts w:hint="eastAsia"/>
                <w:color w:val="auto"/>
                <w:highlight w:val="none"/>
              </w:rPr>
            </w:pPr>
            <w:r>
              <w:rPr>
                <w:rFonts w:hint="eastAsia"/>
                <w:color w:val="auto"/>
                <w:highlight w:val="none"/>
                <w:lang w:val="en-US" w:eastAsia="zh-CN"/>
              </w:rPr>
              <w:t>钢管杆</w:t>
            </w:r>
            <w:r>
              <w:rPr>
                <w:rFonts w:hint="eastAsia"/>
                <w:color w:val="auto"/>
                <w:highlight w:val="none"/>
              </w:rPr>
              <w:t>（直线</w:t>
            </w:r>
            <w:r>
              <w:rPr>
                <w:rFonts w:hint="eastAsia"/>
                <w:color w:val="auto"/>
                <w:highlight w:val="none"/>
                <w:lang w:val="en-US" w:eastAsia="zh-CN"/>
              </w:rPr>
              <w:t>杆</w:t>
            </w:r>
            <w:r>
              <w:rPr>
                <w:rFonts w:hint="eastAsia"/>
                <w:color w:val="auto"/>
                <w:highlight w:val="none"/>
              </w:rPr>
              <w:t>）（不含地脚螺栓）</w:t>
            </w:r>
          </w:p>
        </w:tc>
        <w:tc>
          <w:tcPr>
            <w:tcW w:w="1107"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color w:val="auto"/>
                <w:kern w:val="0"/>
                <w:highlight w:val="none"/>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color w:val="auto"/>
                <w:highlight w:val="none"/>
              </w:rPr>
            </w:pPr>
            <w:r>
              <w:rPr>
                <w:rFonts w:hint="eastAsia" w:ascii="宋体" w:hAnsi="宋体"/>
                <w:color w:val="auto"/>
                <w:highlight w:val="none"/>
              </w:rPr>
              <w:t>吨</w:t>
            </w: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rFonts w:hint="eastAsia"/>
                <w:color w:val="auto"/>
                <w:highlight w:val="none"/>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vAlign w:val="top"/>
          </w:tcPr>
          <w:p>
            <w:pPr>
              <w:rPr>
                <w:rFonts w:hint="eastAsia"/>
                <w:color w:val="auto"/>
                <w:highlight w:val="none"/>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widowControl/>
              <w:jc w:val="center"/>
              <w:rPr>
                <w:rFonts w:hint="eastAsia" w:ascii="宋体" w:hAnsi="宋体" w:eastAsia="宋体"/>
                <w:color w:val="auto"/>
                <w:kern w:val="0"/>
                <w:highlight w:val="none"/>
                <w:lang w:val="en-US" w:eastAsia="zh-CN"/>
              </w:rPr>
            </w:pPr>
            <w:r>
              <w:rPr>
                <w:rFonts w:hint="eastAsia" w:ascii="宋体" w:hAnsi="宋体"/>
                <w:color w:val="auto"/>
                <w:kern w:val="0"/>
                <w:highlight w:val="none"/>
                <w:lang w:val="en-US" w:eastAsia="zh-CN"/>
              </w:rPr>
              <w:t>4</w:t>
            </w:r>
          </w:p>
        </w:tc>
        <w:tc>
          <w:tcPr>
            <w:tcW w:w="3000" w:type="dxa"/>
            <w:tcBorders>
              <w:top w:val="single" w:color="auto" w:sz="6" w:space="0"/>
              <w:left w:val="single" w:color="auto" w:sz="6" w:space="0"/>
              <w:bottom w:val="single" w:color="auto" w:sz="6" w:space="0"/>
              <w:right w:val="single" w:color="auto" w:sz="6" w:space="0"/>
            </w:tcBorders>
            <w:vAlign w:val="center"/>
          </w:tcPr>
          <w:p>
            <w:pPr>
              <w:rPr>
                <w:rFonts w:hint="eastAsia"/>
                <w:color w:val="auto"/>
                <w:highlight w:val="none"/>
              </w:rPr>
            </w:pPr>
            <w:r>
              <w:rPr>
                <w:rFonts w:hint="eastAsia"/>
                <w:color w:val="auto"/>
                <w:highlight w:val="none"/>
                <w:lang w:val="en-US" w:eastAsia="zh-CN"/>
              </w:rPr>
              <w:t>钢管杆</w:t>
            </w:r>
            <w:r>
              <w:rPr>
                <w:rFonts w:hint="eastAsia"/>
                <w:color w:val="auto"/>
                <w:highlight w:val="none"/>
              </w:rPr>
              <w:t>（耐张</w:t>
            </w:r>
            <w:r>
              <w:rPr>
                <w:rFonts w:hint="eastAsia"/>
                <w:color w:val="auto"/>
                <w:highlight w:val="none"/>
                <w:lang w:val="en-US" w:eastAsia="zh-CN"/>
              </w:rPr>
              <w:t>杆</w:t>
            </w:r>
            <w:r>
              <w:rPr>
                <w:rFonts w:hint="eastAsia"/>
                <w:color w:val="auto"/>
                <w:highlight w:val="none"/>
              </w:rPr>
              <w:t>）（不含地脚螺栓）</w:t>
            </w:r>
          </w:p>
        </w:tc>
        <w:tc>
          <w:tcPr>
            <w:tcW w:w="1107"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color w:val="auto"/>
                <w:kern w:val="0"/>
                <w:highlight w:val="none"/>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color w:val="auto"/>
                <w:highlight w:val="none"/>
              </w:rPr>
            </w:pPr>
            <w:r>
              <w:rPr>
                <w:rFonts w:hint="eastAsia" w:ascii="宋体" w:hAnsi="宋体"/>
                <w:color w:val="auto"/>
                <w:highlight w:val="none"/>
              </w:rPr>
              <w:t>吨</w:t>
            </w: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rFonts w:hint="eastAsia"/>
                <w:color w:val="auto"/>
                <w:highlight w:val="none"/>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vAlign w:val="top"/>
          </w:tcPr>
          <w:p>
            <w:pPr>
              <w:rPr>
                <w:rFonts w:hint="eastAsia"/>
                <w:color w:val="auto"/>
                <w:highlight w:val="none"/>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color w:val="auto"/>
                <w:kern w:val="2"/>
                <w:sz w:val="21"/>
                <w:szCs w:val="22"/>
                <w:highlight w:val="none"/>
                <w:lang w:val="en-US" w:eastAsia="zh-CN" w:bidi="ar-SA"/>
              </w:rPr>
            </w:pPr>
            <w:r>
              <w:rPr>
                <w:color w:val="auto"/>
                <w:highlight w:val="none"/>
              </w:rPr>
              <w:t>5</w:t>
            </w:r>
          </w:p>
        </w:tc>
        <w:tc>
          <w:tcPr>
            <w:tcW w:w="3000" w:type="dxa"/>
            <w:tcBorders>
              <w:top w:val="single" w:color="auto" w:sz="6" w:space="0"/>
              <w:left w:val="single" w:color="auto" w:sz="6" w:space="0"/>
              <w:bottom w:val="single" w:color="auto" w:sz="6" w:space="0"/>
              <w:right w:val="single" w:color="auto" w:sz="6" w:space="0"/>
            </w:tcBorders>
            <w:vAlign w:val="center"/>
          </w:tcPr>
          <w:p>
            <w:pPr>
              <w:rPr>
                <w:rFonts w:hint="default" w:ascii="Calibri" w:hAnsi="Calibri" w:eastAsia="宋体" w:cs="Times New Roman"/>
                <w:color w:val="auto"/>
                <w:kern w:val="2"/>
                <w:sz w:val="21"/>
                <w:szCs w:val="22"/>
                <w:highlight w:val="none"/>
                <w:lang w:val="en-US" w:eastAsia="zh-CN" w:bidi="ar-SA"/>
              </w:rPr>
            </w:pPr>
            <w:r>
              <w:rPr>
                <w:rFonts w:hint="eastAsia"/>
                <w:color w:val="auto"/>
                <w:highlight w:val="none"/>
              </w:rPr>
              <w:t>杆塔防坠落装置用镀锌件</w:t>
            </w:r>
          </w:p>
        </w:tc>
        <w:tc>
          <w:tcPr>
            <w:tcW w:w="1107"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eastAsia="宋体" w:cs="Times New Roman"/>
                <w:color w:val="auto"/>
                <w:kern w:val="0"/>
                <w:sz w:val="21"/>
                <w:szCs w:val="22"/>
                <w:highlight w:val="none"/>
                <w:lang w:val="en-US" w:eastAsia="zh-CN" w:bidi="ar-SA"/>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宋体" w:cs="Times New Roman"/>
                <w:color w:val="auto"/>
                <w:kern w:val="2"/>
                <w:sz w:val="21"/>
                <w:szCs w:val="22"/>
                <w:highlight w:val="none"/>
                <w:lang w:val="en-US" w:eastAsia="zh-CN" w:bidi="ar-SA"/>
              </w:rPr>
            </w:pPr>
            <w:r>
              <w:rPr>
                <w:rFonts w:hint="eastAsia" w:ascii="宋体" w:hAnsi="宋体"/>
                <w:color w:val="auto"/>
                <w:highlight w:val="none"/>
              </w:rPr>
              <w:t>吨</w:t>
            </w:r>
          </w:p>
        </w:tc>
        <w:tc>
          <w:tcPr>
            <w:tcW w:w="1400" w:type="dxa"/>
            <w:tcBorders>
              <w:top w:val="single" w:color="auto" w:sz="6" w:space="0"/>
              <w:left w:val="single" w:color="auto" w:sz="6" w:space="0"/>
              <w:bottom w:val="single" w:color="auto" w:sz="6" w:space="0"/>
              <w:right w:val="single" w:color="auto" w:sz="6" w:space="0"/>
            </w:tcBorders>
            <w:vAlign w:val="center"/>
          </w:tcPr>
          <w:p>
            <w:pPr>
              <w:ind w:firstLine="210" w:firstLineChars="100"/>
              <w:jc w:val="both"/>
              <w:rPr>
                <w:rFonts w:ascii="Calibri" w:hAnsi="Calibri" w:eastAsia="宋体" w:cs="Times New Roman"/>
                <w:color w:val="auto"/>
                <w:kern w:val="2"/>
                <w:sz w:val="21"/>
                <w:szCs w:val="22"/>
                <w:highlight w:val="none"/>
                <w:lang w:val="en-US" w:eastAsia="zh-CN" w:bidi="ar-SA"/>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vAlign w:val="top"/>
          </w:tcPr>
          <w:p>
            <w:pPr>
              <w:rPr>
                <w:rFonts w:ascii="Calibri" w:hAnsi="Calibri" w:eastAsia="宋体" w:cs="Times New Roman"/>
                <w:color w:val="auto"/>
                <w:kern w:val="2"/>
                <w:sz w:val="21"/>
                <w:szCs w:val="22"/>
                <w:highlight w:val="none"/>
                <w:lang w:val="en-US" w:eastAsia="zh-CN" w:bidi="ar-SA"/>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color w:val="auto"/>
                <w:kern w:val="2"/>
                <w:sz w:val="21"/>
                <w:szCs w:val="22"/>
                <w:highlight w:val="none"/>
                <w:lang w:val="en-US" w:eastAsia="zh-CN" w:bidi="ar-SA"/>
              </w:rPr>
            </w:pPr>
            <w:r>
              <w:rPr>
                <w:color w:val="auto"/>
                <w:highlight w:val="none"/>
              </w:rPr>
              <w:t>6</w:t>
            </w:r>
          </w:p>
        </w:tc>
        <w:tc>
          <w:tcPr>
            <w:tcW w:w="3000" w:type="dxa"/>
            <w:tcBorders>
              <w:top w:val="single" w:color="auto" w:sz="6" w:space="0"/>
              <w:left w:val="single" w:color="auto" w:sz="6" w:space="0"/>
              <w:bottom w:val="single" w:color="auto" w:sz="6" w:space="0"/>
              <w:right w:val="single" w:color="auto" w:sz="6" w:space="0"/>
            </w:tcBorders>
            <w:vAlign w:val="center"/>
          </w:tcPr>
          <w:p>
            <w:pPr>
              <w:rPr>
                <w:rFonts w:hint="default" w:ascii="Calibri" w:hAnsi="Calibri" w:eastAsia="宋体" w:cs="Times New Roman"/>
                <w:color w:val="auto"/>
                <w:kern w:val="2"/>
                <w:sz w:val="21"/>
                <w:szCs w:val="22"/>
                <w:highlight w:val="none"/>
                <w:lang w:val="en-US" w:eastAsia="zh-CN" w:bidi="ar-SA"/>
              </w:rPr>
            </w:pPr>
            <w:r>
              <w:rPr>
                <w:rFonts w:hint="eastAsia"/>
                <w:color w:val="auto"/>
                <w:highlight w:val="none"/>
              </w:rPr>
              <w:t>杆塔防坠落装置用</w:t>
            </w:r>
            <w:r>
              <w:rPr>
                <w:rFonts w:hint="eastAsia"/>
                <w:color w:val="auto"/>
                <w:highlight w:val="none"/>
                <w:lang w:eastAsia="zh-CN"/>
              </w:rPr>
              <w:t>铝包</w:t>
            </w:r>
            <w:r>
              <w:rPr>
                <w:rFonts w:hint="eastAsia"/>
                <w:color w:val="auto"/>
                <w:highlight w:val="none"/>
              </w:rPr>
              <w:t>钢绞线</w:t>
            </w:r>
            <w:r>
              <w:rPr>
                <w:color w:val="auto"/>
                <w:highlight w:val="none"/>
              </w:rPr>
              <w:t xml:space="preserve"> </w:t>
            </w:r>
          </w:p>
        </w:tc>
        <w:tc>
          <w:tcPr>
            <w:tcW w:w="1107"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eastAsia="宋体" w:cs="Times New Roman"/>
                <w:color w:val="auto"/>
                <w:kern w:val="0"/>
                <w:sz w:val="21"/>
                <w:szCs w:val="22"/>
                <w:highlight w:val="none"/>
                <w:lang w:val="en-US" w:eastAsia="zh-CN" w:bidi="ar-SA"/>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宋体" w:cs="Times New Roman"/>
                <w:color w:val="auto"/>
                <w:kern w:val="2"/>
                <w:sz w:val="21"/>
                <w:szCs w:val="22"/>
                <w:highlight w:val="none"/>
                <w:lang w:val="en-US" w:eastAsia="zh-CN" w:bidi="ar-SA"/>
              </w:rPr>
            </w:pPr>
            <w:r>
              <w:rPr>
                <w:rFonts w:hint="eastAsia" w:ascii="宋体" w:hAnsi="宋体"/>
                <w:color w:val="auto"/>
                <w:highlight w:val="none"/>
              </w:rPr>
              <w:t>吨</w:t>
            </w:r>
          </w:p>
        </w:tc>
        <w:tc>
          <w:tcPr>
            <w:tcW w:w="1400"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color w:val="auto"/>
                <w:kern w:val="2"/>
                <w:sz w:val="21"/>
                <w:szCs w:val="22"/>
                <w:highlight w:val="none"/>
                <w:lang w:val="en-US" w:eastAsia="zh-CN" w:bidi="ar-SA"/>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vAlign w:val="top"/>
          </w:tcPr>
          <w:p>
            <w:pPr>
              <w:rPr>
                <w:rFonts w:ascii="Calibri" w:hAnsi="Calibri" w:eastAsia="宋体" w:cs="Times New Roman"/>
                <w:color w:val="auto"/>
                <w:kern w:val="2"/>
                <w:sz w:val="21"/>
                <w:szCs w:val="22"/>
                <w:highlight w:val="none"/>
                <w:lang w:val="en-US" w:eastAsia="zh-CN" w:bidi="ar-SA"/>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color w:val="auto"/>
                <w:kern w:val="2"/>
                <w:sz w:val="21"/>
                <w:szCs w:val="22"/>
                <w:highlight w:val="none"/>
                <w:lang w:val="en-US" w:eastAsia="zh-CN" w:bidi="ar-SA"/>
              </w:rPr>
            </w:pPr>
            <w:r>
              <w:rPr>
                <w:color w:val="auto"/>
                <w:highlight w:val="none"/>
              </w:rPr>
              <w:t>7</w:t>
            </w:r>
          </w:p>
        </w:tc>
        <w:tc>
          <w:tcPr>
            <w:tcW w:w="3000" w:type="dxa"/>
            <w:tcBorders>
              <w:top w:val="single" w:color="auto" w:sz="6" w:space="0"/>
              <w:left w:val="single" w:color="auto" w:sz="6" w:space="0"/>
              <w:bottom w:val="single" w:color="auto" w:sz="6" w:space="0"/>
              <w:right w:val="single" w:color="auto" w:sz="6" w:space="0"/>
            </w:tcBorders>
            <w:vAlign w:val="center"/>
          </w:tcPr>
          <w:p>
            <w:pPr>
              <w:rPr>
                <w:rFonts w:hint="eastAsia" w:ascii="Calibri" w:hAnsi="Calibri" w:eastAsia="宋体" w:cs="Times New Roman"/>
                <w:color w:val="auto"/>
                <w:kern w:val="2"/>
                <w:sz w:val="21"/>
                <w:szCs w:val="22"/>
                <w:highlight w:val="none"/>
                <w:lang w:val="en-US" w:eastAsia="zh-CN" w:bidi="ar-SA"/>
              </w:rPr>
            </w:pPr>
            <w:r>
              <w:rPr>
                <w:rFonts w:hint="eastAsia"/>
                <w:color w:val="auto"/>
                <w:highlight w:val="none"/>
                <w:lang w:eastAsia="zh-CN"/>
              </w:rPr>
              <w:t>铝包</w:t>
            </w:r>
            <w:r>
              <w:rPr>
                <w:rFonts w:hint="eastAsia"/>
                <w:color w:val="auto"/>
                <w:highlight w:val="none"/>
              </w:rPr>
              <w:t>钢芯铝绞线</w:t>
            </w:r>
            <w:r>
              <w:rPr>
                <w:rFonts w:hint="eastAsia"/>
                <w:color w:val="auto"/>
                <w:highlight w:val="none"/>
                <w:lang w:eastAsia="zh-CN"/>
              </w:rPr>
              <w:t>、导线</w:t>
            </w:r>
          </w:p>
        </w:tc>
        <w:tc>
          <w:tcPr>
            <w:tcW w:w="1107" w:type="dxa"/>
            <w:tcBorders>
              <w:top w:val="single" w:color="auto" w:sz="6" w:space="0"/>
              <w:left w:val="single" w:color="auto" w:sz="6" w:space="0"/>
              <w:bottom w:val="single" w:color="auto" w:sz="6" w:space="0"/>
              <w:right w:val="single" w:color="auto" w:sz="6" w:space="0"/>
            </w:tcBorders>
            <w:vAlign w:val="center"/>
          </w:tcPr>
          <w:p>
            <w:pPr>
              <w:widowControl/>
              <w:jc w:val="center"/>
              <w:rPr>
                <w:rFonts w:ascii="Calibri" w:hAnsi="Calibri" w:eastAsia="宋体" w:cs="Times New Roman"/>
                <w:color w:val="auto"/>
                <w:kern w:val="2"/>
                <w:sz w:val="21"/>
                <w:szCs w:val="22"/>
                <w:highlight w:val="none"/>
                <w:lang w:val="en-US" w:eastAsia="zh-CN" w:bidi="ar-SA"/>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宋体" w:cs="Times New Roman"/>
                <w:color w:val="auto"/>
                <w:kern w:val="2"/>
                <w:sz w:val="21"/>
                <w:szCs w:val="22"/>
                <w:highlight w:val="none"/>
                <w:lang w:val="en-US" w:eastAsia="zh-CN" w:bidi="ar-SA"/>
              </w:rPr>
            </w:pPr>
            <w:r>
              <w:rPr>
                <w:rFonts w:hint="eastAsia" w:ascii="宋体" w:hAnsi="宋体"/>
                <w:color w:val="auto"/>
                <w:highlight w:val="none"/>
              </w:rPr>
              <w:t>吨</w:t>
            </w: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rFonts w:ascii="宋体" w:hAnsi="宋体" w:eastAsia="宋体" w:cs="Times New Roman"/>
                <w:color w:val="auto"/>
                <w:kern w:val="2"/>
                <w:sz w:val="21"/>
                <w:szCs w:val="22"/>
                <w:highlight w:val="none"/>
                <w:lang w:val="en-US" w:eastAsia="zh-CN" w:bidi="ar-SA"/>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vAlign w:val="top"/>
          </w:tcPr>
          <w:p>
            <w:pPr>
              <w:rPr>
                <w:rFonts w:ascii="Calibri" w:hAnsi="Calibri" w:eastAsia="宋体" w:cs="Times New Roman"/>
                <w:color w:val="auto"/>
                <w:kern w:val="2"/>
                <w:sz w:val="21"/>
                <w:szCs w:val="22"/>
                <w:highlight w:val="none"/>
                <w:lang w:val="en-US" w:eastAsia="zh-CN" w:bidi="ar-SA"/>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color w:val="auto"/>
                <w:kern w:val="2"/>
                <w:sz w:val="21"/>
                <w:szCs w:val="22"/>
                <w:highlight w:val="none"/>
                <w:lang w:val="en-US" w:eastAsia="zh-CN" w:bidi="ar-SA"/>
              </w:rPr>
            </w:pPr>
            <w:r>
              <w:rPr>
                <w:color w:val="auto"/>
                <w:highlight w:val="none"/>
              </w:rPr>
              <w:t>8</w:t>
            </w:r>
          </w:p>
        </w:tc>
        <w:tc>
          <w:tcPr>
            <w:tcW w:w="3000" w:type="dxa"/>
            <w:tcBorders>
              <w:top w:val="single" w:color="auto" w:sz="6" w:space="0"/>
              <w:left w:val="single" w:color="auto" w:sz="6" w:space="0"/>
              <w:bottom w:val="single" w:color="auto" w:sz="6" w:space="0"/>
              <w:right w:val="single" w:color="auto" w:sz="6" w:space="0"/>
            </w:tcBorders>
            <w:vAlign w:val="center"/>
          </w:tcPr>
          <w:p>
            <w:pPr>
              <w:rPr>
                <w:rFonts w:hint="eastAsia" w:ascii="Calibri" w:hAnsi="Calibri" w:eastAsia="宋体" w:cs="Times New Roman"/>
                <w:color w:val="auto"/>
                <w:kern w:val="2"/>
                <w:sz w:val="21"/>
                <w:szCs w:val="22"/>
                <w:highlight w:val="none"/>
                <w:lang w:val="en-US" w:eastAsia="zh-CN" w:bidi="ar-SA"/>
              </w:rPr>
            </w:pPr>
            <w:r>
              <w:rPr>
                <w:rFonts w:hint="eastAsia"/>
                <w:color w:val="auto"/>
                <w:highlight w:val="none"/>
                <w:lang w:eastAsia="zh-CN"/>
              </w:rPr>
              <w:t>铝包</w:t>
            </w:r>
            <w:r>
              <w:rPr>
                <w:rFonts w:hint="eastAsia"/>
                <w:color w:val="auto"/>
                <w:highlight w:val="none"/>
              </w:rPr>
              <w:t>钢绞线</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color w:val="auto"/>
                <w:kern w:val="2"/>
                <w:sz w:val="21"/>
                <w:szCs w:val="22"/>
                <w:highlight w:val="none"/>
                <w:lang w:val="en-US" w:eastAsia="zh-CN" w:bidi="ar-SA"/>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宋体" w:cs="Times New Roman"/>
                <w:color w:val="auto"/>
                <w:kern w:val="2"/>
                <w:sz w:val="21"/>
                <w:szCs w:val="22"/>
                <w:highlight w:val="none"/>
                <w:lang w:val="en-US" w:eastAsia="zh-CN" w:bidi="ar-SA"/>
              </w:rPr>
            </w:pPr>
            <w:r>
              <w:rPr>
                <w:rFonts w:hint="eastAsia" w:ascii="宋体" w:hAnsi="宋体"/>
                <w:color w:val="auto"/>
                <w:highlight w:val="none"/>
              </w:rPr>
              <w:t>吨</w:t>
            </w: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rFonts w:ascii="宋体" w:hAnsi="宋体" w:eastAsia="宋体" w:cs="Times New Roman"/>
                <w:color w:val="auto"/>
                <w:kern w:val="2"/>
                <w:sz w:val="21"/>
                <w:szCs w:val="22"/>
                <w:highlight w:val="none"/>
                <w:lang w:val="en-US" w:eastAsia="zh-CN" w:bidi="ar-SA"/>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vAlign w:val="top"/>
          </w:tcPr>
          <w:p>
            <w:pPr>
              <w:rPr>
                <w:rFonts w:ascii="Calibri" w:hAnsi="Calibri" w:eastAsia="宋体" w:cs="Times New Roman"/>
                <w:color w:val="auto"/>
                <w:kern w:val="2"/>
                <w:sz w:val="21"/>
                <w:szCs w:val="22"/>
                <w:highlight w:val="none"/>
                <w:lang w:val="en-US" w:eastAsia="zh-CN" w:bidi="ar-SA"/>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color w:val="auto"/>
                <w:kern w:val="2"/>
                <w:sz w:val="21"/>
                <w:szCs w:val="22"/>
                <w:highlight w:val="none"/>
                <w:lang w:val="en-US" w:eastAsia="zh-CN" w:bidi="ar-SA"/>
              </w:rPr>
            </w:pPr>
            <w:r>
              <w:rPr>
                <w:color w:val="auto"/>
                <w:highlight w:val="none"/>
              </w:rPr>
              <w:t>9</w:t>
            </w:r>
          </w:p>
        </w:tc>
        <w:tc>
          <w:tcPr>
            <w:tcW w:w="3000" w:type="dxa"/>
            <w:tcBorders>
              <w:top w:val="single" w:color="auto" w:sz="6" w:space="0"/>
              <w:left w:val="single" w:color="auto" w:sz="6" w:space="0"/>
              <w:bottom w:val="single" w:color="auto" w:sz="6" w:space="0"/>
              <w:right w:val="single" w:color="auto" w:sz="6" w:space="0"/>
            </w:tcBorders>
            <w:vAlign w:val="center"/>
          </w:tcPr>
          <w:p>
            <w:pPr>
              <w:rPr>
                <w:rFonts w:ascii="Calibri" w:hAnsi="Calibri" w:eastAsia="宋体" w:cs="Times New Roman"/>
                <w:color w:val="auto"/>
                <w:kern w:val="2"/>
                <w:sz w:val="21"/>
                <w:szCs w:val="22"/>
                <w:highlight w:val="none"/>
                <w:lang w:val="en-US" w:eastAsia="zh-CN" w:bidi="ar-SA"/>
              </w:rPr>
            </w:pPr>
            <w:r>
              <w:rPr>
                <w:rFonts w:hint="eastAsia"/>
                <w:color w:val="auto"/>
                <w:highlight w:val="none"/>
              </w:rPr>
              <w:t>绝缘子</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color w:val="auto"/>
                <w:kern w:val="2"/>
                <w:sz w:val="21"/>
                <w:szCs w:val="22"/>
                <w:highlight w:val="none"/>
                <w:lang w:val="en-US" w:eastAsia="zh-CN" w:bidi="ar-SA"/>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宋体" w:cs="Times New Roman"/>
                <w:color w:val="auto"/>
                <w:kern w:val="2"/>
                <w:sz w:val="21"/>
                <w:szCs w:val="22"/>
                <w:highlight w:val="none"/>
                <w:lang w:val="en-US" w:eastAsia="zh-CN" w:bidi="ar-SA"/>
              </w:rPr>
            </w:pPr>
            <w:r>
              <w:rPr>
                <w:rFonts w:hint="eastAsia" w:ascii="宋体" w:hAnsi="宋体"/>
                <w:color w:val="auto"/>
                <w:highlight w:val="none"/>
              </w:rPr>
              <w:t>吨</w:t>
            </w: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rFonts w:ascii="宋体" w:hAnsi="宋体" w:eastAsia="宋体" w:cs="Times New Roman"/>
                <w:color w:val="auto"/>
                <w:kern w:val="2"/>
                <w:sz w:val="21"/>
                <w:szCs w:val="22"/>
                <w:highlight w:val="none"/>
                <w:lang w:val="en-US" w:eastAsia="zh-CN" w:bidi="ar-SA"/>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vAlign w:val="top"/>
          </w:tcPr>
          <w:p>
            <w:pPr>
              <w:rPr>
                <w:rFonts w:ascii="Calibri" w:hAnsi="Calibri" w:eastAsia="宋体" w:cs="Times New Roman"/>
                <w:color w:val="auto"/>
                <w:kern w:val="2"/>
                <w:sz w:val="21"/>
                <w:szCs w:val="22"/>
                <w:highlight w:val="none"/>
                <w:lang w:val="en-US" w:eastAsia="zh-CN" w:bidi="ar-SA"/>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color w:val="auto"/>
                <w:kern w:val="2"/>
                <w:sz w:val="21"/>
                <w:szCs w:val="22"/>
                <w:highlight w:val="none"/>
                <w:lang w:val="en-US" w:eastAsia="zh-CN" w:bidi="ar-SA"/>
              </w:rPr>
            </w:pPr>
            <w:r>
              <w:rPr>
                <w:color w:val="auto"/>
                <w:highlight w:val="none"/>
              </w:rPr>
              <w:t>10</w:t>
            </w:r>
          </w:p>
        </w:tc>
        <w:tc>
          <w:tcPr>
            <w:tcW w:w="3000" w:type="dxa"/>
            <w:tcBorders>
              <w:top w:val="single" w:color="auto" w:sz="6" w:space="0"/>
              <w:left w:val="single" w:color="auto" w:sz="6" w:space="0"/>
              <w:bottom w:val="single" w:color="auto" w:sz="6" w:space="0"/>
              <w:right w:val="single" w:color="auto" w:sz="6" w:space="0"/>
            </w:tcBorders>
            <w:vAlign w:val="center"/>
          </w:tcPr>
          <w:p>
            <w:pPr>
              <w:rPr>
                <w:rFonts w:ascii="Calibri" w:hAnsi="Calibri" w:eastAsia="宋体" w:cs="Times New Roman"/>
                <w:color w:val="auto"/>
                <w:kern w:val="2"/>
                <w:sz w:val="21"/>
                <w:szCs w:val="22"/>
                <w:highlight w:val="none"/>
                <w:lang w:val="en-US" w:eastAsia="zh-CN" w:bidi="ar-SA"/>
              </w:rPr>
            </w:pPr>
            <w:r>
              <w:rPr>
                <w:rFonts w:hint="eastAsia"/>
                <w:color w:val="auto"/>
                <w:highlight w:val="none"/>
              </w:rPr>
              <w:t>线路金具</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color w:val="auto"/>
                <w:kern w:val="2"/>
                <w:sz w:val="21"/>
                <w:szCs w:val="22"/>
                <w:highlight w:val="none"/>
                <w:lang w:val="en-US" w:eastAsia="zh-CN" w:bidi="ar-SA"/>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宋体" w:cs="Times New Roman"/>
                <w:color w:val="auto"/>
                <w:kern w:val="2"/>
                <w:sz w:val="21"/>
                <w:szCs w:val="22"/>
                <w:highlight w:val="none"/>
                <w:lang w:val="en-US" w:eastAsia="zh-CN" w:bidi="ar-SA"/>
              </w:rPr>
            </w:pPr>
            <w:r>
              <w:rPr>
                <w:rFonts w:hint="eastAsia" w:ascii="宋体" w:hAnsi="宋体"/>
                <w:color w:val="auto"/>
                <w:highlight w:val="none"/>
              </w:rPr>
              <w:t>吨</w:t>
            </w: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rFonts w:ascii="Calibri" w:hAnsi="Calibri" w:eastAsia="宋体" w:cs="Times New Roman"/>
                <w:color w:val="auto"/>
                <w:kern w:val="2"/>
                <w:sz w:val="21"/>
                <w:szCs w:val="22"/>
                <w:highlight w:val="none"/>
                <w:lang w:val="en-US" w:eastAsia="zh-CN" w:bidi="ar-SA"/>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vAlign w:val="top"/>
          </w:tcPr>
          <w:p>
            <w:pPr>
              <w:rPr>
                <w:rFonts w:ascii="Calibri" w:hAnsi="Calibri" w:eastAsia="宋体" w:cs="Times New Roman"/>
                <w:color w:val="auto"/>
                <w:kern w:val="2"/>
                <w:sz w:val="21"/>
                <w:szCs w:val="22"/>
                <w:highlight w:val="none"/>
                <w:lang w:val="en-US" w:eastAsia="zh-CN" w:bidi="ar-SA"/>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hint="default" w:eastAsia="宋体"/>
                <w:color w:val="auto"/>
                <w:highlight w:val="none"/>
                <w:lang w:val="en-US" w:eastAsia="zh-CN"/>
              </w:rPr>
            </w:pPr>
            <w:r>
              <w:rPr>
                <w:rFonts w:hint="eastAsia"/>
                <w:color w:val="auto"/>
                <w:highlight w:val="none"/>
                <w:lang w:val="en-US" w:eastAsia="zh-CN"/>
              </w:rPr>
              <w:t>11</w:t>
            </w:r>
          </w:p>
        </w:tc>
        <w:tc>
          <w:tcPr>
            <w:tcW w:w="3000" w:type="dxa"/>
            <w:tcBorders>
              <w:top w:val="single" w:color="auto" w:sz="6" w:space="0"/>
              <w:left w:val="single" w:color="auto" w:sz="6" w:space="0"/>
              <w:bottom w:val="single" w:color="auto" w:sz="6" w:space="0"/>
              <w:right w:val="single" w:color="auto" w:sz="6" w:space="0"/>
            </w:tcBorders>
            <w:vAlign w:val="center"/>
          </w:tcPr>
          <w:p>
            <w:pPr>
              <w:rPr>
                <w:rFonts w:ascii="Calibri" w:hAnsi="Calibri" w:eastAsia="宋体" w:cs="Times New Roman"/>
                <w:color w:val="auto"/>
                <w:kern w:val="2"/>
                <w:sz w:val="21"/>
                <w:szCs w:val="22"/>
                <w:highlight w:val="none"/>
                <w:lang w:val="en-US" w:eastAsia="zh-CN" w:bidi="ar-SA"/>
              </w:rPr>
            </w:pPr>
            <w:r>
              <w:rPr>
                <w:rFonts w:hint="eastAsia"/>
                <w:color w:val="auto"/>
                <w:highlight w:val="none"/>
              </w:rPr>
              <w:t>光缆及光缆金具（不含</w:t>
            </w:r>
            <w:r>
              <w:rPr>
                <w:color w:val="auto"/>
                <w:highlight w:val="none"/>
              </w:rPr>
              <w:t>PVC</w:t>
            </w:r>
            <w:r>
              <w:rPr>
                <w:rFonts w:hint="eastAsia"/>
                <w:color w:val="auto"/>
                <w:highlight w:val="none"/>
              </w:rPr>
              <w:t>管、镀锌钢管）</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color w:val="auto"/>
                <w:kern w:val="2"/>
                <w:sz w:val="21"/>
                <w:szCs w:val="22"/>
                <w:highlight w:val="none"/>
                <w:lang w:val="en-US" w:eastAsia="zh-CN" w:bidi="ar-SA"/>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color w:val="auto"/>
                <w:kern w:val="2"/>
                <w:sz w:val="21"/>
                <w:szCs w:val="22"/>
                <w:highlight w:val="none"/>
                <w:lang w:val="en-US" w:eastAsia="zh-CN" w:bidi="ar-SA"/>
              </w:rPr>
            </w:pP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rFonts w:ascii="Calibri" w:hAnsi="Calibri" w:eastAsia="宋体" w:cs="Times New Roman"/>
                <w:color w:val="auto"/>
                <w:kern w:val="2"/>
                <w:sz w:val="21"/>
                <w:szCs w:val="22"/>
                <w:highlight w:val="none"/>
                <w:lang w:val="en-US" w:eastAsia="zh-CN" w:bidi="ar-SA"/>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vAlign w:val="top"/>
          </w:tcPr>
          <w:p>
            <w:pPr>
              <w:rPr>
                <w:rFonts w:ascii="Calibri" w:hAnsi="Calibri" w:eastAsia="宋体" w:cs="Times New Roman"/>
                <w:color w:val="auto"/>
                <w:kern w:val="2"/>
                <w:sz w:val="21"/>
                <w:szCs w:val="22"/>
                <w:highlight w:val="none"/>
                <w:lang w:val="en-US" w:eastAsia="zh-CN" w:bidi="ar-SA"/>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hint="default" w:eastAsia="宋体"/>
                <w:color w:val="auto"/>
                <w:highlight w:val="none"/>
                <w:lang w:val="en-US" w:eastAsia="zh-CN"/>
              </w:rPr>
            </w:pPr>
            <w:r>
              <w:rPr>
                <w:rFonts w:hint="eastAsia"/>
                <w:color w:val="auto"/>
                <w:highlight w:val="none"/>
                <w:lang w:val="en-US" w:eastAsia="zh-CN"/>
              </w:rPr>
              <w:t>12</w:t>
            </w:r>
          </w:p>
        </w:tc>
        <w:tc>
          <w:tcPr>
            <w:tcW w:w="3000" w:type="dxa"/>
            <w:tcBorders>
              <w:top w:val="single" w:color="auto" w:sz="6" w:space="0"/>
              <w:left w:val="single" w:color="auto" w:sz="6" w:space="0"/>
              <w:bottom w:val="single" w:color="auto" w:sz="6" w:space="0"/>
              <w:right w:val="single" w:color="auto" w:sz="6" w:space="0"/>
            </w:tcBorders>
            <w:vAlign w:val="center"/>
          </w:tcPr>
          <w:p>
            <w:pPr>
              <w:rPr>
                <w:rFonts w:hint="default" w:ascii="Calibri" w:hAnsi="Calibri" w:eastAsia="宋体" w:cs="Times New Roman"/>
                <w:color w:val="auto"/>
                <w:kern w:val="2"/>
                <w:sz w:val="21"/>
                <w:szCs w:val="22"/>
                <w:highlight w:val="none"/>
                <w:lang w:val="en-US" w:eastAsia="zh-CN" w:bidi="ar-SA"/>
              </w:rPr>
            </w:pPr>
            <w:r>
              <w:rPr>
                <w:rFonts w:hint="eastAsia"/>
                <w:color w:val="auto"/>
                <w:highlight w:val="none"/>
                <w:lang w:val="en-US" w:eastAsia="zh-CN"/>
              </w:rPr>
              <w:t>杆塔五牌</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color w:val="auto"/>
                <w:kern w:val="2"/>
                <w:sz w:val="21"/>
                <w:szCs w:val="22"/>
                <w:highlight w:val="none"/>
                <w:lang w:val="en-US" w:eastAsia="zh-CN" w:bidi="ar-SA"/>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color w:val="auto"/>
                <w:kern w:val="2"/>
                <w:sz w:val="21"/>
                <w:szCs w:val="22"/>
                <w:highlight w:val="none"/>
                <w:lang w:val="en-US" w:eastAsia="zh-CN" w:bidi="ar-SA"/>
              </w:rPr>
            </w:pP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rFonts w:hint="eastAsia" w:ascii="Calibri" w:hAnsi="Calibri" w:eastAsia="宋体" w:cs="Times New Roman"/>
                <w:color w:val="auto"/>
                <w:kern w:val="2"/>
                <w:sz w:val="21"/>
                <w:szCs w:val="22"/>
                <w:highlight w:val="none"/>
                <w:lang w:val="en-US" w:eastAsia="zh-CN" w:bidi="ar-SA"/>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vAlign w:val="top"/>
          </w:tcPr>
          <w:p>
            <w:pPr>
              <w:rPr>
                <w:rFonts w:hint="eastAsia" w:ascii="Calibri" w:hAnsi="Calibri" w:eastAsia="宋体" w:cs="Times New Roman"/>
                <w:color w:val="auto"/>
                <w:kern w:val="2"/>
                <w:sz w:val="21"/>
                <w:szCs w:val="22"/>
                <w:highlight w:val="none"/>
                <w:lang w:val="en-US" w:eastAsia="zh-CN" w:bidi="ar-SA"/>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hint="default"/>
                <w:color w:val="auto"/>
                <w:highlight w:val="none"/>
                <w:lang w:val="en-US" w:eastAsia="zh-CN"/>
              </w:rPr>
            </w:pPr>
            <w:r>
              <w:rPr>
                <w:rFonts w:hint="eastAsia"/>
                <w:color w:val="auto"/>
                <w:highlight w:val="none"/>
                <w:lang w:val="en-US" w:eastAsia="zh-CN"/>
              </w:rPr>
              <w:t>13</w:t>
            </w:r>
          </w:p>
        </w:tc>
        <w:tc>
          <w:tcPr>
            <w:tcW w:w="3000" w:type="dxa"/>
            <w:tcBorders>
              <w:top w:val="single" w:color="auto" w:sz="6" w:space="0"/>
              <w:left w:val="single" w:color="auto" w:sz="6" w:space="0"/>
              <w:bottom w:val="single" w:color="auto" w:sz="6" w:space="0"/>
              <w:right w:val="single" w:color="auto" w:sz="6" w:space="0"/>
            </w:tcBorders>
            <w:vAlign w:val="center"/>
          </w:tcPr>
          <w:p>
            <w:pPr>
              <w:rPr>
                <w:rFonts w:hint="default" w:eastAsia="宋体" w:cs="Times New Roman"/>
                <w:color w:val="auto"/>
                <w:highlight w:val="none"/>
                <w:lang w:val="en-US" w:eastAsia="zh-CN"/>
              </w:rPr>
            </w:pPr>
            <w:r>
              <w:rPr>
                <w:rFonts w:hint="eastAsia" w:eastAsia="宋体" w:cs="Times New Roman"/>
                <w:color w:val="auto"/>
                <w:highlight w:val="none"/>
                <w:lang w:val="en-US" w:eastAsia="zh-CN"/>
              </w:rPr>
              <w:t>电缆终端头</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color w:val="auto"/>
                <w:kern w:val="2"/>
                <w:sz w:val="21"/>
                <w:szCs w:val="22"/>
                <w:highlight w:val="none"/>
                <w:lang w:val="en-US" w:eastAsia="zh-CN" w:bidi="ar-SA"/>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hint="default" w:ascii="Calibri" w:hAnsi="Calibri" w:eastAsia="宋体" w:cs="Times New Roman"/>
                <w:color w:val="auto"/>
                <w:kern w:val="2"/>
                <w:sz w:val="21"/>
                <w:szCs w:val="22"/>
                <w:highlight w:val="none"/>
                <w:lang w:val="en-US" w:eastAsia="zh-CN" w:bidi="ar-SA"/>
              </w:rPr>
            </w:pPr>
            <w:r>
              <w:rPr>
                <w:rFonts w:hint="eastAsia" w:cs="Times New Roman"/>
                <w:color w:val="auto"/>
                <w:kern w:val="2"/>
                <w:sz w:val="21"/>
                <w:szCs w:val="22"/>
                <w:highlight w:val="none"/>
                <w:lang w:val="en-US" w:eastAsia="zh-CN" w:bidi="ar-SA"/>
              </w:rPr>
              <w:t>套</w:t>
            </w: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rFonts w:hint="eastAsia"/>
                <w:color w:val="auto"/>
                <w:highlight w:val="none"/>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vAlign w:val="top"/>
          </w:tcPr>
          <w:p>
            <w:pPr>
              <w:rPr>
                <w:rFonts w:hint="eastAsia"/>
                <w:color w:val="auto"/>
                <w:highlight w:val="none"/>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hint="default"/>
                <w:color w:val="auto"/>
                <w:highlight w:val="none"/>
                <w:lang w:val="en-US" w:eastAsia="zh-CN"/>
              </w:rPr>
            </w:pPr>
            <w:r>
              <w:rPr>
                <w:rFonts w:hint="eastAsia"/>
                <w:color w:val="auto"/>
                <w:highlight w:val="none"/>
                <w:lang w:val="en-US" w:eastAsia="zh-CN"/>
              </w:rPr>
              <w:t>14</w:t>
            </w:r>
          </w:p>
        </w:tc>
        <w:tc>
          <w:tcPr>
            <w:tcW w:w="3000" w:type="dxa"/>
            <w:tcBorders>
              <w:top w:val="single" w:color="auto" w:sz="6" w:space="0"/>
              <w:left w:val="single" w:color="auto" w:sz="6" w:space="0"/>
              <w:bottom w:val="single" w:color="auto" w:sz="6" w:space="0"/>
              <w:right w:val="single" w:color="auto" w:sz="6" w:space="0"/>
            </w:tcBorders>
            <w:vAlign w:val="center"/>
          </w:tcPr>
          <w:p>
            <w:pPr>
              <w:rPr>
                <w:rFonts w:hint="default" w:eastAsia="宋体" w:cs="Times New Roman"/>
                <w:color w:val="auto"/>
                <w:highlight w:val="none"/>
                <w:lang w:val="en-US" w:eastAsia="zh-CN"/>
              </w:rPr>
            </w:pPr>
            <w:r>
              <w:rPr>
                <w:rFonts w:hint="eastAsia" w:eastAsia="宋体" w:cs="Times New Roman"/>
                <w:color w:val="auto"/>
                <w:highlight w:val="none"/>
                <w:lang w:val="en-US" w:eastAsia="zh-CN"/>
              </w:rPr>
              <w:t>220kV电缆</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color w:val="auto"/>
                <w:kern w:val="2"/>
                <w:sz w:val="21"/>
                <w:szCs w:val="22"/>
                <w:highlight w:val="none"/>
                <w:lang w:val="en-US" w:eastAsia="zh-CN" w:bidi="ar-SA"/>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hint="default" w:ascii="Calibri" w:hAnsi="Calibri" w:eastAsia="宋体" w:cs="Times New Roman"/>
                <w:color w:val="auto"/>
                <w:kern w:val="2"/>
                <w:sz w:val="21"/>
                <w:szCs w:val="22"/>
                <w:highlight w:val="none"/>
                <w:lang w:val="en-US" w:eastAsia="zh-CN" w:bidi="ar-SA"/>
              </w:rPr>
            </w:pPr>
            <w:r>
              <w:rPr>
                <w:rFonts w:hint="eastAsia" w:cs="Times New Roman"/>
                <w:color w:val="auto"/>
                <w:kern w:val="2"/>
                <w:sz w:val="21"/>
                <w:szCs w:val="22"/>
                <w:highlight w:val="none"/>
                <w:lang w:val="en-US" w:eastAsia="zh-CN" w:bidi="ar-SA"/>
              </w:rPr>
              <w:t>Km</w:t>
            </w: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rFonts w:hint="eastAsia"/>
                <w:color w:val="auto"/>
                <w:highlight w:val="none"/>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vAlign w:val="top"/>
          </w:tcPr>
          <w:p>
            <w:pPr>
              <w:rPr>
                <w:rFonts w:hint="eastAsia"/>
                <w:color w:val="auto"/>
                <w:highlight w:val="none"/>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hint="default"/>
                <w:color w:val="auto"/>
                <w:highlight w:val="none"/>
                <w:lang w:val="en-US" w:eastAsia="zh-CN"/>
              </w:rPr>
            </w:pPr>
            <w:r>
              <w:rPr>
                <w:rFonts w:hint="eastAsia"/>
                <w:color w:val="auto"/>
                <w:highlight w:val="none"/>
                <w:lang w:val="en-US" w:eastAsia="zh-CN"/>
              </w:rPr>
              <w:t>15</w:t>
            </w:r>
          </w:p>
        </w:tc>
        <w:tc>
          <w:tcPr>
            <w:tcW w:w="3000" w:type="dxa"/>
            <w:tcBorders>
              <w:top w:val="single" w:color="auto" w:sz="6" w:space="0"/>
              <w:left w:val="single" w:color="auto" w:sz="6" w:space="0"/>
              <w:bottom w:val="single" w:color="auto" w:sz="6" w:space="0"/>
              <w:right w:val="single" w:color="auto" w:sz="6" w:space="0"/>
            </w:tcBorders>
            <w:vAlign w:val="center"/>
          </w:tcPr>
          <w:p>
            <w:pPr>
              <w:rPr>
                <w:rFonts w:hint="eastAsia" w:eastAsia="宋体" w:cs="Times New Roman"/>
                <w:color w:val="auto"/>
                <w:highlight w:val="none"/>
                <w:lang w:val="en-US" w:eastAsia="zh-CN"/>
              </w:rPr>
            </w:pPr>
            <w:r>
              <w:rPr>
                <w:rFonts w:hint="eastAsia" w:eastAsia="宋体" w:cs="Times New Roman"/>
                <w:color w:val="auto"/>
                <w:highlight w:val="none"/>
                <w:lang w:eastAsia="zh-CN"/>
              </w:rPr>
              <w:t>电缆回流线</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color w:val="auto"/>
                <w:kern w:val="2"/>
                <w:sz w:val="21"/>
                <w:szCs w:val="22"/>
                <w:highlight w:val="none"/>
                <w:lang w:val="en-US" w:eastAsia="zh-CN" w:bidi="ar-SA"/>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color w:val="auto"/>
                <w:kern w:val="2"/>
                <w:sz w:val="21"/>
                <w:szCs w:val="22"/>
                <w:highlight w:val="none"/>
                <w:lang w:val="en-US" w:eastAsia="zh-CN" w:bidi="ar-SA"/>
              </w:rPr>
            </w:pPr>
            <w:r>
              <w:rPr>
                <w:rFonts w:hint="eastAsia" w:cs="Times New Roman"/>
                <w:color w:val="auto"/>
                <w:kern w:val="2"/>
                <w:sz w:val="21"/>
                <w:szCs w:val="22"/>
                <w:highlight w:val="none"/>
                <w:lang w:val="en-US" w:eastAsia="zh-CN" w:bidi="ar-SA"/>
              </w:rPr>
              <w:t>Km</w:t>
            </w: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rFonts w:hint="eastAsia"/>
                <w:color w:val="auto"/>
                <w:highlight w:val="none"/>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vAlign w:val="top"/>
          </w:tcPr>
          <w:p>
            <w:pPr>
              <w:rPr>
                <w:rFonts w:hint="eastAsia"/>
                <w:color w:val="auto"/>
                <w:highlight w:val="none"/>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hint="default"/>
                <w:color w:val="auto"/>
                <w:highlight w:val="none"/>
                <w:lang w:val="en-US" w:eastAsia="zh-CN"/>
              </w:rPr>
            </w:pPr>
            <w:r>
              <w:rPr>
                <w:rFonts w:hint="eastAsia"/>
                <w:color w:val="auto"/>
                <w:highlight w:val="none"/>
                <w:lang w:val="en-US" w:eastAsia="zh-CN"/>
              </w:rPr>
              <w:t>16</w:t>
            </w:r>
          </w:p>
        </w:tc>
        <w:tc>
          <w:tcPr>
            <w:tcW w:w="3000" w:type="dxa"/>
            <w:tcBorders>
              <w:top w:val="single" w:color="auto" w:sz="6" w:space="0"/>
              <w:left w:val="single" w:color="auto" w:sz="6" w:space="0"/>
              <w:bottom w:val="single" w:color="auto" w:sz="6" w:space="0"/>
              <w:right w:val="single" w:color="auto" w:sz="6" w:space="0"/>
            </w:tcBorders>
            <w:vAlign w:val="center"/>
          </w:tcPr>
          <w:p>
            <w:pPr>
              <w:rPr>
                <w:rFonts w:hint="default" w:eastAsia="宋体" w:cs="Times New Roman"/>
                <w:color w:val="auto"/>
                <w:highlight w:val="none"/>
                <w:lang w:val="en-US" w:eastAsia="zh-CN"/>
              </w:rPr>
            </w:pPr>
            <w:r>
              <w:rPr>
                <w:rFonts w:hint="eastAsia" w:eastAsia="宋体" w:cs="Times New Roman"/>
                <w:color w:val="auto"/>
                <w:highlight w:val="none"/>
                <w:lang w:val="en-US" w:eastAsia="zh-CN"/>
              </w:rPr>
              <w:t>电缆直接（保护）接地箱</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color w:val="auto"/>
                <w:kern w:val="2"/>
                <w:sz w:val="21"/>
                <w:szCs w:val="22"/>
                <w:highlight w:val="none"/>
                <w:lang w:val="en-US" w:eastAsia="zh-CN" w:bidi="ar-SA"/>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color w:val="auto"/>
                <w:kern w:val="2"/>
                <w:sz w:val="21"/>
                <w:szCs w:val="22"/>
                <w:highlight w:val="none"/>
                <w:lang w:val="en-US" w:eastAsia="zh-CN" w:bidi="ar-SA"/>
              </w:rPr>
            </w:pPr>
            <w:r>
              <w:rPr>
                <w:rFonts w:hint="eastAsia" w:cs="Times New Roman"/>
                <w:color w:val="auto"/>
                <w:kern w:val="2"/>
                <w:sz w:val="21"/>
                <w:szCs w:val="22"/>
                <w:highlight w:val="none"/>
                <w:lang w:val="en-US" w:eastAsia="zh-CN" w:bidi="ar-SA"/>
              </w:rPr>
              <w:t>台</w:t>
            </w: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rFonts w:hint="eastAsia"/>
                <w:color w:val="auto"/>
                <w:highlight w:val="none"/>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vAlign w:val="top"/>
          </w:tcPr>
          <w:p>
            <w:pPr>
              <w:rPr>
                <w:rFonts w:hint="eastAsia"/>
                <w:color w:val="auto"/>
                <w:highlight w:val="none"/>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hint="eastAsia"/>
                <w:color w:val="auto"/>
                <w:highlight w:val="none"/>
                <w:lang w:val="en-US" w:eastAsia="zh-CN"/>
              </w:rPr>
            </w:pPr>
          </w:p>
        </w:tc>
        <w:tc>
          <w:tcPr>
            <w:tcW w:w="3000" w:type="dxa"/>
            <w:tcBorders>
              <w:top w:val="single" w:color="auto" w:sz="6" w:space="0"/>
              <w:left w:val="single" w:color="auto" w:sz="6" w:space="0"/>
              <w:bottom w:val="single" w:color="auto" w:sz="6" w:space="0"/>
              <w:right w:val="single" w:color="auto" w:sz="6" w:space="0"/>
            </w:tcBorders>
            <w:vAlign w:val="center"/>
          </w:tcPr>
          <w:p>
            <w:pPr>
              <w:rPr>
                <w:rFonts w:hint="eastAsia" w:eastAsia="宋体" w:cs="Times New Roman"/>
                <w:color w:val="auto"/>
                <w:highlight w:val="none"/>
                <w:lang w:val="en-US" w:eastAsia="zh-CN"/>
              </w:rPr>
            </w:pP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color w:val="auto"/>
                <w:kern w:val="2"/>
                <w:sz w:val="21"/>
                <w:szCs w:val="22"/>
                <w:highlight w:val="none"/>
                <w:lang w:val="en-US" w:eastAsia="zh-CN" w:bidi="ar-SA"/>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color w:val="auto"/>
                <w:kern w:val="2"/>
                <w:sz w:val="21"/>
                <w:szCs w:val="22"/>
                <w:highlight w:val="none"/>
                <w:lang w:val="en-US" w:eastAsia="zh-CN" w:bidi="ar-SA"/>
              </w:rPr>
            </w:pP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rFonts w:hint="eastAsia"/>
                <w:color w:val="auto"/>
                <w:highlight w:val="none"/>
              </w:rPr>
            </w:pPr>
          </w:p>
        </w:tc>
        <w:tc>
          <w:tcPr>
            <w:tcW w:w="2483" w:type="dxa"/>
            <w:tcBorders>
              <w:top w:val="single" w:color="auto" w:sz="6" w:space="0"/>
              <w:left w:val="single" w:color="auto" w:sz="6" w:space="0"/>
              <w:bottom w:val="single" w:color="auto" w:sz="6" w:space="0"/>
              <w:right w:val="single" w:color="auto" w:sz="4" w:space="0"/>
            </w:tcBorders>
            <w:vAlign w:val="top"/>
          </w:tcPr>
          <w:p>
            <w:pPr>
              <w:rPr>
                <w:rFonts w:hint="eastAsia"/>
                <w:color w:val="auto"/>
                <w:highlight w:val="none"/>
              </w:rPr>
            </w:pPr>
          </w:p>
        </w:tc>
      </w:tr>
    </w:tbl>
    <w:p>
      <w:pPr>
        <w:jc w:val="center"/>
        <w:rPr>
          <w:rFonts w:hint="eastAsia"/>
          <w:b/>
          <w:color w:val="auto"/>
          <w:highlight w:val="none"/>
        </w:rPr>
      </w:pPr>
    </w:p>
    <w:p>
      <w:pPr>
        <w:jc w:val="center"/>
        <w:rPr>
          <w:b/>
          <w:color w:val="auto"/>
          <w:highlight w:val="none"/>
        </w:rPr>
      </w:pPr>
      <w:r>
        <w:rPr>
          <w:rFonts w:hint="eastAsia"/>
          <w:b/>
          <w:color w:val="auto"/>
          <w:highlight w:val="none"/>
        </w:rPr>
        <w:t>中标人提供的设备、材料清单</w:t>
      </w:r>
    </w:p>
    <w:tbl>
      <w:tblPr>
        <w:tblStyle w:val="13"/>
        <w:tblpPr w:leftFromText="180" w:rightFromText="180" w:vertAnchor="text" w:horzAnchor="margin" w:tblpXSpec="center" w:tblpY="591"/>
        <w:tblW w:w="9854" w:type="dxa"/>
        <w:tblInd w:w="0" w:type="dxa"/>
        <w:tblLayout w:type="fixed"/>
        <w:tblCellMar>
          <w:top w:w="0" w:type="dxa"/>
          <w:left w:w="108" w:type="dxa"/>
          <w:bottom w:w="0" w:type="dxa"/>
          <w:right w:w="108" w:type="dxa"/>
        </w:tblCellMar>
      </w:tblPr>
      <w:tblGrid>
        <w:gridCol w:w="946"/>
        <w:gridCol w:w="2907"/>
        <w:gridCol w:w="1521"/>
        <w:gridCol w:w="1149"/>
        <w:gridCol w:w="1309"/>
        <w:gridCol w:w="2022"/>
      </w:tblGrid>
      <w:tr>
        <w:tblPrEx>
          <w:tblCellMar>
            <w:top w:w="0" w:type="dxa"/>
            <w:left w:w="108" w:type="dxa"/>
            <w:bottom w:w="0" w:type="dxa"/>
            <w:right w:w="108" w:type="dxa"/>
          </w:tblCellMar>
        </w:tblPrEx>
        <w:trPr>
          <w:trHeight w:val="397" w:hRule="atLeast"/>
          <w:tblHeader/>
        </w:trPr>
        <w:tc>
          <w:tcPr>
            <w:tcW w:w="946" w:type="dxa"/>
            <w:tcBorders>
              <w:top w:val="single" w:color="auto" w:sz="8" w:space="0"/>
              <w:left w:val="single" w:color="auto" w:sz="8" w:space="0"/>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序号</w:t>
            </w:r>
          </w:p>
        </w:tc>
        <w:tc>
          <w:tcPr>
            <w:tcW w:w="2907"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设备、材料名称</w:t>
            </w:r>
          </w:p>
        </w:tc>
        <w:tc>
          <w:tcPr>
            <w:tcW w:w="1521"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规格型号</w:t>
            </w:r>
          </w:p>
        </w:tc>
        <w:tc>
          <w:tcPr>
            <w:tcW w:w="1149"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单位</w:t>
            </w:r>
          </w:p>
        </w:tc>
        <w:tc>
          <w:tcPr>
            <w:tcW w:w="1309"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数量</w:t>
            </w:r>
          </w:p>
        </w:tc>
        <w:tc>
          <w:tcPr>
            <w:tcW w:w="2022"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单价（元）</w:t>
            </w: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widowControl/>
              <w:jc w:val="center"/>
              <w:rPr>
                <w:rFonts w:ascii="宋体" w:hAnsi="宋体"/>
                <w:color w:val="auto"/>
                <w:kern w:val="0"/>
                <w:highlight w:val="none"/>
              </w:rPr>
            </w:pPr>
            <w:r>
              <w:rPr>
                <w:rFonts w:hint="eastAsia" w:ascii="宋体" w:hAnsi="宋体"/>
                <w:color w:val="auto"/>
                <w:kern w:val="0"/>
                <w:highlight w:val="none"/>
              </w:rPr>
              <w:t>一</w:t>
            </w:r>
          </w:p>
        </w:tc>
        <w:tc>
          <w:tcPr>
            <w:tcW w:w="2907"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rPr>
              <w:t>设备部分</w:t>
            </w:r>
          </w:p>
        </w:tc>
        <w:tc>
          <w:tcPr>
            <w:tcW w:w="1521"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jc w:val="center"/>
              <w:rPr>
                <w:color w:val="auto"/>
                <w:highlight w:val="none"/>
              </w:rPr>
            </w:pPr>
          </w:p>
        </w:tc>
        <w:tc>
          <w:tcPr>
            <w:tcW w:w="1309" w:type="dxa"/>
            <w:tcBorders>
              <w:top w:val="nil"/>
              <w:left w:val="nil"/>
              <w:bottom w:val="single" w:color="auto" w:sz="4" w:space="0"/>
              <w:right w:val="single" w:color="auto" w:sz="4" w:space="0"/>
            </w:tcBorders>
            <w:vAlign w:val="center"/>
          </w:tcPr>
          <w:p>
            <w:pPr>
              <w:jc w:val="center"/>
              <w:rPr>
                <w:color w:val="auto"/>
                <w:highlight w:val="none"/>
              </w:rPr>
            </w:pPr>
          </w:p>
        </w:tc>
        <w:tc>
          <w:tcPr>
            <w:tcW w:w="2022" w:type="dxa"/>
            <w:tcBorders>
              <w:top w:val="nil"/>
              <w:left w:val="nil"/>
              <w:bottom w:val="single" w:color="auto" w:sz="4" w:space="0"/>
              <w:right w:val="single" w:color="auto" w:sz="4" w:space="0"/>
            </w:tcBorders>
            <w:vAlign w:val="center"/>
          </w:tcPr>
          <w:p>
            <w:pPr>
              <w:widowControl/>
              <w:spacing w:line="360" w:lineRule="auto"/>
              <w:jc w:val="right"/>
              <w:rPr>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jc w:val="center"/>
              <w:rPr>
                <w:color w:val="auto"/>
                <w:highlight w:val="none"/>
              </w:rPr>
            </w:pPr>
          </w:p>
        </w:tc>
        <w:tc>
          <w:tcPr>
            <w:tcW w:w="2907"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rPr>
              <w:t>无</w:t>
            </w:r>
          </w:p>
        </w:tc>
        <w:tc>
          <w:tcPr>
            <w:tcW w:w="1521"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jc w:val="center"/>
              <w:rPr>
                <w:color w:val="auto"/>
                <w:highlight w:val="none"/>
              </w:rPr>
            </w:pPr>
          </w:p>
        </w:tc>
        <w:tc>
          <w:tcPr>
            <w:tcW w:w="1309" w:type="dxa"/>
            <w:tcBorders>
              <w:top w:val="nil"/>
              <w:left w:val="nil"/>
              <w:bottom w:val="single" w:color="auto" w:sz="4" w:space="0"/>
              <w:right w:val="single" w:color="auto" w:sz="4" w:space="0"/>
            </w:tcBorders>
            <w:vAlign w:val="center"/>
          </w:tcPr>
          <w:p>
            <w:pPr>
              <w:jc w:val="center"/>
              <w:rPr>
                <w:color w:val="auto"/>
                <w:highlight w:val="none"/>
              </w:rPr>
            </w:pPr>
          </w:p>
        </w:tc>
        <w:tc>
          <w:tcPr>
            <w:tcW w:w="2022" w:type="dxa"/>
            <w:tcBorders>
              <w:top w:val="nil"/>
              <w:left w:val="nil"/>
              <w:bottom w:val="single" w:color="auto" w:sz="4" w:space="0"/>
              <w:right w:val="single" w:color="auto" w:sz="4" w:space="0"/>
            </w:tcBorders>
            <w:vAlign w:val="center"/>
          </w:tcPr>
          <w:p>
            <w:pPr>
              <w:widowControl/>
              <w:spacing w:line="360" w:lineRule="auto"/>
              <w:jc w:val="right"/>
              <w:rPr>
                <w:color w:val="auto"/>
                <w:highlight w:val="none"/>
              </w:rPr>
            </w:pPr>
          </w:p>
        </w:tc>
      </w:tr>
      <w:tr>
        <w:tblPrEx>
          <w:tblCellMar>
            <w:top w:w="0" w:type="dxa"/>
            <w:left w:w="108" w:type="dxa"/>
            <w:bottom w:w="0" w:type="dxa"/>
            <w:right w:w="108" w:type="dxa"/>
          </w:tblCellMar>
        </w:tblPrEx>
        <w:trPr>
          <w:cantSplit/>
          <w:trHeight w:val="397" w:hRule="atLeast"/>
        </w:trPr>
        <w:tc>
          <w:tcPr>
            <w:tcW w:w="946" w:type="dxa"/>
            <w:tcBorders>
              <w:top w:val="nil"/>
              <w:left w:val="single" w:color="auto" w:sz="8" w:space="0"/>
              <w:bottom w:val="single" w:color="auto" w:sz="4" w:space="0"/>
              <w:right w:val="single" w:color="auto" w:sz="4" w:space="0"/>
            </w:tcBorders>
            <w:vAlign w:val="center"/>
          </w:tcPr>
          <w:p>
            <w:pPr>
              <w:jc w:val="center"/>
              <w:rPr>
                <w:color w:val="auto"/>
                <w:highlight w:val="none"/>
              </w:rPr>
            </w:pPr>
            <w:r>
              <w:rPr>
                <w:rFonts w:hint="eastAsia"/>
                <w:color w:val="auto"/>
                <w:highlight w:val="none"/>
              </w:rPr>
              <w:t>二</w:t>
            </w:r>
          </w:p>
        </w:tc>
        <w:tc>
          <w:tcPr>
            <w:tcW w:w="2907" w:type="dxa"/>
            <w:tcBorders>
              <w:top w:val="nil"/>
              <w:left w:val="nil"/>
              <w:bottom w:val="single" w:color="auto" w:sz="4" w:space="0"/>
              <w:right w:val="single" w:color="auto" w:sz="4" w:space="0"/>
            </w:tcBorders>
            <w:vAlign w:val="center"/>
          </w:tcPr>
          <w:p>
            <w:pPr>
              <w:snapToGrid w:val="0"/>
              <w:rPr>
                <w:color w:val="auto"/>
                <w:highlight w:val="none"/>
              </w:rPr>
            </w:pPr>
            <w:r>
              <w:rPr>
                <w:rFonts w:hint="eastAsia"/>
                <w:color w:val="auto"/>
                <w:highlight w:val="none"/>
              </w:rPr>
              <w:t>材料部分</w:t>
            </w:r>
          </w:p>
        </w:tc>
        <w:tc>
          <w:tcPr>
            <w:tcW w:w="1521"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ind w:firstLine="308" w:firstLineChars="147"/>
              <w:rPr>
                <w:color w:val="auto"/>
                <w:highlight w:val="none"/>
              </w:rPr>
            </w:pPr>
          </w:p>
        </w:tc>
        <w:tc>
          <w:tcPr>
            <w:tcW w:w="1309" w:type="dxa"/>
            <w:tcBorders>
              <w:top w:val="nil"/>
              <w:left w:val="nil"/>
              <w:bottom w:val="single" w:color="auto" w:sz="4" w:space="0"/>
              <w:right w:val="single" w:color="auto" w:sz="4" w:space="0"/>
            </w:tcBorders>
            <w:vAlign w:val="center"/>
          </w:tcPr>
          <w:p>
            <w:pPr>
              <w:jc w:val="center"/>
              <w:rPr>
                <w:color w:val="auto"/>
                <w:highlight w:val="none"/>
              </w:rPr>
            </w:pPr>
          </w:p>
        </w:tc>
        <w:tc>
          <w:tcPr>
            <w:tcW w:w="2022" w:type="dxa"/>
            <w:tcBorders>
              <w:top w:val="nil"/>
              <w:left w:val="nil"/>
              <w:bottom w:val="single" w:color="auto" w:sz="4" w:space="0"/>
              <w:right w:val="single" w:color="auto" w:sz="4" w:space="0"/>
            </w:tcBorders>
            <w:vAlign w:val="center"/>
          </w:tcPr>
          <w:p>
            <w:pPr>
              <w:ind w:firstLine="617" w:firstLineChars="294"/>
              <w:jc w:val="right"/>
              <w:rPr>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jc w:val="center"/>
              <w:rPr>
                <w:color w:val="auto"/>
                <w:highlight w:val="none"/>
              </w:rPr>
            </w:pPr>
          </w:p>
        </w:tc>
        <w:tc>
          <w:tcPr>
            <w:tcW w:w="2907" w:type="dxa"/>
            <w:tcBorders>
              <w:top w:val="nil"/>
              <w:left w:val="nil"/>
              <w:bottom w:val="single" w:color="auto" w:sz="4" w:space="0"/>
              <w:right w:val="single" w:color="auto" w:sz="4" w:space="0"/>
            </w:tcBorders>
            <w:vAlign w:val="center"/>
          </w:tcPr>
          <w:p>
            <w:pPr>
              <w:snapToGrid w:val="0"/>
              <w:rPr>
                <w:color w:val="auto"/>
                <w:highlight w:val="none"/>
              </w:rPr>
            </w:pPr>
            <w:r>
              <w:rPr>
                <w:rFonts w:hint="eastAsia"/>
                <w:color w:val="auto"/>
                <w:highlight w:val="none"/>
              </w:rPr>
              <w:t>除招标人购买外的所有材料</w:t>
            </w:r>
          </w:p>
        </w:tc>
        <w:tc>
          <w:tcPr>
            <w:tcW w:w="1521"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widowControl/>
              <w:spacing w:line="360" w:lineRule="auto"/>
              <w:jc w:val="center"/>
              <w:rPr>
                <w:color w:val="auto"/>
                <w:highlight w:val="none"/>
              </w:rPr>
            </w:pPr>
          </w:p>
        </w:tc>
        <w:tc>
          <w:tcPr>
            <w:tcW w:w="1309" w:type="dxa"/>
            <w:tcBorders>
              <w:top w:val="nil"/>
              <w:left w:val="nil"/>
              <w:bottom w:val="single" w:color="auto" w:sz="4" w:space="0"/>
              <w:right w:val="single" w:color="auto" w:sz="4" w:space="0"/>
            </w:tcBorders>
            <w:vAlign w:val="center"/>
          </w:tcPr>
          <w:p>
            <w:pPr>
              <w:jc w:val="center"/>
              <w:rPr>
                <w:color w:val="auto"/>
                <w:highlight w:val="none"/>
              </w:rPr>
            </w:pPr>
          </w:p>
        </w:tc>
        <w:tc>
          <w:tcPr>
            <w:tcW w:w="2022" w:type="dxa"/>
            <w:tcBorders>
              <w:top w:val="nil"/>
              <w:left w:val="nil"/>
              <w:bottom w:val="single" w:color="auto" w:sz="4" w:space="0"/>
              <w:right w:val="single" w:color="auto" w:sz="4" w:space="0"/>
            </w:tcBorders>
            <w:vAlign w:val="center"/>
          </w:tcPr>
          <w:p>
            <w:pPr>
              <w:ind w:right="-107" w:rightChars="-51"/>
              <w:rPr>
                <w:color w:val="auto"/>
                <w:highlight w:val="none"/>
              </w:rPr>
            </w:pPr>
          </w:p>
        </w:tc>
      </w:tr>
    </w:tbl>
    <w:p>
      <w:pPr>
        <w:jc w:val="center"/>
        <w:rPr>
          <w:b/>
          <w:color w:val="auto"/>
          <w:highlight w:val="none"/>
        </w:rPr>
      </w:pPr>
    </w:p>
    <w:p>
      <w:pPr>
        <w:rPr>
          <w:color w:val="auto"/>
          <w:highlight w:val="none"/>
        </w:rPr>
      </w:pPr>
    </w:p>
    <w:p>
      <w:pPr>
        <w:rPr>
          <w:color w:val="auto"/>
          <w:highlight w:val="none"/>
        </w:rPr>
      </w:pPr>
    </w:p>
    <w:p>
      <w:pPr>
        <w:jc w:val="center"/>
        <w:rPr>
          <w:rFonts w:hint="eastAsia" w:eastAsia="宋体" w:cs="Times New Roman"/>
          <w:b/>
          <w:sz w:val="28"/>
          <w:szCs w:val="28"/>
          <w:highlight w:val="none"/>
          <w:lang w:val="en-US" w:eastAsia="zh-CN"/>
        </w:rPr>
      </w:pPr>
      <w:r>
        <w:rPr>
          <w:rFonts w:hint="eastAsia" w:eastAsia="宋体" w:cs="Times New Roman"/>
          <w:b/>
          <w:sz w:val="28"/>
          <w:szCs w:val="28"/>
          <w:highlight w:val="none"/>
          <w:lang w:val="en-US" w:eastAsia="zh-CN"/>
        </w:rPr>
        <w:t>3、220kV航洋（渔万）送变电工程电缆线路部分</w:t>
      </w:r>
    </w:p>
    <w:p>
      <w:pPr>
        <w:keepNext w:val="0"/>
        <w:keepLines w:val="0"/>
        <w:pageBreakBefore w:val="0"/>
        <w:kinsoku/>
        <w:wordWrap/>
        <w:overflowPunct/>
        <w:topLinePunct w:val="0"/>
        <w:bidi w:val="0"/>
        <w:spacing w:line="360" w:lineRule="auto"/>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招标人提供的设备、材料清单</w:t>
      </w:r>
    </w:p>
    <w:tbl>
      <w:tblPr>
        <w:tblStyle w:val="13"/>
        <w:tblpPr w:leftFromText="180" w:rightFromText="180" w:vertAnchor="text" w:horzAnchor="margin" w:tblpXSpec="center" w:tblpY="357"/>
        <w:tblW w:w="9782" w:type="dxa"/>
        <w:tblInd w:w="298" w:type="dxa"/>
        <w:tblLayout w:type="fixed"/>
        <w:tblCellMar>
          <w:top w:w="0" w:type="dxa"/>
          <w:left w:w="108" w:type="dxa"/>
          <w:bottom w:w="0" w:type="dxa"/>
          <w:right w:w="108" w:type="dxa"/>
        </w:tblCellMar>
      </w:tblPr>
      <w:tblGrid>
        <w:gridCol w:w="795"/>
        <w:gridCol w:w="2990"/>
        <w:gridCol w:w="1142"/>
        <w:gridCol w:w="972"/>
        <w:gridCol w:w="1400"/>
        <w:gridCol w:w="2483"/>
      </w:tblGrid>
      <w:tr>
        <w:tblPrEx>
          <w:tblCellMar>
            <w:top w:w="0" w:type="dxa"/>
            <w:left w:w="108" w:type="dxa"/>
            <w:bottom w:w="0" w:type="dxa"/>
            <w:right w:w="108" w:type="dxa"/>
          </w:tblCellMar>
        </w:tblPrEx>
        <w:trPr>
          <w:trHeight w:val="397" w:hRule="atLeast"/>
          <w:tblHeader/>
        </w:trPr>
        <w:tc>
          <w:tcPr>
            <w:tcW w:w="795" w:type="dxa"/>
            <w:tcBorders>
              <w:top w:val="single" w:color="auto" w:sz="8" w:space="0"/>
              <w:left w:val="single" w:color="auto" w:sz="8"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序号</w:t>
            </w:r>
          </w:p>
        </w:tc>
        <w:tc>
          <w:tcPr>
            <w:tcW w:w="2990" w:type="dxa"/>
            <w:tcBorders>
              <w:top w:val="single" w:color="auto" w:sz="8" w:space="0"/>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设备、材料名称</w:t>
            </w:r>
          </w:p>
        </w:tc>
        <w:tc>
          <w:tcPr>
            <w:tcW w:w="1142" w:type="dxa"/>
            <w:tcBorders>
              <w:top w:val="single" w:color="auto" w:sz="8" w:space="0"/>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规格型号</w:t>
            </w:r>
          </w:p>
        </w:tc>
        <w:tc>
          <w:tcPr>
            <w:tcW w:w="972" w:type="dxa"/>
            <w:tcBorders>
              <w:top w:val="single" w:color="auto" w:sz="8" w:space="0"/>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单位</w:t>
            </w:r>
          </w:p>
        </w:tc>
        <w:tc>
          <w:tcPr>
            <w:tcW w:w="1400" w:type="dxa"/>
            <w:tcBorders>
              <w:top w:val="single" w:color="auto" w:sz="8" w:space="0"/>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数量</w:t>
            </w:r>
          </w:p>
        </w:tc>
        <w:tc>
          <w:tcPr>
            <w:tcW w:w="2483" w:type="dxa"/>
            <w:tcBorders>
              <w:top w:val="single" w:color="auto" w:sz="8" w:space="0"/>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单价（元）</w:t>
            </w:r>
          </w:p>
        </w:tc>
      </w:tr>
      <w:tr>
        <w:tblPrEx>
          <w:tblCellMar>
            <w:top w:w="0" w:type="dxa"/>
            <w:left w:w="108" w:type="dxa"/>
            <w:bottom w:w="0" w:type="dxa"/>
            <w:right w:w="108" w:type="dxa"/>
          </w:tblCellMar>
        </w:tblPrEx>
        <w:trPr>
          <w:trHeight w:val="397" w:hRule="atLeast"/>
        </w:trPr>
        <w:tc>
          <w:tcPr>
            <w:tcW w:w="795" w:type="dxa"/>
            <w:tcBorders>
              <w:top w:val="nil"/>
              <w:left w:val="single" w:color="auto" w:sz="8"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（一）</w:t>
            </w:r>
          </w:p>
        </w:tc>
        <w:tc>
          <w:tcPr>
            <w:tcW w:w="2990"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rPr>
              <w:t>设备部分</w:t>
            </w:r>
          </w:p>
        </w:tc>
        <w:tc>
          <w:tcPr>
            <w:tcW w:w="1142"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bidi w:val="0"/>
              <w:snapToGrid w:val="0"/>
              <w:spacing w:before="0" w:beforeAutospacing="0" w:after="0" w:afterAutospacing="0" w:line="360" w:lineRule="auto"/>
              <w:ind w:left="0" w:right="0"/>
              <w:jc w:val="center"/>
              <w:rPr>
                <w:rFonts w:hint="eastAsia" w:ascii="宋体" w:hAnsi="宋体" w:eastAsia="宋体" w:cs="宋体"/>
                <w:kern w:val="0"/>
                <w:sz w:val="21"/>
                <w:szCs w:val="21"/>
                <w:highlight w:val="none"/>
              </w:rPr>
            </w:pPr>
          </w:p>
        </w:tc>
        <w:tc>
          <w:tcPr>
            <w:tcW w:w="972"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sz w:val="21"/>
                <w:szCs w:val="21"/>
                <w:highlight w:val="none"/>
              </w:rPr>
            </w:pPr>
          </w:p>
        </w:tc>
        <w:tc>
          <w:tcPr>
            <w:tcW w:w="1400"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sz w:val="21"/>
                <w:szCs w:val="21"/>
                <w:highlight w:val="none"/>
              </w:rPr>
            </w:pPr>
          </w:p>
        </w:tc>
        <w:tc>
          <w:tcPr>
            <w:tcW w:w="248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right="0"/>
              <w:jc w:val="right"/>
              <w:rPr>
                <w:rFonts w:hint="eastAsia" w:ascii="宋体" w:hAnsi="宋体" w:eastAsia="宋体" w:cs="宋体"/>
                <w:sz w:val="21"/>
                <w:szCs w:val="21"/>
                <w:highlight w:val="none"/>
              </w:rPr>
            </w:pPr>
          </w:p>
        </w:tc>
      </w:tr>
      <w:tr>
        <w:tblPrEx>
          <w:tblCellMar>
            <w:top w:w="0" w:type="dxa"/>
            <w:left w:w="108" w:type="dxa"/>
            <w:bottom w:w="0" w:type="dxa"/>
            <w:right w:w="108" w:type="dxa"/>
          </w:tblCellMar>
        </w:tblPrEx>
        <w:trPr>
          <w:trHeight w:val="397" w:hRule="atLeast"/>
        </w:trPr>
        <w:tc>
          <w:tcPr>
            <w:tcW w:w="795" w:type="dxa"/>
            <w:tcBorders>
              <w:top w:val="nil"/>
              <w:left w:val="single" w:color="auto" w:sz="8" w:space="0"/>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p>
        </w:tc>
        <w:tc>
          <w:tcPr>
            <w:tcW w:w="299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1"/>
                <w:szCs w:val="21"/>
                <w:highlight w:val="none"/>
                <w:lang w:eastAsia="zh-CN"/>
              </w:rPr>
            </w:pPr>
            <w:r>
              <w:rPr>
                <w:rFonts w:hint="eastAsia" w:ascii="宋体" w:hAnsi="宋体" w:eastAsia="宋体" w:cs="宋体"/>
                <w:color w:val="auto"/>
                <w:sz w:val="21"/>
                <w:szCs w:val="21"/>
                <w:highlight w:val="none"/>
              </w:rPr>
              <w:t>电缆护套环流监测装置</w:t>
            </w:r>
          </w:p>
        </w:tc>
        <w:tc>
          <w:tcPr>
            <w:tcW w:w="1142"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bidi w:val="0"/>
              <w:snapToGrid w:val="0"/>
              <w:spacing w:before="0" w:beforeAutospacing="0" w:after="0" w:afterAutospacing="0" w:line="360" w:lineRule="auto"/>
              <w:ind w:left="0" w:right="0"/>
              <w:jc w:val="center"/>
              <w:rPr>
                <w:rFonts w:hint="eastAsia" w:ascii="宋体" w:hAnsi="宋体" w:eastAsia="宋体" w:cs="宋体"/>
                <w:kern w:val="0"/>
                <w:sz w:val="21"/>
                <w:szCs w:val="21"/>
                <w:highlight w:val="none"/>
              </w:rPr>
            </w:pPr>
          </w:p>
        </w:tc>
        <w:tc>
          <w:tcPr>
            <w:tcW w:w="972"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套</w:t>
            </w:r>
          </w:p>
        </w:tc>
        <w:tc>
          <w:tcPr>
            <w:tcW w:w="1400"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自行计算</w:t>
            </w:r>
          </w:p>
        </w:tc>
        <w:tc>
          <w:tcPr>
            <w:tcW w:w="2483"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电力建设工程装置性材料预算价（201</w:t>
            </w:r>
            <w:r>
              <w:rPr>
                <w:rFonts w:hint="eastAsia" w:ascii="宋体" w:hAnsi="宋体" w:eastAsia="宋体" w:cs="宋体"/>
                <w:color w:val="000000"/>
                <w:sz w:val="21"/>
                <w:szCs w:val="21"/>
                <w:highlight w:val="none"/>
                <w:lang w:val="en-US" w:eastAsia="zh-CN"/>
              </w:rPr>
              <w:t>8</w:t>
            </w:r>
            <w:r>
              <w:rPr>
                <w:rFonts w:hint="eastAsia" w:ascii="宋体" w:hAnsi="宋体" w:eastAsia="宋体" w:cs="宋体"/>
                <w:color w:val="000000"/>
                <w:sz w:val="21"/>
                <w:szCs w:val="21"/>
                <w:highlight w:val="none"/>
              </w:rPr>
              <w:t>年版）</w:t>
            </w:r>
          </w:p>
        </w:tc>
      </w:tr>
      <w:tr>
        <w:tblPrEx>
          <w:tblCellMar>
            <w:top w:w="0" w:type="dxa"/>
            <w:left w:w="108" w:type="dxa"/>
            <w:bottom w:w="0" w:type="dxa"/>
            <w:right w:w="108" w:type="dxa"/>
          </w:tblCellMar>
        </w:tblPrEx>
        <w:trPr>
          <w:trHeight w:val="612" w:hRule="atLeast"/>
        </w:trPr>
        <w:tc>
          <w:tcPr>
            <w:tcW w:w="795" w:type="dxa"/>
            <w:tcBorders>
              <w:top w:val="nil"/>
              <w:left w:val="single" w:color="auto" w:sz="8" w:space="0"/>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w:t>
            </w:r>
          </w:p>
        </w:tc>
        <w:tc>
          <w:tcPr>
            <w:tcW w:w="299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kern w:val="0"/>
                <w:sz w:val="21"/>
                <w:szCs w:val="21"/>
                <w:highlight w:val="none"/>
                <w:u w:val="none"/>
                <w:lang w:val="en-US" w:eastAsia="zh-CN"/>
              </w:rPr>
            </w:pPr>
            <w:r>
              <w:rPr>
                <w:rFonts w:hint="eastAsia" w:ascii="宋体" w:hAnsi="宋体" w:eastAsia="宋体" w:cs="宋体"/>
                <w:color w:val="auto"/>
                <w:sz w:val="21"/>
                <w:szCs w:val="21"/>
                <w:highlight w:val="none"/>
              </w:rPr>
              <w:t>视频/图像/红外监测装置</w:t>
            </w:r>
          </w:p>
        </w:tc>
        <w:tc>
          <w:tcPr>
            <w:tcW w:w="1142"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bidi w:val="0"/>
              <w:snapToGrid w:val="0"/>
              <w:spacing w:before="0" w:beforeAutospacing="0" w:after="0" w:afterAutospacing="0" w:line="360" w:lineRule="auto"/>
              <w:ind w:left="0" w:right="0"/>
              <w:jc w:val="center"/>
              <w:rPr>
                <w:rFonts w:hint="eastAsia" w:ascii="宋体" w:hAnsi="宋体" w:eastAsia="宋体" w:cs="宋体"/>
                <w:kern w:val="0"/>
                <w:sz w:val="21"/>
                <w:szCs w:val="21"/>
                <w:highlight w:val="none"/>
              </w:rPr>
            </w:pPr>
          </w:p>
        </w:tc>
        <w:tc>
          <w:tcPr>
            <w:tcW w:w="972"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sz w:val="21"/>
                <w:szCs w:val="21"/>
                <w:highlight w:val="none"/>
                <w:lang w:eastAsia="zh-CN"/>
              </w:rPr>
            </w:pPr>
          </w:p>
        </w:tc>
        <w:tc>
          <w:tcPr>
            <w:tcW w:w="1400"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color w:val="000000"/>
                <w:sz w:val="21"/>
                <w:szCs w:val="21"/>
                <w:highlight w:val="none"/>
              </w:rPr>
            </w:pPr>
          </w:p>
        </w:tc>
        <w:tc>
          <w:tcPr>
            <w:tcW w:w="2483"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rPr>
                <w:rFonts w:hint="eastAsia" w:ascii="宋体" w:hAnsi="宋体" w:eastAsia="宋体" w:cs="宋体"/>
                <w:color w:val="000000"/>
                <w:sz w:val="21"/>
                <w:szCs w:val="21"/>
                <w:highlight w:val="none"/>
              </w:rPr>
            </w:pPr>
          </w:p>
        </w:tc>
      </w:tr>
      <w:tr>
        <w:tblPrEx>
          <w:tblCellMar>
            <w:top w:w="0" w:type="dxa"/>
            <w:left w:w="108" w:type="dxa"/>
            <w:bottom w:w="0" w:type="dxa"/>
            <w:right w:w="108" w:type="dxa"/>
          </w:tblCellMar>
        </w:tblPrEx>
        <w:trPr>
          <w:trHeight w:val="612" w:hRule="atLeast"/>
        </w:trPr>
        <w:tc>
          <w:tcPr>
            <w:tcW w:w="795" w:type="dxa"/>
            <w:tcBorders>
              <w:top w:val="nil"/>
              <w:left w:val="single" w:color="auto" w:sz="8" w:space="0"/>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w:t>
            </w:r>
          </w:p>
        </w:tc>
        <w:tc>
          <w:tcPr>
            <w:tcW w:w="299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kern w:val="0"/>
                <w:sz w:val="21"/>
                <w:szCs w:val="21"/>
                <w:highlight w:val="none"/>
                <w:u w:val="none"/>
                <w:lang w:val="en-US" w:eastAsia="zh-CN"/>
              </w:rPr>
            </w:pPr>
            <w:r>
              <w:rPr>
                <w:rFonts w:hint="eastAsia" w:ascii="宋体" w:hAnsi="宋体" w:eastAsia="宋体" w:cs="宋体"/>
                <w:color w:val="auto"/>
                <w:sz w:val="21"/>
                <w:szCs w:val="21"/>
                <w:highlight w:val="none"/>
              </w:rPr>
              <w:t>电缆局放在线监测装置</w:t>
            </w:r>
          </w:p>
        </w:tc>
        <w:tc>
          <w:tcPr>
            <w:tcW w:w="1142"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bidi w:val="0"/>
              <w:snapToGrid w:val="0"/>
              <w:spacing w:before="0" w:beforeAutospacing="0" w:after="0" w:afterAutospacing="0" w:line="360" w:lineRule="auto"/>
              <w:ind w:left="0" w:right="0"/>
              <w:jc w:val="center"/>
              <w:rPr>
                <w:rFonts w:hint="eastAsia" w:ascii="宋体" w:hAnsi="宋体" w:eastAsia="宋体" w:cs="宋体"/>
                <w:kern w:val="0"/>
                <w:sz w:val="21"/>
                <w:szCs w:val="21"/>
                <w:highlight w:val="none"/>
              </w:rPr>
            </w:pPr>
          </w:p>
        </w:tc>
        <w:tc>
          <w:tcPr>
            <w:tcW w:w="972"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sz w:val="21"/>
                <w:szCs w:val="21"/>
                <w:highlight w:val="none"/>
                <w:lang w:eastAsia="zh-CN"/>
              </w:rPr>
            </w:pPr>
          </w:p>
        </w:tc>
        <w:tc>
          <w:tcPr>
            <w:tcW w:w="1400"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color w:val="000000"/>
                <w:sz w:val="21"/>
                <w:szCs w:val="21"/>
                <w:highlight w:val="none"/>
              </w:rPr>
            </w:pPr>
          </w:p>
        </w:tc>
        <w:tc>
          <w:tcPr>
            <w:tcW w:w="2483"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rPr>
                <w:rFonts w:hint="eastAsia" w:ascii="宋体" w:hAnsi="宋体" w:eastAsia="宋体" w:cs="宋体"/>
                <w:color w:val="000000"/>
                <w:sz w:val="21"/>
                <w:szCs w:val="21"/>
                <w:highlight w:val="none"/>
              </w:rPr>
            </w:pPr>
          </w:p>
        </w:tc>
      </w:tr>
      <w:tr>
        <w:tblPrEx>
          <w:tblCellMar>
            <w:top w:w="0" w:type="dxa"/>
            <w:left w:w="108" w:type="dxa"/>
            <w:bottom w:w="0" w:type="dxa"/>
            <w:right w:w="108" w:type="dxa"/>
          </w:tblCellMar>
        </w:tblPrEx>
        <w:trPr>
          <w:trHeight w:val="612" w:hRule="atLeast"/>
        </w:trPr>
        <w:tc>
          <w:tcPr>
            <w:tcW w:w="795" w:type="dxa"/>
            <w:tcBorders>
              <w:top w:val="nil"/>
              <w:left w:val="single" w:color="auto" w:sz="8" w:space="0"/>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w:t>
            </w:r>
          </w:p>
        </w:tc>
        <w:tc>
          <w:tcPr>
            <w:tcW w:w="299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0"/>
                <w:sz w:val="21"/>
                <w:szCs w:val="21"/>
                <w:highlight w:val="none"/>
                <w:lang w:eastAsia="zh-CN"/>
              </w:rPr>
            </w:pPr>
            <w:r>
              <w:rPr>
                <w:rFonts w:hint="eastAsia" w:ascii="宋体" w:hAnsi="宋体" w:eastAsia="宋体" w:cs="宋体"/>
                <w:color w:val="auto"/>
                <w:sz w:val="21"/>
                <w:szCs w:val="21"/>
                <w:highlight w:val="none"/>
              </w:rPr>
              <w:t>高压电缆故障精确定位系统</w:t>
            </w:r>
          </w:p>
        </w:tc>
        <w:tc>
          <w:tcPr>
            <w:tcW w:w="1142"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bidi w:val="0"/>
              <w:snapToGrid w:val="0"/>
              <w:spacing w:before="0" w:beforeAutospacing="0" w:after="0" w:afterAutospacing="0" w:line="360" w:lineRule="auto"/>
              <w:ind w:left="0" w:right="0"/>
              <w:jc w:val="center"/>
              <w:rPr>
                <w:rFonts w:hint="eastAsia" w:ascii="宋体" w:hAnsi="宋体" w:eastAsia="宋体" w:cs="宋体"/>
                <w:kern w:val="0"/>
                <w:sz w:val="21"/>
                <w:szCs w:val="21"/>
                <w:highlight w:val="none"/>
              </w:rPr>
            </w:pPr>
          </w:p>
        </w:tc>
        <w:tc>
          <w:tcPr>
            <w:tcW w:w="972"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套</w:t>
            </w:r>
          </w:p>
        </w:tc>
        <w:tc>
          <w:tcPr>
            <w:tcW w:w="1400"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自行计算</w:t>
            </w:r>
          </w:p>
        </w:tc>
        <w:tc>
          <w:tcPr>
            <w:tcW w:w="2483"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电力建设工程装置性材料预算价（201</w:t>
            </w:r>
            <w:r>
              <w:rPr>
                <w:rFonts w:hint="eastAsia" w:ascii="宋体" w:hAnsi="宋体" w:eastAsia="宋体" w:cs="宋体"/>
                <w:color w:val="000000"/>
                <w:sz w:val="21"/>
                <w:szCs w:val="21"/>
                <w:highlight w:val="none"/>
                <w:lang w:val="en-US" w:eastAsia="zh-CN"/>
              </w:rPr>
              <w:t>8</w:t>
            </w:r>
            <w:r>
              <w:rPr>
                <w:rFonts w:hint="eastAsia" w:ascii="宋体" w:hAnsi="宋体" w:eastAsia="宋体" w:cs="宋体"/>
                <w:color w:val="000000"/>
                <w:sz w:val="21"/>
                <w:szCs w:val="21"/>
                <w:highlight w:val="none"/>
              </w:rPr>
              <w:t>年版）</w:t>
            </w:r>
          </w:p>
        </w:tc>
      </w:tr>
      <w:tr>
        <w:tblPrEx>
          <w:tblCellMar>
            <w:top w:w="0" w:type="dxa"/>
            <w:left w:w="108" w:type="dxa"/>
            <w:bottom w:w="0" w:type="dxa"/>
            <w:right w:w="108" w:type="dxa"/>
          </w:tblCellMar>
        </w:tblPrEx>
        <w:trPr>
          <w:trHeight w:val="397" w:hRule="atLeast"/>
        </w:trPr>
        <w:tc>
          <w:tcPr>
            <w:tcW w:w="795" w:type="dxa"/>
            <w:tcBorders>
              <w:top w:val="nil"/>
              <w:left w:val="single" w:color="auto" w:sz="8" w:space="0"/>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w:t>
            </w:r>
          </w:p>
        </w:tc>
        <w:tc>
          <w:tcPr>
            <w:tcW w:w="299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right="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除以上标明的</w:t>
            </w:r>
            <w:r>
              <w:rPr>
                <w:rFonts w:hint="eastAsia" w:ascii="宋体" w:hAnsi="宋体" w:eastAsia="宋体" w:cs="宋体"/>
                <w:sz w:val="21"/>
                <w:szCs w:val="21"/>
                <w:highlight w:val="none"/>
                <w:lang w:eastAsia="zh-CN"/>
              </w:rPr>
              <w:t>设备外的</w:t>
            </w:r>
            <w:r>
              <w:rPr>
                <w:rFonts w:hint="eastAsia" w:ascii="宋体" w:hAnsi="宋体" w:eastAsia="宋体" w:cs="宋体"/>
                <w:sz w:val="21"/>
                <w:szCs w:val="21"/>
                <w:highlight w:val="none"/>
              </w:rPr>
              <w:t>电气设备、监测设备、防盗设备和接地箱。</w:t>
            </w:r>
          </w:p>
        </w:tc>
        <w:tc>
          <w:tcPr>
            <w:tcW w:w="1142"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bidi w:val="0"/>
              <w:snapToGrid w:val="0"/>
              <w:spacing w:before="0" w:beforeAutospacing="0" w:after="0" w:afterAutospacing="0" w:line="360" w:lineRule="auto"/>
              <w:ind w:left="0" w:right="0"/>
              <w:jc w:val="center"/>
              <w:rPr>
                <w:rFonts w:hint="eastAsia" w:ascii="宋体" w:hAnsi="宋体" w:eastAsia="宋体" w:cs="宋体"/>
                <w:kern w:val="0"/>
                <w:sz w:val="21"/>
                <w:szCs w:val="21"/>
                <w:highlight w:val="none"/>
              </w:rPr>
            </w:pPr>
          </w:p>
        </w:tc>
        <w:tc>
          <w:tcPr>
            <w:tcW w:w="972"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sz w:val="21"/>
                <w:szCs w:val="21"/>
                <w:highlight w:val="none"/>
                <w:lang w:eastAsia="zh-CN"/>
              </w:rPr>
            </w:pPr>
          </w:p>
        </w:tc>
        <w:tc>
          <w:tcPr>
            <w:tcW w:w="1400"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color w:val="000000"/>
                <w:sz w:val="21"/>
                <w:szCs w:val="21"/>
                <w:highlight w:val="none"/>
              </w:rPr>
            </w:pPr>
          </w:p>
        </w:tc>
        <w:tc>
          <w:tcPr>
            <w:tcW w:w="2483"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rPr>
                <w:rFonts w:hint="eastAsia" w:ascii="宋体" w:hAnsi="宋体" w:eastAsia="宋体" w:cs="宋体"/>
                <w:color w:val="000000"/>
                <w:sz w:val="21"/>
                <w:szCs w:val="21"/>
                <w:highlight w:val="none"/>
              </w:rPr>
            </w:pPr>
          </w:p>
        </w:tc>
      </w:tr>
      <w:tr>
        <w:tblPrEx>
          <w:tblCellMar>
            <w:top w:w="0" w:type="dxa"/>
            <w:left w:w="108" w:type="dxa"/>
            <w:bottom w:w="0" w:type="dxa"/>
            <w:right w:w="108" w:type="dxa"/>
          </w:tblCellMar>
        </w:tblPrEx>
        <w:trPr>
          <w:trHeight w:val="397" w:hRule="atLeast"/>
        </w:trPr>
        <w:tc>
          <w:tcPr>
            <w:tcW w:w="795" w:type="dxa"/>
            <w:tcBorders>
              <w:top w:val="nil"/>
              <w:left w:val="single" w:color="auto" w:sz="8"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1"/>
                <w:szCs w:val="21"/>
                <w:highlight w:val="none"/>
                <w:lang w:val="en-US" w:eastAsia="zh-CN"/>
              </w:rPr>
            </w:pPr>
            <w:r>
              <w:rPr>
                <w:rFonts w:hint="eastAsia" w:ascii="宋体" w:hAnsi="宋体" w:eastAsia="宋体" w:cs="宋体"/>
                <w:color w:val="auto"/>
                <w:sz w:val="21"/>
                <w:szCs w:val="21"/>
                <w:highlight w:val="none"/>
              </w:rPr>
              <w:t>（二）</w:t>
            </w:r>
          </w:p>
        </w:tc>
        <w:tc>
          <w:tcPr>
            <w:tcW w:w="299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sz w:val="21"/>
                <w:szCs w:val="21"/>
                <w:highlight w:val="none"/>
              </w:rPr>
            </w:pPr>
            <w:r>
              <w:rPr>
                <w:rFonts w:hint="eastAsia" w:ascii="宋体" w:hAnsi="宋体" w:eastAsia="宋体" w:cs="宋体"/>
                <w:color w:val="auto"/>
                <w:sz w:val="21"/>
                <w:szCs w:val="21"/>
                <w:highlight w:val="none"/>
              </w:rPr>
              <w:t>材料部分</w:t>
            </w:r>
          </w:p>
        </w:tc>
        <w:tc>
          <w:tcPr>
            <w:tcW w:w="1142"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bidi w:val="0"/>
              <w:snapToGrid w:val="0"/>
              <w:spacing w:before="0" w:beforeAutospacing="0" w:after="0" w:afterAutospacing="0" w:line="360" w:lineRule="auto"/>
              <w:ind w:left="0" w:right="0"/>
              <w:jc w:val="center"/>
              <w:rPr>
                <w:rFonts w:hint="eastAsia" w:ascii="宋体" w:hAnsi="宋体" w:eastAsia="宋体" w:cs="宋体"/>
                <w:kern w:val="0"/>
                <w:sz w:val="21"/>
                <w:szCs w:val="21"/>
                <w:highlight w:val="none"/>
              </w:rPr>
            </w:pPr>
          </w:p>
        </w:tc>
        <w:tc>
          <w:tcPr>
            <w:tcW w:w="972"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sz w:val="21"/>
                <w:szCs w:val="21"/>
                <w:highlight w:val="none"/>
                <w:lang w:eastAsia="zh-CN"/>
              </w:rPr>
            </w:pPr>
          </w:p>
        </w:tc>
        <w:tc>
          <w:tcPr>
            <w:tcW w:w="1400"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color w:val="000000"/>
                <w:sz w:val="21"/>
                <w:szCs w:val="21"/>
                <w:highlight w:val="none"/>
              </w:rPr>
            </w:pPr>
          </w:p>
        </w:tc>
        <w:tc>
          <w:tcPr>
            <w:tcW w:w="2483"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rPr>
                <w:rFonts w:hint="eastAsia" w:ascii="宋体" w:hAnsi="宋体" w:eastAsia="宋体" w:cs="宋体"/>
                <w:color w:val="000000"/>
                <w:sz w:val="21"/>
                <w:szCs w:val="21"/>
                <w:highlight w:val="none"/>
              </w:rPr>
            </w:pPr>
          </w:p>
        </w:tc>
      </w:tr>
      <w:tr>
        <w:tblPrEx>
          <w:tblCellMar>
            <w:top w:w="0" w:type="dxa"/>
            <w:left w:w="108" w:type="dxa"/>
            <w:bottom w:w="0" w:type="dxa"/>
            <w:right w:w="108" w:type="dxa"/>
          </w:tblCellMar>
        </w:tblPrEx>
        <w:trPr>
          <w:trHeight w:val="397" w:hRule="atLeast"/>
        </w:trPr>
        <w:tc>
          <w:tcPr>
            <w:tcW w:w="795" w:type="dxa"/>
            <w:tcBorders>
              <w:top w:val="nil"/>
              <w:left w:val="single" w:color="auto" w:sz="8" w:space="0"/>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p>
        </w:tc>
        <w:tc>
          <w:tcPr>
            <w:tcW w:w="299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right="0"/>
              <w:jc w:val="left"/>
              <w:rPr>
                <w:rFonts w:hint="eastAsia" w:ascii="宋体" w:hAnsi="宋体" w:eastAsia="宋体" w:cs="宋体"/>
                <w:kern w:val="0"/>
                <w:sz w:val="21"/>
                <w:szCs w:val="21"/>
                <w:highlight w:val="none"/>
                <w:lang w:eastAsia="zh-CN"/>
              </w:rPr>
            </w:pPr>
            <w:r>
              <w:rPr>
                <w:rFonts w:hint="eastAsia" w:ascii="宋体" w:hAnsi="宋体" w:eastAsia="宋体" w:cs="宋体"/>
                <w:sz w:val="21"/>
                <w:szCs w:val="21"/>
                <w:highlight w:val="none"/>
              </w:rPr>
              <w:t>220kV电力电缆</w:t>
            </w:r>
          </w:p>
        </w:tc>
        <w:tc>
          <w:tcPr>
            <w:tcW w:w="1142"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bidi w:val="0"/>
              <w:snapToGrid w:val="0"/>
              <w:spacing w:before="0" w:beforeAutospacing="0" w:after="0" w:afterAutospacing="0" w:line="360" w:lineRule="auto"/>
              <w:ind w:left="0" w:right="0"/>
              <w:jc w:val="center"/>
              <w:rPr>
                <w:rFonts w:hint="eastAsia" w:ascii="宋体" w:hAnsi="宋体" w:eastAsia="宋体" w:cs="宋体"/>
                <w:kern w:val="0"/>
                <w:sz w:val="21"/>
                <w:szCs w:val="21"/>
                <w:highlight w:val="none"/>
              </w:rPr>
            </w:pPr>
          </w:p>
        </w:tc>
        <w:tc>
          <w:tcPr>
            <w:tcW w:w="972"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米</w:t>
            </w:r>
          </w:p>
        </w:tc>
        <w:tc>
          <w:tcPr>
            <w:tcW w:w="1400"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firstLine="105" w:firstLineChars="5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自行计算</w:t>
            </w:r>
          </w:p>
        </w:tc>
        <w:tc>
          <w:tcPr>
            <w:tcW w:w="2483" w:type="dxa"/>
            <w:tcBorders>
              <w:top w:val="nil"/>
              <w:left w:val="nil"/>
              <w:bottom w:val="single" w:color="auto" w:sz="4" w:space="0"/>
              <w:right w:val="single" w:color="auto" w:sz="4" w:space="0"/>
            </w:tcBorders>
          </w:tcPr>
          <w:p>
            <w:pPr>
              <w:keepNext w:val="0"/>
              <w:keepLines w:val="0"/>
              <w:pageBreakBefore w:val="0"/>
              <w:suppressLineNumbers w:val="0"/>
              <w:kinsoku/>
              <w:wordWrap/>
              <w:overflowPunct/>
              <w:topLinePunct w:val="0"/>
              <w:bidi w:val="0"/>
              <w:spacing w:before="0" w:beforeAutospacing="0" w:after="0" w:afterAutospacing="0" w:line="360" w:lineRule="auto"/>
              <w:ind w:left="0" w:right="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电力建设工程装置性材料预算价（201</w:t>
            </w:r>
            <w:r>
              <w:rPr>
                <w:rFonts w:hint="eastAsia" w:ascii="宋体" w:hAnsi="宋体" w:eastAsia="宋体" w:cs="宋体"/>
                <w:color w:val="000000"/>
                <w:sz w:val="21"/>
                <w:szCs w:val="21"/>
                <w:highlight w:val="none"/>
                <w:lang w:val="en-US" w:eastAsia="zh-CN"/>
              </w:rPr>
              <w:t>8</w:t>
            </w:r>
            <w:r>
              <w:rPr>
                <w:rFonts w:hint="eastAsia" w:ascii="宋体" w:hAnsi="宋体" w:eastAsia="宋体" w:cs="宋体"/>
                <w:color w:val="000000"/>
                <w:sz w:val="21"/>
                <w:szCs w:val="21"/>
                <w:highlight w:val="none"/>
              </w:rPr>
              <w:t>年版）</w:t>
            </w:r>
          </w:p>
        </w:tc>
      </w:tr>
      <w:tr>
        <w:tblPrEx>
          <w:tblCellMar>
            <w:top w:w="0" w:type="dxa"/>
            <w:left w:w="108" w:type="dxa"/>
            <w:bottom w:w="0" w:type="dxa"/>
            <w:right w:w="108" w:type="dxa"/>
          </w:tblCellMar>
        </w:tblPrEx>
        <w:trPr>
          <w:trHeight w:val="397" w:hRule="atLeast"/>
        </w:trPr>
        <w:tc>
          <w:tcPr>
            <w:tcW w:w="795" w:type="dxa"/>
            <w:tcBorders>
              <w:top w:val="nil"/>
              <w:left w:val="single" w:color="auto" w:sz="8" w:space="0"/>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w:t>
            </w:r>
          </w:p>
        </w:tc>
        <w:tc>
          <w:tcPr>
            <w:tcW w:w="2990"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rPr>
                <w:rFonts w:hint="eastAsia" w:ascii="宋体" w:hAnsi="宋体" w:eastAsia="宋体" w:cs="宋体"/>
                <w:kern w:val="0"/>
                <w:sz w:val="21"/>
                <w:szCs w:val="21"/>
                <w:highlight w:val="none"/>
                <w:lang w:eastAsia="zh-CN"/>
              </w:rPr>
            </w:pPr>
            <w:r>
              <w:rPr>
                <w:rFonts w:hint="eastAsia" w:ascii="宋体" w:hAnsi="宋体" w:eastAsia="宋体" w:cs="宋体"/>
                <w:b w:val="0"/>
                <w:bCs w:val="0"/>
                <w:color w:val="auto"/>
                <w:sz w:val="21"/>
                <w:szCs w:val="21"/>
                <w:highlight w:val="none"/>
                <w:lang w:val="en-US" w:eastAsia="zh-CN"/>
              </w:rPr>
              <w:t>220kV电缆头</w:t>
            </w:r>
          </w:p>
        </w:tc>
        <w:tc>
          <w:tcPr>
            <w:tcW w:w="1142"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kern w:val="0"/>
                <w:sz w:val="21"/>
                <w:szCs w:val="21"/>
                <w:highlight w:val="none"/>
              </w:rPr>
            </w:pPr>
          </w:p>
        </w:tc>
        <w:tc>
          <w:tcPr>
            <w:tcW w:w="972"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个</w:t>
            </w:r>
          </w:p>
        </w:tc>
        <w:tc>
          <w:tcPr>
            <w:tcW w:w="1400"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firstLine="105" w:firstLineChars="5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自行计算</w:t>
            </w:r>
          </w:p>
        </w:tc>
        <w:tc>
          <w:tcPr>
            <w:tcW w:w="2483" w:type="dxa"/>
            <w:tcBorders>
              <w:top w:val="nil"/>
              <w:left w:val="nil"/>
              <w:bottom w:val="single" w:color="auto" w:sz="4" w:space="0"/>
              <w:right w:val="single" w:color="auto" w:sz="4" w:space="0"/>
            </w:tcBorders>
          </w:tcPr>
          <w:p>
            <w:pPr>
              <w:keepNext w:val="0"/>
              <w:keepLines w:val="0"/>
              <w:pageBreakBefore w:val="0"/>
              <w:suppressLineNumbers w:val="0"/>
              <w:kinsoku/>
              <w:wordWrap/>
              <w:overflowPunct/>
              <w:topLinePunct w:val="0"/>
              <w:bidi w:val="0"/>
              <w:spacing w:before="0" w:beforeAutospacing="0" w:after="0" w:afterAutospacing="0" w:line="360" w:lineRule="auto"/>
              <w:ind w:left="0" w:right="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电力建设工程装置性材料预算价（201</w:t>
            </w:r>
            <w:r>
              <w:rPr>
                <w:rFonts w:hint="eastAsia" w:ascii="宋体" w:hAnsi="宋体" w:eastAsia="宋体" w:cs="宋体"/>
                <w:color w:val="000000"/>
                <w:sz w:val="21"/>
                <w:szCs w:val="21"/>
                <w:highlight w:val="none"/>
                <w:lang w:val="en-US" w:eastAsia="zh-CN"/>
              </w:rPr>
              <w:t>8</w:t>
            </w:r>
            <w:r>
              <w:rPr>
                <w:rFonts w:hint="eastAsia" w:ascii="宋体" w:hAnsi="宋体" w:eastAsia="宋体" w:cs="宋体"/>
                <w:color w:val="000000"/>
                <w:sz w:val="21"/>
                <w:szCs w:val="21"/>
                <w:highlight w:val="none"/>
              </w:rPr>
              <w:t>年版）</w:t>
            </w:r>
          </w:p>
        </w:tc>
      </w:tr>
      <w:tr>
        <w:tblPrEx>
          <w:tblCellMar>
            <w:top w:w="0" w:type="dxa"/>
            <w:left w:w="108" w:type="dxa"/>
            <w:bottom w:w="0" w:type="dxa"/>
            <w:right w:w="108" w:type="dxa"/>
          </w:tblCellMar>
        </w:tblPrEx>
        <w:trPr>
          <w:trHeight w:val="397" w:hRule="atLeast"/>
        </w:trPr>
        <w:tc>
          <w:tcPr>
            <w:tcW w:w="795" w:type="dxa"/>
            <w:tcBorders>
              <w:top w:val="nil"/>
              <w:left w:val="single" w:color="auto" w:sz="8" w:space="0"/>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w:t>
            </w:r>
          </w:p>
        </w:tc>
        <w:tc>
          <w:tcPr>
            <w:tcW w:w="2990"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rPr>
                <w:rFonts w:hint="eastAsia" w:ascii="宋体" w:hAnsi="宋体" w:eastAsia="宋体" w:cs="宋体"/>
                <w:sz w:val="21"/>
                <w:szCs w:val="21"/>
                <w:highlight w:val="none"/>
              </w:rPr>
            </w:pPr>
            <w:r>
              <w:rPr>
                <w:rFonts w:hint="eastAsia" w:ascii="宋体" w:hAnsi="宋体" w:eastAsia="宋体" w:cs="宋体"/>
                <w:b w:val="0"/>
                <w:bCs w:val="0"/>
                <w:color w:val="auto"/>
                <w:sz w:val="21"/>
                <w:szCs w:val="21"/>
                <w:highlight w:val="none"/>
                <w:lang w:val="en-US" w:eastAsia="zh-CN"/>
              </w:rPr>
              <w:t>接地回流线</w:t>
            </w:r>
          </w:p>
        </w:tc>
        <w:tc>
          <w:tcPr>
            <w:tcW w:w="1142"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kern w:val="0"/>
                <w:sz w:val="21"/>
                <w:szCs w:val="21"/>
                <w:highlight w:val="none"/>
              </w:rPr>
            </w:pPr>
          </w:p>
        </w:tc>
        <w:tc>
          <w:tcPr>
            <w:tcW w:w="972"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米</w:t>
            </w:r>
          </w:p>
        </w:tc>
        <w:tc>
          <w:tcPr>
            <w:tcW w:w="1400"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firstLine="105" w:firstLineChars="50"/>
              <w:jc w:val="center"/>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自行计算</w:t>
            </w:r>
          </w:p>
        </w:tc>
        <w:tc>
          <w:tcPr>
            <w:tcW w:w="2483" w:type="dxa"/>
            <w:tcBorders>
              <w:top w:val="nil"/>
              <w:left w:val="nil"/>
              <w:bottom w:val="single" w:color="auto" w:sz="4" w:space="0"/>
              <w:right w:val="single" w:color="auto" w:sz="4" w:space="0"/>
            </w:tcBorders>
          </w:tcPr>
          <w:p>
            <w:pPr>
              <w:keepNext w:val="0"/>
              <w:keepLines w:val="0"/>
              <w:pageBreakBefore w:val="0"/>
              <w:suppressLineNumbers w:val="0"/>
              <w:kinsoku/>
              <w:wordWrap/>
              <w:overflowPunct/>
              <w:topLinePunct w:val="0"/>
              <w:bidi w:val="0"/>
              <w:spacing w:before="0" w:beforeAutospacing="0" w:after="0" w:afterAutospacing="0" w:line="360" w:lineRule="auto"/>
              <w:ind w:left="0" w:right="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电力建设工程装置性材料预算价（201</w:t>
            </w:r>
            <w:r>
              <w:rPr>
                <w:rFonts w:hint="eastAsia" w:ascii="宋体" w:hAnsi="宋体" w:eastAsia="宋体" w:cs="宋体"/>
                <w:color w:val="000000"/>
                <w:sz w:val="21"/>
                <w:szCs w:val="21"/>
                <w:highlight w:val="none"/>
                <w:lang w:val="en-US" w:eastAsia="zh-CN"/>
              </w:rPr>
              <w:t>8</w:t>
            </w:r>
            <w:r>
              <w:rPr>
                <w:rFonts w:hint="eastAsia" w:ascii="宋体" w:hAnsi="宋体" w:eastAsia="宋体" w:cs="宋体"/>
                <w:color w:val="000000"/>
                <w:sz w:val="21"/>
                <w:szCs w:val="21"/>
                <w:highlight w:val="none"/>
              </w:rPr>
              <w:t>年版）</w:t>
            </w:r>
          </w:p>
        </w:tc>
      </w:tr>
      <w:tr>
        <w:tblPrEx>
          <w:tblCellMar>
            <w:top w:w="0" w:type="dxa"/>
            <w:left w:w="108" w:type="dxa"/>
            <w:bottom w:w="0" w:type="dxa"/>
            <w:right w:w="108" w:type="dxa"/>
          </w:tblCellMar>
        </w:tblPrEx>
        <w:trPr>
          <w:cantSplit/>
          <w:trHeight w:val="335" w:hRule="atLeast"/>
        </w:trPr>
        <w:tc>
          <w:tcPr>
            <w:tcW w:w="795" w:type="dxa"/>
            <w:tcBorders>
              <w:top w:val="nil"/>
              <w:left w:val="single" w:color="auto" w:sz="8" w:space="0"/>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w:t>
            </w:r>
          </w:p>
        </w:tc>
        <w:tc>
          <w:tcPr>
            <w:tcW w:w="2990"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rPr>
              <w:t>光缆及光缆金具（不含PVC管、镀锌钢管、构架引下固定抱箍）</w:t>
            </w:r>
          </w:p>
        </w:tc>
        <w:tc>
          <w:tcPr>
            <w:tcW w:w="1142"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bidi w:val="0"/>
              <w:snapToGrid w:val="0"/>
              <w:spacing w:before="0" w:beforeAutospacing="0" w:after="0" w:afterAutospacing="0" w:line="360" w:lineRule="auto"/>
              <w:ind w:left="0" w:right="0"/>
              <w:jc w:val="center"/>
              <w:rPr>
                <w:rFonts w:hint="eastAsia" w:ascii="宋体" w:hAnsi="宋体" w:eastAsia="宋体" w:cs="宋体"/>
                <w:kern w:val="0"/>
                <w:sz w:val="21"/>
                <w:szCs w:val="21"/>
                <w:highlight w:val="none"/>
              </w:rPr>
            </w:pPr>
          </w:p>
        </w:tc>
        <w:tc>
          <w:tcPr>
            <w:tcW w:w="972"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firstLine="308" w:firstLineChars="147"/>
              <w:rPr>
                <w:rFonts w:hint="eastAsia" w:ascii="宋体" w:hAnsi="宋体" w:eastAsia="宋体" w:cs="宋体"/>
                <w:sz w:val="21"/>
                <w:szCs w:val="21"/>
                <w:highlight w:val="none"/>
              </w:rPr>
            </w:pPr>
          </w:p>
        </w:tc>
        <w:tc>
          <w:tcPr>
            <w:tcW w:w="1400"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firstLine="105" w:firstLineChars="50"/>
              <w:jc w:val="center"/>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自行计算</w:t>
            </w:r>
          </w:p>
        </w:tc>
        <w:tc>
          <w:tcPr>
            <w:tcW w:w="2483" w:type="dxa"/>
            <w:tcBorders>
              <w:top w:val="nil"/>
              <w:left w:val="nil"/>
              <w:bottom w:val="single" w:color="auto" w:sz="4" w:space="0"/>
              <w:right w:val="single" w:color="auto" w:sz="4" w:space="0"/>
            </w:tcBorders>
          </w:tcPr>
          <w:p>
            <w:pPr>
              <w:keepNext w:val="0"/>
              <w:keepLines w:val="0"/>
              <w:pageBreakBefore w:val="0"/>
              <w:suppressLineNumbers w:val="0"/>
              <w:kinsoku/>
              <w:wordWrap/>
              <w:overflowPunct/>
              <w:topLinePunct w:val="0"/>
              <w:bidi w:val="0"/>
              <w:spacing w:before="0" w:beforeAutospacing="0" w:after="0" w:afterAutospacing="0" w:line="360" w:lineRule="auto"/>
              <w:ind w:left="0" w:right="0"/>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电力建设工程装置性材料预算价（201</w:t>
            </w:r>
            <w:r>
              <w:rPr>
                <w:rFonts w:hint="eastAsia" w:ascii="宋体" w:hAnsi="宋体" w:eastAsia="宋体" w:cs="宋体"/>
                <w:color w:val="000000"/>
                <w:sz w:val="21"/>
                <w:szCs w:val="21"/>
                <w:highlight w:val="none"/>
                <w:lang w:val="en-US" w:eastAsia="zh-CN"/>
              </w:rPr>
              <w:t>8</w:t>
            </w:r>
            <w:r>
              <w:rPr>
                <w:rFonts w:hint="eastAsia" w:ascii="宋体" w:hAnsi="宋体" w:eastAsia="宋体" w:cs="宋体"/>
                <w:color w:val="000000"/>
                <w:sz w:val="21"/>
                <w:szCs w:val="21"/>
                <w:highlight w:val="none"/>
              </w:rPr>
              <w:t>年版）</w:t>
            </w:r>
          </w:p>
        </w:tc>
      </w:tr>
      <w:tr>
        <w:tblPrEx>
          <w:tblCellMar>
            <w:top w:w="0" w:type="dxa"/>
            <w:left w:w="108" w:type="dxa"/>
            <w:bottom w:w="0" w:type="dxa"/>
            <w:right w:w="108" w:type="dxa"/>
          </w:tblCellMar>
        </w:tblPrEx>
        <w:trPr>
          <w:cantSplit/>
          <w:trHeight w:val="335" w:hRule="atLeast"/>
        </w:trPr>
        <w:tc>
          <w:tcPr>
            <w:tcW w:w="795" w:type="dxa"/>
            <w:tcBorders>
              <w:top w:val="nil"/>
              <w:left w:val="single" w:color="auto" w:sz="8" w:space="0"/>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w:t>
            </w:r>
          </w:p>
        </w:tc>
        <w:tc>
          <w:tcPr>
            <w:tcW w:w="2990"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rPr>
              <w:t>电缆支架、电缆桥架、电缆沟盖板（复合材料）</w:t>
            </w:r>
          </w:p>
        </w:tc>
        <w:tc>
          <w:tcPr>
            <w:tcW w:w="1142"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bidi w:val="0"/>
              <w:snapToGrid w:val="0"/>
              <w:spacing w:before="0" w:beforeAutospacing="0" w:after="0" w:afterAutospacing="0" w:line="360" w:lineRule="auto"/>
              <w:ind w:left="0" w:right="0"/>
              <w:jc w:val="center"/>
              <w:rPr>
                <w:rFonts w:hint="eastAsia" w:ascii="宋体" w:hAnsi="宋体" w:eastAsia="宋体" w:cs="宋体"/>
                <w:kern w:val="0"/>
                <w:sz w:val="21"/>
                <w:szCs w:val="21"/>
                <w:highlight w:val="none"/>
              </w:rPr>
            </w:pPr>
          </w:p>
        </w:tc>
        <w:tc>
          <w:tcPr>
            <w:tcW w:w="972"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firstLine="308" w:firstLineChars="147"/>
              <w:rPr>
                <w:rFonts w:hint="eastAsia" w:ascii="宋体" w:hAnsi="宋体" w:eastAsia="宋体" w:cs="宋体"/>
                <w:sz w:val="21"/>
                <w:szCs w:val="21"/>
                <w:highlight w:val="none"/>
              </w:rPr>
            </w:pPr>
          </w:p>
        </w:tc>
        <w:tc>
          <w:tcPr>
            <w:tcW w:w="1400"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firstLine="105" w:firstLineChars="50"/>
              <w:jc w:val="center"/>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自行计算</w:t>
            </w:r>
          </w:p>
        </w:tc>
        <w:tc>
          <w:tcPr>
            <w:tcW w:w="2483" w:type="dxa"/>
            <w:tcBorders>
              <w:top w:val="nil"/>
              <w:left w:val="nil"/>
              <w:bottom w:val="single" w:color="auto" w:sz="4" w:space="0"/>
              <w:right w:val="single" w:color="auto" w:sz="4" w:space="0"/>
            </w:tcBorders>
          </w:tcPr>
          <w:p>
            <w:pPr>
              <w:keepNext w:val="0"/>
              <w:keepLines w:val="0"/>
              <w:pageBreakBefore w:val="0"/>
              <w:suppressLineNumbers w:val="0"/>
              <w:kinsoku/>
              <w:wordWrap/>
              <w:overflowPunct/>
              <w:topLinePunct w:val="0"/>
              <w:bidi w:val="0"/>
              <w:spacing w:before="0" w:beforeAutospacing="0" w:after="0" w:afterAutospacing="0" w:line="360" w:lineRule="auto"/>
              <w:ind w:left="0" w:right="0"/>
              <w:rPr>
                <w:rFonts w:hint="eastAsia" w:ascii="宋体" w:hAnsi="宋体" w:eastAsia="宋体" w:cs="宋体"/>
                <w:sz w:val="21"/>
                <w:szCs w:val="21"/>
                <w:highlight w:val="none"/>
                <w:lang w:eastAsia="zh-CN"/>
              </w:rPr>
            </w:pPr>
            <w:r>
              <w:rPr>
                <w:rFonts w:hint="eastAsia" w:ascii="宋体" w:hAnsi="宋体" w:eastAsia="宋体" w:cs="宋体"/>
                <w:color w:val="000000"/>
                <w:sz w:val="21"/>
                <w:szCs w:val="21"/>
                <w:highlight w:val="none"/>
              </w:rPr>
              <w:t>电力建设工程装置性材料预算价（201</w:t>
            </w:r>
            <w:r>
              <w:rPr>
                <w:rFonts w:hint="eastAsia" w:ascii="宋体" w:hAnsi="宋体" w:eastAsia="宋体" w:cs="宋体"/>
                <w:color w:val="000000"/>
                <w:sz w:val="21"/>
                <w:szCs w:val="21"/>
                <w:highlight w:val="none"/>
                <w:lang w:val="en-US" w:eastAsia="zh-CN"/>
              </w:rPr>
              <w:t>8</w:t>
            </w:r>
            <w:r>
              <w:rPr>
                <w:rFonts w:hint="eastAsia" w:ascii="宋体" w:hAnsi="宋体" w:eastAsia="宋体" w:cs="宋体"/>
                <w:color w:val="000000"/>
                <w:sz w:val="21"/>
                <w:szCs w:val="21"/>
                <w:highlight w:val="none"/>
              </w:rPr>
              <w:t>年版）</w:t>
            </w:r>
            <w:r>
              <w:rPr>
                <w:rFonts w:hint="eastAsia" w:ascii="宋体" w:hAnsi="宋体" w:cs="宋体"/>
                <w:color w:val="000000"/>
                <w:sz w:val="21"/>
                <w:szCs w:val="21"/>
                <w:highlight w:val="none"/>
                <w:lang w:eastAsia="zh-CN"/>
              </w:rPr>
              <w:t>，中标施工单位安装。</w:t>
            </w:r>
          </w:p>
        </w:tc>
      </w:tr>
      <w:tr>
        <w:tblPrEx>
          <w:tblCellMar>
            <w:top w:w="0" w:type="dxa"/>
            <w:left w:w="108" w:type="dxa"/>
            <w:bottom w:w="0" w:type="dxa"/>
            <w:right w:w="108" w:type="dxa"/>
          </w:tblCellMar>
        </w:tblPrEx>
        <w:trPr>
          <w:cantSplit/>
          <w:trHeight w:val="335" w:hRule="atLeast"/>
        </w:trPr>
        <w:tc>
          <w:tcPr>
            <w:tcW w:w="795" w:type="dxa"/>
            <w:tcBorders>
              <w:top w:val="nil"/>
              <w:left w:val="single" w:color="auto" w:sz="8" w:space="0"/>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sz w:val="21"/>
                <w:szCs w:val="21"/>
                <w:highlight w:val="none"/>
              </w:rPr>
            </w:pPr>
          </w:p>
        </w:tc>
        <w:tc>
          <w:tcPr>
            <w:tcW w:w="2990"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rPr>
                <w:rFonts w:hint="eastAsia" w:ascii="宋体" w:hAnsi="宋体" w:eastAsia="宋体" w:cs="宋体"/>
                <w:sz w:val="21"/>
                <w:szCs w:val="21"/>
                <w:highlight w:val="none"/>
              </w:rPr>
            </w:pPr>
          </w:p>
        </w:tc>
        <w:tc>
          <w:tcPr>
            <w:tcW w:w="1142"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bidi w:val="0"/>
              <w:snapToGrid w:val="0"/>
              <w:spacing w:before="0" w:beforeAutospacing="0" w:after="0" w:afterAutospacing="0" w:line="360" w:lineRule="auto"/>
              <w:ind w:left="0" w:right="0"/>
              <w:jc w:val="center"/>
              <w:rPr>
                <w:rFonts w:hint="eastAsia" w:ascii="宋体" w:hAnsi="宋体" w:eastAsia="宋体" w:cs="宋体"/>
                <w:kern w:val="0"/>
                <w:sz w:val="21"/>
                <w:szCs w:val="21"/>
                <w:highlight w:val="none"/>
              </w:rPr>
            </w:pPr>
          </w:p>
        </w:tc>
        <w:tc>
          <w:tcPr>
            <w:tcW w:w="972"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firstLine="308" w:firstLineChars="147"/>
              <w:rPr>
                <w:rFonts w:hint="eastAsia" w:ascii="宋体" w:hAnsi="宋体" w:eastAsia="宋体" w:cs="宋体"/>
                <w:sz w:val="21"/>
                <w:szCs w:val="21"/>
                <w:highlight w:val="none"/>
              </w:rPr>
            </w:pPr>
          </w:p>
        </w:tc>
        <w:tc>
          <w:tcPr>
            <w:tcW w:w="1400"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sz w:val="21"/>
                <w:szCs w:val="21"/>
                <w:highlight w:val="none"/>
              </w:rPr>
            </w:pPr>
          </w:p>
        </w:tc>
        <w:tc>
          <w:tcPr>
            <w:tcW w:w="2483"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firstLine="617" w:firstLineChars="294"/>
              <w:jc w:val="right"/>
              <w:rPr>
                <w:rFonts w:hint="eastAsia" w:ascii="宋体" w:hAnsi="宋体" w:eastAsia="宋体" w:cs="宋体"/>
                <w:sz w:val="21"/>
                <w:szCs w:val="21"/>
                <w:highlight w:val="none"/>
              </w:rPr>
            </w:pPr>
          </w:p>
        </w:tc>
      </w:tr>
      <w:tr>
        <w:tblPrEx>
          <w:tblCellMar>
            <w:top w:w="0" w:type="dxa"/>
            <w:left w:w="108" w:type="dxa"/>
            <w:bottom w:w="0" w:type="dxa"/>
            <w:right w:w="108" w:type="dxa"/>
          </w:tblCellMar>
        </w:tblPrEx>
        <w:trPr>
          <w:trHeight w:val="397" w:hRule="atLeast"/>
        </w:trPr>
        <w:tc>
          <w:tcPr>
            <w:tcW w:w="795"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sz w:val="21"/>
                <w:szCs w:val="21"/>
                <w:highlight w:val="none"/>
              </w:rPr>
            </w:pPr>
          </w:p>
        </w:tc>
        <w:tc>
          <w:tcPr>
            <w:tcW w:w="2990"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rPr>
                <w:rFonts w:hint="eastAsia" w:ascii="宋体" w:hAnsi="宋体" w:eastAsia="宋体" w:cs="宋体"/>
                <w:sz w:val="21"/>
                <w:szCs w:val="21"/>
                <w:highlight w:val="none"/>
              </w:rPr>
            </w:pPr>
          </w:p>
        </w:tc>
        <w:tc>
          <w:tcPr>
            <w:tcW w:w="1142"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sz w:val="21"/>
                <w:szCs w:val="21"/>
                <w:highlight w:val="none"/>
              </w:rPr>
            </w:pPr>
          </w:p>
        </w:tc>
        <w:tc>
          <w:tcPr>
            <w:tcW w:w="972"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sz w:val="21"/>
                <w:szCs w:val="21"/>
                <w:highlight w:val="none"/>
              </w:rPr>
            </w:pPr>
          </w:p>
        </w:tc>
        <w:tc>
          <w:tcPr>
            <w:tcW w:w="1400"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firstLine="105" w:firstLineChars="50"/>
              <w:jc w:val="center"/>
              <w:rPr>
                <w:rFonts w:hint="eastAsia" w:ascii="宋体" w:hAnsi="宋体" w:eastAsia="宋体" w:cs="宋体"/>
                <w:sz w:val="21"/>
                <w:szCs w:val="21"/>
                <w:highlight w:val="none"/>
              </w:rPr>
            </w:pPr>
          </w:p>
        </w:tc>
        <w:tc>
          <w:tcPr>
            <w:tcW w:w="2483" w:type="dxa"/>
            <w:tcBorders>
              <w:top w:val="single" w:color="auto" w:sz="6" w:space="0"/>
              <w:left w:val="single" w:color="auto" w:sz="6" w:space="0"/>
              <w:bottom w:val="single" w:color="auto" w:sz="6" w:space="0"/>
              <w:right w:val="single" w:color="auto" w:sz="4" w:space="0"/>
            </w:tcBorders>
          </w:tcPr>
          <w:p>
            <w:pPr>
              <w:keepNext w:val="0"/>
              <w:keepLines w:val="0"/>
              <w:pageBreakBefore w:val="0"/>
              <w:suppressLineNumbers w:val="0"/>
              <w:kinsoku/>
              <w:wordWrap/>
              <w:overflowPunct/>
              <w:topLinePunct w:val="0"/>
              <w:bidi w:val="0"/>
              <w:spacing w:before="0" w:beforeAutospacing="0" w:after="0" w:afterAutospacing="0" w:line="360" w:lineRule="auto"/>
              <w:ind w:left="0" w:right="0"/>
              <w:rPr>
                <w:rFonts w:hint="eastAsia" w:ascii="宋体" w:hAnsi="宋体" w:eastAsia="宋体" w:cs="宋体"/>
                <w:sz w:val="21"/>
                <w:szCs w:val="21"/>
                <w:highlight w:val="none"/>
              </w:rPr>
            </w:pPr>
          </w:p>
        </w:tc>
      </w:tr>
    </w:tbl>
    <w:p>
      <w:pPr>
        <w:keepNext w:val="0"/>
        <w:keepLines w:val="0"/>
        <w:pageBreakBefore w:val="0"/>
        <w:kinsoku/>
        <w:wordWrap/>
        <w:overflowPunct/>
        <w:topLinePunct w:val="0"/>
        <w:bidi w:val="0"/>
        <w:spacing w:line="360" w:lineRule="auto"/>
        <w:rPr>
          <w:rFonts w:hint="eastAsia" w:ascii="宋体" w:hAnsi="宋体" w:eastAsia="宋体" w:cs="宋体"/>
          <w:sz w:val="21"/>
          <w:szCs w:val="21"/>
          <w:highlight w:val="none"/>
        </w:rPr>
      </w:pPr>
    </w:p>
    <w:p>
      <w:pPr>
        <w:keepNext w:val="0"/>
        <w:keepLines w:val="0"/>
        <w:pageBreakBefore w:val="0"/>
        <w:kinsoku/>
        <w:wordWrap/>
        <w:overflowPunct/>
        <w:topLinePunct w:val="0"/>
        <w:bidi w:val="0"/>
        <w:spacing w:line="360" w:lineRule="auto"/>
        <w:jc w:val="center"/>
        <w:rPr>
          <w:rFonts w:hint="eastAsia" w:ascii="宋体" w:hAnsi="宋体" w:eastAsia="宋体" w:cs="宋体"/>
          <w:b/>
          <w:sz w:val="21"/>
          <w:szCs w:val="21"/>
          <w:highlight w:val="none"/>
        </w:rPr>
      </w:pPr>
    </w:p>
    <w:p>
      <w:pPr>
        <w:keepNext w:val="0"/>
        <w:keepLines w:val="0"/>
        <w:pageBreakBefore w:val="0"/>
        <w:kinsoku/>
        <w:wordWrap/>
        <w:overflowPunct/>
        <w:topLinePunct w:val="0"/>
        <w:bidi w:val="0"/>
        <w:spacing w:line="360" w:lineRule="auto"/>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中标人提供的设备、材料清单</w:t>
      </w:r>
    </w:p>
    <w:tbl>
      <w:tblPr>
        <w:tblStyle w:val="13"/>
        <w:tblpPr w:leftFromText="180" w:rightFromText="180" w:vertAnchor="text" w:horzAnchor="page" w:tblpX="1436" w:tblpY="212"/>
        <w:tblW w:w="9854" w:type="dxa"/>
        <w:tblInd w:w="0" w:type="dxa"/>
        <w:tblLayout w:type="fixed"/>
        <w:tblCellMar>
          <w:top w:w="0" w:type="dxa"/>
          <w:left w:w="108" w:type="dxa"/>
          <w:bottom w:w="0" w:type="dxa"/>
          <w:right w:w="108" w:type="dxa"/>
        </w:tblCellMar>
      </w:tblPr>
      <w:tblGrid>
        <w:gridCol w:w="946"/>
        <w:gridCol w:w="2907"/>
        <w:gridCol w:w="1293"/>
        <w:gridCol w:w="867"/>
        <w:gridCol w:w="1400"/>
        <w:gridCol w:w="2441"/>
      </w:tblGrid>
      <w:tr>
        <w:tblPrEx>
          <w:tblCellMar>
            <w:top w:w="0" w:type="dxa"/>
            <w:left w:w="108" w:type="dxa"/>
            <w:bottom w:w="0" w:type="dxa"/>
            <w:right w:w="108" w:type="dxa"/>
          </w:tblCellMar>
        </w:tblPrEx>
        <w:trPr>
          <w:trHeight w:val="397" w:hRule="atLeast"/>
          <w:tblHeader/>
        </w:trPr>
        <w:tc>
          <w:tcPr>
            <w:tcW w:w="946" w:type="dxa"/>
            <w:tcBorders>
              <w:top w:val="single" w:color="auto" w:sz="8" w:space="0"/>
              <w:left w:val="single" w:color="auto" w:sz="8"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序号</w:t>
            </w:r>
          </w:p>
        </w:tc>
        <w:tc>
          <w:tcPr>
            <w:tcW w:w="2907" w:type="dxa"/>
            <w:tcBorders>
              <w:top w:val="single" w:color="auto" w:sz="8" w:space="0"/>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设备、材料名称</w:t>
            </w:r>
          </w:p>
        </w:tc>
        <w:tc>
          <w:tcPr>
            <w:tcW w:w="1293" w:type="dxa"/>
            <w:tcBorders>
              <w:top w:val="single" w:color="auto" w:sz="8" w:space="0"/>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规格型号</w:t>
            </w:r>
          </w:p>
        </w:tc>
        <w:tc>
          <w:tcPr>
            <w:tcW w:w="867" w:type="dxa"/>
            <w:tcBorders>
              <w:top w:val="single" w:color="auto" w:sz="8" w:space="0"/>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单位</w:t>
            </w:r>
          </w:p>
        </w:tc>
        <w:tc>
          <w:tcPr>
            <w:tcW w:w="1400" w:type="dxa"/>
            <w:tcBorders>
              <w:top w:val="single" w:color="auto" w:sz="8" w:space="0"/>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数量</w:t>
            </w:r>
          </w:p>
        </w:tc>
        <w:tc>
          <w:tcPr>
            <w:tcW w:w="2441" w:type="dxa"/>
            <w:tcBorders>
              <w:top w:val="single" w:color="auto" w:sz="8" w:space="0"/>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单价（元）</w:t>
            </w: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一</w:t>
            </w:r>
          </w:p>
        </w:tc>
        <w:tc>
          <w:tcPr>
            <w:tcW w:w="2907"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rPr>
              <w:t>设备部分</w:t>
            </w:r>
          </w:p>
        </w:tc>
        <w:tc>
          <w:tcPr>
            <w:tcW w:w="129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bidi w:val="0"/>
              <w:snapToGrid w:val="0"/>
              <w:spacing w:before="0" w:beforeAutospacing="0" w:after="0" w:afterAutospacing="0" w:line="360" w:lineRule="auto"/>
              <w:ind w:left="0" w:right="0"/>
              <w:jc w:val="center"/>
              <w:rPr>
                <w:rFonts w:hint="eastAsia" w:ascii="宋体" w:hAnsi="宋体" w:eastAsia="宋体" w:cs="宋体"/>
                <w:kern w:val="0"/>
                <w:sz w:val="21"/>
                <w:szCs w:val="21"/>
                <w:highlight w:val="none"/>
              </w:rPr>
            </w:pPr>
          </w:p>
        </w:tc>
        <w:tc>
          <w:tcPr>
            <w:tcW w:w="867"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sz w:val="21"/>
                <w:szCs w:val="21"/>
                <w:highlight w:val="none"/>
              </w:rPr>
            </w:pPr>
          </w:p>
        </w:tc>
        <w:tc>
          <w:tcPr>
            <w:tcW w:w="1400"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sz w:val="21"/>
                <w:szCs w:val="21"/>
                <w:highlight w:val="none"/>
              </w:rPr>
            </w:pPr>
          </w:p>
        </w:tc>
        <w:tc>
          <w:tcPr>
            <w:tcW w:w="244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right="0"/>
              <w:jc w:val="right"/>
              <w:rPr>
                <w:rFonts w:hint="eastAsia" w:ascii="宋体" w:hAnsi="宋体" w:eastAsia="宋体" w:cs="宋体"/>
                <w:sz w:val="21"/>
                <w:szCs w:val="21"/>
                <w:highlight w:val="none"/>
              </w:rPr>
            </w:pP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p>
        </w:tc>
        <w:tc>
          <w:tcPr>
            <w:tcW w:w="2907"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rPr>
                <w:rFonts w:hint="eastAsia" w:ascii="宋体" w:hAnsi="宋体" w:eastAsia="宋体" w:cs="宋体"/>
                <w:sz w:val="21"/>
                <w:szCs w:val="21"/>
                <w:highlight w:val="none"/>
              </w:rPr>
            </w:pPr>
            <w:r>
              <w:rPr>
                <w:rFonts w:hint="eastAsia" w:ascii="宋体" w:hAnsi="宋体" w:eastAsia="宋体" w:cs="宋体"/>
                <w:i w:val="0"/>
                <w:color w:val="auto"/>
                <w:kern w:val="0"/>
                <w:sz w:val="21"/>
                <w:szCs w:val="21"/>
                <w:highlight w:val="none"/>
                <w:u w:val="none"/>
                <w:lang w:val="en-US" w:eastAsia="zh-CN"/>
              </w:rPr>
              <w:t>除甲供设备以外的其他设备</w:t>
            </w:r>
          </w:p>
        </w:tc>
        <w:tc>
          <w:tcPr>
            <w:tcW w:w="129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bidi w:val="0"/>
              <w:snapToGrid w:val="0"/>
              <w:spacing w:before="0" w:beforeAutospacing="0" w:after="0" w:afterAutospacing="0" w:line="360" w:lineRule="auto"/>
              <w:ind w:left="0" w:right="0"/>
              <w:jc w:val="center"/>
              <w:rPr>
                <w:rFonts w:hint="eastAsia" w:ascii="宋体" w:hAnsi="宋体" w:eastAsia="宋体" w:cs="宋体"/>
                <w:kern w:val="0"/>
                <w:sz w:val="21"/>
                <w:szCs w:val="21"/>
                <w:highlight w:val="none"/>
              </w:rPr>
            </w:pPr>
          </w:p>
        </w:tc>
        <w:tc>
          <w:tcPr>
            <w:tcW w:w="867"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sz w:val="21"/>
                <w:szCs w:val="21"/>
                <w:highlight w:val="none"/>
              </w:rPr>
            </w:pPr>
          </w:p>
        </w:tc>
        <w:tc>
          <w:tcPr>
            <w:tcW w:w="1400"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sz w:val="21"/>
                <w:szCs w:val="21"/>
                <w:highlight w:val="none"/>
              </w:rPr>
            </w:pPr>
          </w:p>
        </w:tc>
        <w:tc>
          <w:tcPr>
            <w:tcW w:w="244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right="0"/>
              <w:jc w:val="right"/>
              <w:rPr>
                <w:rFonts w:hint="eastAsia" w:ascii="宋体" w:hAnsi="宋体" w:eastAsia="宋体" w:cs="宋体"/>
                <w:sz w:val="21"/>
                <w:szCs w:val="21"/>
                <w:highlight w:val="none"/>
              </w:rPr>
            </w:pPr>
          </w:p>
        </w:tc>
      </w:tr>
      <w:tr>
        <w:tblPrEx>
          <w:tblCellMar>
            <w:top w:w="0" w:type="dxa"/>
            <w:left w:w="108" w:type="dxa"/>
            <w:bottom w:w="0" w:type="dxa"/>
            <w:right w:w="108" w:type="dxa"/>
          </w:tblCellMar>
        </w:tblPrEx>
        <w:trPr>
          <w:cantSplit/>
          <w:trHeight w:val="397" w:hRule="atLeast"/>
        </w:trPr>
        <w:tc>
          <w:tcPr>
            <w:tcW w:w="946" w:type="dxa"/>
            <w:tcBorders>
              <w:top w:val="nil"/>
              <w:left w:val="single" w:color="auto" w:sz="8" w:space="0"/>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二</w:t>
            </w:r>
          </w:p>
        </w:tc>
        <w:tc>
          <w:tcPr>
            <w:tcW w:w="2907"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napToGrid w:val="0"/>
              <w:spacing w:before="0" w:beforeAutospacing="0" w:after="0" w:afterAutospacing="0" w:line="360" w:lineRule="auto"/>
              <w:ind w:left="0" w:right="0"/>
              <w:rPr>
                <w:rFonts w:hint="eastAsia" w:ascii="宋体" w:hAnsi="宋体" w:eastAsia="宋体" w:cs="宋体"/>
                <w:sz w:val="21"/>
                <w:szCs w:val="21"/>
                <w:highlight w:val="none"/>
              </w:rPr>
            </w:pPr>
            <w:r>
              <w:rPr>
                <w:rFonts w:hint="eastAsia" w:ascii="宋体" w:hAnsi="宋体" w:eastAsia="宋体" w:cs="宋体"/>
                <w:sz w:val="21"/>
                <w:szCs w:val="21"/>
                <w:highlight w:val="none"/>
              </w:rPr>
              <w:t>材料部分</w:t>
            </w:r>
          </w:p>
        </w:tc>
        <w:tc>
          <w:tcPr>
            <w:tcW w:w="129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bidi w:val="0"/>
              <w:snapToGrid w:val="0"/>
              <w:spacing w:before="0" w:beforeAutospacing="0" w:after="0" w:afterAutospacing="0" w:line="360" w:lineRule="auto"/>
              <w:ind w:left="0" w:right="0"/>
              <w:jc w:val="center"/>
              <w:rPr>
                <w:rFonts w:hint="eastAsia" w:ascii="宋体" w:hAnsi="宋体" w:eastAsia="宋体" w:cs="宋体"/>
                <w:kern w:val="0"/>
                <w:sz w:val="21"/>
                <w:szCs w:val="21"/>
                <w:highlight w:val="none"/>
              </w:rPr>
            </w:pPr>
          </w:p>
        </w:tc>
        <w:tc>
          <w:tcPr>
            <w:tcW w:w="867"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firstLine="308" w:firstLineChars="147"/>
              <w:rPr>
                <w:rFonts w:hint="eastAsia" w:ascii="宋体" w:hAnsi="宋体" w:eastAsia="宋体" w:cs="宋体"/>
                <w:sz w:val="21"/>
                <w:szCs w:val="21"/>
                <w:highlight w:val="none"/>
              </w:rPr>
            </w:pPr>
          </w:p>
        </w:tc>
        <w:tc>
          <w:tcPr>
            <w:tcW w:w="1400"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sz w:val="21"/>
                <w:szCs w:val="21"/>
                <w:highlight w:val="none"/>
              </w:rPr>
            </w:pPr>
          </w:p>
        </w:tc>
        <w:tc>
          <w:tcPr>
            <w:tcW w:w="2441"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firstLine="617" w:firstLineChars="294"/>
              <w:jc w:val="right"/>
              <w:rPr>
                <w:rFonts w:hint="eastAsia" w:ascii="宋体" w:hAnsi="宋体" w:eastAsia="宋体" w:cs="宋体"/>
                <w:sz w:val="21"/>
                <w:szCs w:val="21"/>
                <w:highlight w:val="none"/>
              </w:rPr>
            </w:pP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p>
        </w:tc>
        <w:tc>
          <w:tcPr>
            <w:tcW w:w="2907"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napToGrid w:val="0"/>
              <w:spacing w:before="0" w:beforeAutospacing="0" w:after="0" w:afterAutospacing="0" w:line="360" w:lineRule="auto"/>
              <w:ind w:left="0" w:right="0"/>
              <w:rPr>
                <w:rFonts w:hint="eastAsia" w:ascii="宋体" w:hAnsi="宋体" w:eastAsia="宋体" w:cs="宋体"/>
                <w:sz w:val="21"/>
                <w:szCs w:val="21"/>
                <w:highlight w:val="none"/>
                <w:lang w:eastAsia="zh-CN"/>
              </w:rPr>
            </w:pPr>
            <w:r>
              <w:rPr>
                <w:rFonts w:hint="eastAsia" w:ascii="宋体" w:hAnsi="宋体" w:eastAsia="宋体" w:cs="宋体"/>
                <w:i w:val="0"/>
                <w:color w:val="auto"/>
                <w:kern w:val="0"/>
                <w:sz w:val="21"/>
                <w:szCs w:val="21"/>
                <w:highlight w:val="none"/>
                <w:u w:val="none"/>
                <w:lang w:val="en-US" w:eastAsia="zh-CN"/>
              </w:rPr>
              <w:t>除甲供材料以外的其他材料</w:t>
            </w:r>
          </w:p>
        </w:tc>
        <w:tc>
          <w:tcPr>
            <w:tcW w:w="129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bidi w:val="0"/>
              <w:snapToGrid w:val="0"/>
              <w:spacing w:before="0" w:beforeAutospacing="0" w:after="0" w:afterAutospacing="0" w:line="360" w:lineRule="auto"/>
              <w:ind w:left="0" w:right="0"/>
              <w:jc w:val="center"/>
              <w:rPr>
                <w:rFonts w:hint="eastAsia" w:ascii="宋体" w:hAnsi="宋体" w:eastAsia="宋体" w:cs="宋体"/>
                <w:kern w:val="0"/>
                <w:sz w:val="21"/>
                <w:szCs w:val="21"/>
                <w:highlight w:val="none"/>
              </w:rPr>
            </w:pPr>
          </w:p>
        </w:tc>
        <w:tc>
          <w:tcPr>
            <w:tcW w:w="867"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sz w:val="21"/>
                <w:szCs w:val="21"/>
                <w:highlight w:val="none"/>
                <w:lang w:eastAsia="zh-CN"/>
              </w:rPr>
            </w:pPr>
          </w:p>
        </w:tc>
        <w:tc>
          <w:tcPr>
            <w:tcW w:w="1400"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自行计算</w:t>
            </w:r>
          </w:p>
        </w:tc>
        <w:tc>
          <w:tcPr>
            <w:tcW w:w="2441"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107" w:rightChars="-51"/>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eastAsia="zh-CN"/>
              </w:rPr>
              <w:t>自行报价</w:t>
            </w:r>
          </w:p>
        </w:tc>
      </w:tr>
    </w:tbl>
    <w:p>
      <w:pPr>
        <w:rPr>
          <w:color w:val="auto"/>
          <w:highlight w:val="none"/>
        </w:rPr>
      </w:pPr>
    </w:p>
    <w:p>
      <w:pPr>
        <w:pStyle w:val="21"/>
        <w:rPr>
          <w:rFonts w:hint="eastAsia"/>
          <w:color w:val="auto"/>
          <w:highlight w:val="none"/>
          <w:lang w:eastAsia="zh-CN"/>
        </w:rPr>
      </w:pPr>
      <w:r>
        <w:rPr>
          <w:rFonts w:hint="eastAsia"/>
          <w:color w:val="auto"/>
          <w:highlight w:val="none"/>
          <w:lang w:eastAsia="zh-CN"/>
        </w:rPr>
        <w:t>注：1、设备、材料按、《电网工程建设预算编制与计算规定》（2018年版）划分。</w:t>
      </w:r>
    </w:p>
    <w:p>
      <w:pPr>
        <w:pStyle w:val="21"/>
        <w:ind w:firstLine="840" w:firstLineChars="400"/>
        <w:rPr>
          <w:highlight w:val="none"/>
        </w:rPr>
        <w:sectPr>
          <w:pgSz w:w="11906" w:h="16838"/>
          <w:pgMar w:top="1440" w:right="1800" w:bottom="1440" w:left="1800" w:header="851" w:footer="992" w:gutter="0"/>
          <w:cols w:space="425" w:num="1"/>
          <w:docGrid w:type="lines" w:linePitch="312" w:charSpace="0"/>
        </w:sectPr>
      </w:pPr>
      <w:r>
        <w:rPr>
          <w:rFonts w:hint="eastAsia"/>
          <w:color w:val="auto"/>
          <w:highlight w:val="none"/>
          <w:lang w:eastAsia="zh-CN"/>
        </w:rPr>
        <w:t>2、复合电缆沟盖板为甲供，施工单位安装，其他材质电缆沟盖板为乙供</w:t>
      </w:r>
      <w:bookmarkStart w:id="3" w:name="_GoBack"/>
      <w:bookmarkEnd w:id="3"/>
    </w:p>
    <w:p>
      <w:pPr>
        <w:pStyle w:val="9"/>
        <w:spacing w:line="480" w:lineRule="atLeast"/>
        <w:rPr>
          <w:rFonts w:asciiTheme="minorEastAsia" w:hAnsiTheme="minorEastAsia" w:eastAsiaTheme="minorEastAsia" w:cstheme="minorEastAsia"/>
          <w:color w:val="auto"/>
          <w:highlight w:val="none"/>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swiss"/>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20A8A5"/>
    <w:multiLevelType w:val="singleLevel"/>
    <w:tmpl w:val="1620A8A5"/>
    <w:lvl w:ilvl="0" w:tentative="0">
      <w:start w:val="3"/>
      <w:numFmt w:val="decimal"/>
      <w:suff w:val="nothing"/>
      <w:lvlText w:val="%1、"/>
      <w:lvlJc w:val="left"/>
    </w:lvl>
  </w:abstractNum>
  <w:abstractNum w:abstractNumId="1">
    <w:nsid w:val="5EA434E8"/>
    <w:multiLevelType w:val="singleLevel"/>
    <w:tmpl w:val="5EA434E8"/>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lZjg2NmZlZTliN2MwYzIzNzgxOTAxNDBhZmFlNmMifQ=="/>
  </w:docVars>
  <w:rsids>
    <w:rsidRoot w:val="00172A27"/>
    <w:rsid w:val="00091271"/>
    <w:rsid w:val="000A7CBB"/>
    <w:rsid w:val="000F42B1"/>
    <w:rsid w:val="00112A8E"/>
    <w:rsid w:val="00190408"/>
    <w:rsid w:val="0023098E"/>
    <w:rsid w:val="00397CD0"/>
    <w:rsid w:val="003B7D6B"/>
    <w:rsid w:val="003E7138"/>
    <w:rsid w:val="00412403"/>
    <w:rsid w:val="004213E6"/>
    <w:rsid w:val="00440B54"/>
    <w:rsid w:val="00622200"/>
    <w:rsid w:val="00777E57"/>
    <w:rsid w:val="008758C2"/>
    <w:rsid w:val="0090028B"/>
    <w:rsid w:val="00955646"/>
    <w:rsid w:val="009D1521"/>
    <w:rsid w:val="00A2322B"/>
    <w:rsid w:val="00A336BB"/>
    <w:rsid w:val="00A36BED"/>
    <w:rsid w:val="00AE688B"/>
    <w:rsid w:val="00B214E2"/>
    <w:rsid w:val="00BA5350"/>
    <w:rsid w:val="00BD759A"/>
    <w:rsid w:val="00BE5E60"/>
    <w:rsid w:val="00C50390"/>
    <w:rsid w:val="00CD6CD6"/>
    <w:rsid w:val="00D65963"/>
    <w:rsid w:val="00E1111E"/>
    <w:rsid w:val="024979FC"/>
    <w:rsid w:val="02FE40DC"/>
    <w:rsid w:val="03253AD9"/>
    <w:rsid w:val="033C5273"/>
    <w:rsid w:val="041C4B50"/>
    <w:rsid w:val="043F2D6C"/>
    <w:rsid w:val="04457652"/>
    <w:rsid w:val="04A24F71"/>
    <w:rsid w:val="050A3572"/>
    <w:rsid w:val="06006BB5"/>
    <w:rsid w:val="067D0B2C"/>
    <w:rsid w:val="068542C7"/>
    <w:rsid w:val="06D878FB"/>
    <w:rsid w:val="076D7826"/>
    <w:rsid w:val="07DC07CF"/>
    <w:rsid w:val="08645533"/>
    <w:rsid w:val="087264AB"/>
    <w:rsid w:val="08B359C3"/>
    <w:rsid w:val="090F1A12"/>
    <w:rsid w:val="09322D63"/>
    <w:rsid w:val="096133B5"/>
    <w:rsid w:val="09F94238"/>
    <w:rsid w:val="0A0071CB"/>
    <w:rsid w:val="0A3A6153"/>
    <w:rsid w:val="0A43035C"/>
    <w:rsid w:val="0A473024"/>
    <w:rsid w:val="0A977E8C"/>
    <w:rsid w:val="0ABB2EED"/>
    <w:rsid w:val="0B9B13E1"/>
    <w:rsid w:val="0BB537D7"/>
    <w:rsid w:val="0BC07002"/>
    <w:rsid w:val="0BDF7B09"/>
    <w:rsid w:val="0D4445A0"/>
    <w:rsid w:val="0D643188"/>
    <w:rsid w:val="0E6B28C0"/>
    <w:rsid w:val="0E731ECA"/>
    <w:rsid w:val="0EED654B"/>
    <w:rsid w:val="0FC2396C"/>
    <w:rsid w:val="0FD9067C"/>
    <w:rsid w:val="0FD92E79"/>
    <w:rsid w:val="1034081A"/>
    <w:rsid w:val="11617BC7"/>
    <w:rsid w:val="116419AD"/>
    <w:rsid w:val="11DF6CFE"/>
    <w:rsid w:val="12A04DC8"/>
    <w:rsid w:val="12B07C64"/>
    <w:rsid w:val="12C761E2"/>
    <w:rsid w:val="133A552B"/>
    <w:rsid w:val="13DE1817"/>
    <w:rsid w:val="14440D4B"/>
    <w:rsid w:val="14B34759"/>
    <w:rsid w:val="15056A61"/>
    <w:rsid w:val="15165683"/>
    <w:rsid w:val="16A0541A"/>
    <w:rsid w:val="16BA08EC"/>
    <w:rsid w:val="16BF0CE9"/>
    <w:rsid w:val="16CF095B"/>
    <w:rsid w:val="18283DB5"/>
    <w:rsid w:val="18E57496"/>
    <w:rsid w:val="194B6432"/>
    <w:rsid w:val="19625BF0"/>
    <w:rsid w:val="19DB4583"/>
    <w:rsid w:val="1A66082C"/>
    <w:rsid w:val="1A947D20"/>
    <w:rsid w:val="1B0027F2"/>
    <w:rsid w:val="1B2C4823"/>
    <w:rsid w:val="1B663F82"/>
    <w:rsid w:val="1BB539C3"/>
    <w:rsid w:val="1BF770D1"/>
    <w:rsid w:val="1C033E7B"/>
    <w:rsid w:val="1C66719F"/>
    <w:rsid w:val="1C6770A4"/>
    <w:rsid w:val="1CB226C2"/>
    <w:rsid w:val="1CBC2A99"/>
    <w:rsid w:val="1D035E8E"/>
    <w:rsid w:val="1DBB07FC"/>
    <w:rsid w:val="1E985F70"/>
    <w:rsid w:val="1F033D12"/>
    <w:rsid w:val="1FFD1B5A"/>
    <w:rsid w:val="20383BC7"/>
    <w:rsid w:val="20C16914"/>
    <w:rsid w:val="20D64231"/>
    <w:rsid w:val="214C58A7"/>
    <w:rsid w:val="216F4D5B"/>
    <w:rsid w:val="21B7528E"/>
    <w:rsid w:val="22C9772D"/>
    <w:rsid w:val="22E46F5E"/>
    <w:rsid w:val="23375FD0"/>
    <w:rsid w:val="233A62E5"/>
    <w:rsid w:val="23EF1D91"/>
    <w:rsid w:val="24F737D8"/>
    <w:rsid w:val="24FA01A3"/>
    <w:rsid w:val="256D6C72"/>
    <w:rsid w:val="25FC0296"/>
    <w:rsid w:val="26B04304"/>
    <w:rsid w:val="26F40B7E"/>
    <w:rsid w:val="28410FC0"/>
    <w:rsid w:val="28A563BE"/>
    <w:rsid w:val="28A82E7F"/>
    <w:rsid w:val="292755CA"/>
    <w:rsid w:val="29723A90"/>
    <w:rsid w:val="29BC23D9"/>
    <w:rsid w:val="2AA81A14"/>
    <w:rsid w:val="2B6042C5"/>
    <w:rsid w:val="2B993456"/>
    <w:rsid w:val="2BAF1907"/>
    <w:rsid w:val="2C77062D"/>
    <w:rsid w:val="2CE75DAD"/>
    <w:rsid w:val="2F202C72"/>
    <w:rsid w:val="2FB4171B"/>
    <w:rsid w:val="2FF65FF8"/>
    <w:rsid w:val="300D195C"/>
    <w:rsid w:val="30BF37B5"/>
    <w:rsid w:val="31090E38"/>
    <w:rsid w:val="31802096"/>
    <w:rsid w:val="31F73D78"/>
    <w:rsid w:val="32160C9D"/>
    <w:rsid w:val="33152A5C"/>
    <w:rsid w:val="339E4FDF"/>
    <w:rsid w:val="33E3303D"/>
    <w:rsid w:val="34A0229E"/>
    <w:rsid w:val="34B20B82"/>
    <w:rsid w:val="34BA21C7"/>
    <w:rsid w:val="34DB3A8C"/>
    <w:rsid w:val="356215B7"/>
    <w:rsid w:val="361736AD"/>
    <w:rsid w:val="361D1565"/>
    <w:rsid w:val="36D200CF"/>
    <w:rsid w:val="36DA49C7"/>
    <w:rsid w:val="374113CA"/>
    <w:rsid w:val="37582D05"/>
    <w:rsid w:val="38003867"/>
    <w:rsid w:val="38382DC3"/>
    <w:rsid w:val="38592F82"/>
    <w:rsid w:val="38DE045C"/>
    <w:rsid w:val="39641C44"/>
    <w:rsid w:val="3A066961"/>
    <w:rsid w:val="3A9E04F2"/>
    <w:rsid w:val="3B7129EC"/>
    <w:rsid w:val="3B8961AA"/>
    <w:rsid w:val="3C277E59"/>
    <w:rsid w:val="3C4A35F1"/>
    <w:rsid w:val="3CB1647D"/>
    <w:rsid w:val="3D3258DF"/>
    <w:rsid w:val="3D78711D"/>
    <w:rsid w:val="3DD7218B"/>
    <w:rsid w:val="3E2948F5"/>
    <w:rsid w:val="3E7A6527"/>
    <w:rsid w:val="3EEB6C70"/>
    <w:rsid w:val="402B18E0"/>
    <w:rsid w:val="414B09E3"/>
    <w:rsid w:val="41AB5C97"/>
    <w:rsid w:val="41C34504"/>
    <w:rsid w:val="41C90B45"/>
    <w:rsid w:val="425766B5"/>
    <w:rsid w:val="43B06F1C"/>
    <w:rsid w:val="445D28B8"/>
    <w:rsid w:val="44753296"/>
    <w:rsid w:val="44BF136A"/>
    <w:rsid w:val="44D414C9"/>
    <w:rsid w:val="451A7D17"/>
    <w:rsid w:val="4540147D"/>
    <w:rsid w:val="463D17D6"/>
    <w:rsid w:val="46424DBC"/>
    <w:rsid w:val="46472D5E"/>
    <w:rsid w:val="46A40EE4"/>
    <w:rsid w:val="46EA28B8"/>
    <w:rsid w:val="46F446A0"/>
    <w:rsid w:val="47B225A0"/>
    <w:rsid w:val="4A206F11"/>
    <w:rsid w:val="4A4C10D5"/>
    <w:rsid w:val="4A6A0819"/>
    <w:rsid w:val="4B3A1BDA"/>
    <w:rsid w:val="4C6C31D0"/>
    <w:rsid w:val="4DEA483B"/>
    <w:rsid w:val="4E040B3D"/>
    <w:rsid w:val="4E143849"/>
    <w:rsid w:val="4EC566B6"/>
    <w:rsid w:val="4ED63B8C"/>
    <w:rsid w:val="4FB2334F"/>
    <w:rsid w:val="4FB90FE4"/>
    <w:rsid w:val="4FC5456E"/>
    <w:rsid w:val="506F096B"/>
    <w:rsid w:val="507B3005"/>
    <w:rsid w:val="5092008F"/>
    <w:rsid w:val="50F11315"/>
    <w:rsid w:val="50F42938"/>
    <w:rsid w:val="512E05D6"/>
    <w:rsid w:val="51780BF8"/>
    <w:rsid w:val="51FE7CC1"/>
    <w:rsid w:val="52147760"/>
    <w:rsid w:val="52397477"/>
    <w:rsid w:val="527E30EC"/>
    <w:rsid w:val="52963336"/>
    <w:rsid w:val="52E734B9"/>
    <w:rsid w:val="53144C5A"/>
    <w:rsid w:val="531B5F34"/>
    <w:rsid w:val="533A4E9A"/>
    <w:rsid w:val="53CB6258"/>
    <w:rsid w:val="54406946"/>
    <w:rsid w:val="54467943"/>
    <w:rsid w:val="555D7558"/>
    <w:rsid w:val="55C3156A"/>
    <w:rsid w:val="561546AA"/>
    <w:rsid w:val="56441730"/>
    <w:rsid w:val="564F58CF"/>
    <w:rsid w:val="57704448"/>
    <w:rsid w:val="57D34D53"/>
    <w:rsid w:val="57DB1873"/>
    <w:rsid w:val="599A28DF"/>
    <w:rsid w:val="5AA153EC"/>
    <w:rsid w:val="5AC36B75"/>
    <w:rsid w:val="5AD550A4"/>
    <w:rsid w:val="5B294A30"/>
    <w:rsid w:val="5B4B4433"/>
    <w:rsid w:val="5BE86308"/>
    <w:rsid w:val="5C2C4423"/>
    <w:rsid w:val="5C42376A"/>
    <w:rsid w:val="5C4239D5"/>
    <w:rsid w:val="5C6B3215"/>
    <w:rsid w:val="5C8E17BF"/>
    <w:rsid w:val="5E4375D6"/>
    <w:rsid w:val="5E472153"/>
    <w:rsid w:val="5E5D4679"/>
    <w:rsid w:val="5E5D7228"/>
    <w:rsid w:val="5E6F4A90"/>
    <w:rsid w:val="5FB96131"/>
    <w:rsid w:val="601A5C13"/>
    <w:rsid w:val="60281AF8"/>
    <w:rsid w:val="60480312"/>
    <w:rsid w:val="608606DE"/>
    <w:rsid w:val="61461EBE"/>
    <w:rsid w:val="615F43D0"/>
    <w:rsid w:val="621344E6"/>
    <w:rsid w:val="62643571"/>
    <w:rsid w:val="63034B2C"/>
    <w:rsid w:val="63E87D28"/>
    <w:rsid w:val="63F225BB"/>
    <w:rsid w:val="64AA51DA"/>
    <w:rsid w:val="651F1A61"/>
    <w:rsid w:val="66C35559"/>
    <w:rsid w:val="66CE59D4"/>
    <w:rsid w:val="68A76ED8"/>
    <w:rsid w:val="697C1D25"/>
    <w:rsid w:val="699B2AD1"/>
    <w:rsid w:val="69A00111"/>
    <w:rsid w:val="6A280C34"/>
    <w:rsid w:val="6A287B5E"/>
    <w:rsid w:val="6B303A1A"/>
    <w:rsid w:val="6B9864B6"/>
    <w:rsid w:val="6C754655"/>
    <w:rsid w:val="6D0A582E"/>
    <w:rsid w:val="6D976A56"/>
    <w:rsid w:val="6DAA2FDF"/>
    <w:rsid w:val="6E01146A"/>
    <w:rsid w:val="6E0D0B45"/>
    <w:rsid w:val="6E121228"/>
    <w:rsid w:val="6E2E1404"/>
    <w:rsid w:val="6F023E1C"/>
    <w:rsid w:val="70852B44"/>
    <w:rsid w:val="70D1495F"/>
    <w:rsid w:val="712F4423"/>
    <w:rsid w:val="71E31ABA"/>
    <w:rsid w:val="7228339B"/>
    <w:rsid w:val="72AD7C92"/>
    <w:rsid w:val="764778A3"/>
    <w:rsid w:val="768C42EB"/>
    <w:rsid w:val="76C63C91"/>
    <w:rsid w:val="773212A8"/>
    <w:rsid w:val="779B259C"/>
    <w:rsid w:val="78874A55"/>
    <w:rsid w:val="79167152"/>
    <w:rsid w:val="79494559"/>
    <w:rsid w:val="79C8763C"/>
    <w:rsid w:val="7B260B09"/>
    <w:rsid w:val="7B5F1CD5"/>
    <w:rsid w:val="7B657384"/>
    <w:rsid w:val="7B692773"/>
    <w:rsid w:val="7BFA1F37"/>
    <w:rsid w:val="7C560137"/>
    <w:rsid w:val="7D180687"/>
    <w:rsid w:val="7DDA2A64"/>
    <w:rsid w:val="7E0B75A7"/>
    <w:rsid w:val="7E15779B"/>
    <w:rsid w:val="7E3420E0"/>
    <w:rsid w:val="7E637592"/>
    <w:rsid w:val="7E6A3894"/>
    <w:rsid w:val="7EC620E9"/>
    <w:rsid w:val="7F686F90"/>
    <w:rsid w:val="7F7A1F3B"/>
    <w:rsid w:val="7FB97FC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unhideWhenUsed/>
    <w:qFormat/>
    <w:uiPriority w:val="99"/>
    <w:pPr>
      <w:autoSpaceDE w:val="0"/>
      <w:autoSpaceDN w:val="0"/>
      <w:adjustRightInd w:val="0"/>
      <w:outlineLvl w:val="0"/>
    </w:pPr>
    <w:rPr>
      <w:rFonts w:ascii="Arial" w:hAnsi="Arial"/>
      <w:b/>
      <w:color w:val="000000"/>
      <w:sz w:val="32"/>
    </w:rPr>
  </w:style>
  <w:style w:type="paragraph" w:styleId="4">
    <w:name w:val="heading 2"/>
    <w:basedOn w:val="1"/>
    <w:next w:val="1"/>
    <w:unhideWhenUsed/>
    <w:qFormat/>
    <w:uiPriority w:val="99"/>
    <w:pPr>
      <w:autoSpaceDE w:val="0"/>
      <w:autoSpaceDN w:val="0"/>
      <w:adjustRightInd w:val="0"/>
      <w:outlineLvl w:val="1"/>
    </w:pPr>
    <w:rPr>
      <w:rFonts w:ascii="Arial" w:hAnsi="Arial"/>
      <w:b/>
      <w:i/>
      <w:color w:val="000000"/>
      <w:sz w:val="28"/>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2">
    <w:name w:val="目录 21"/>
    <w:basedOn w:val="1"/>
    <w:next w:val="1"/>
    <w:qFormat/>
    <w:uiPriority w:val="0"/>
    <w:pPr>
      <w:spacing w:before="100" w:beforeAutospacing="1" w:after="100" w:afterAutospacing="1"/>
      <w:ind w:left="420" w:leftChars="200"/>
    </w:pPr>
  </w:style>
  <w:style w:type="paragraph" w:styleId="5">
    <w:name w:val="Normal Indent"/>
    <w:basedOn w:val="1"/>
    <w:qFormat/>
    <w:uiPriority w:val="0"/>
    <w:pPr>
      <w:ind w:firstLine="420"/>
    </w:pPr>
    <w:rPr>
      <w:rFonts w:ascii="Times New Roman" w:hAnsi="Times New Roman"/>
      <w:kern w:val="0"/>
      <w:sz w:val="20"/>
      <w:szCs w:val="20"/>
    </w:rPr>
  </w:style>
  <w:style w:type="paragraph" w:styleId="6">
    <w:name w:val="Body Text"/>
    <w:basedOn w:val="1"/>
    <w:next w:val="7"/>
    <w:qFormat/>
    <w:uiPriority w:val="0"/>
    <w:pPr>
      <w:spacing w:after="120"/>
    </w:pPr>
  </w:style>
  <w:style w:type="paragraph" w:styleId="7">
    <w:name w:val="Title"/>
    <w:basedOn w:val="1"/>
    <w:next w:val="1"/>
    <w:qFormat/>
    <w:uiPriority w:val="0"/>
    <w:pPr>
      <w:spacing w:before="240" w:after="60"/>
      <w:jc w:val="center"/>
      <w:outlineLvl w:val="0"/>
    </w:pPr>
    <w:rPr>
      <w:rFonts w:ascii="Arial" w:hAnsi="Arial" w:cs="Arial"/>
      <w:b/>
      <w:bCs/>
      <w:sz w:val="32"/>
      <w:szCs w:val="32"/>
    </w:rPr>
  </w:style>
  <w:style w:type="paragraph" w:styleId="8">
    <w:name w:val="Body Text Indent"/>
    <w:basedOn w:val="1"/>
    <w:qFormat/>
    <w:uiPriority w:val="0"/>
    <w:pPr>
      <w:spacing w:after="120"/>
      <w:ind w:left="420" w:leftChars="200"/>
    </w:pPr>
  </w:style>
  <w:style w:type="paragraph" w:styleId="9">
    <w:name w:val="Plain Text"/>
    <w:basedOn w:val="1"/>
    <w:qFormat/>
    <w:uiPriority w:val="0"/>
    <w:rPr>
      <w:rFonts w:ascii="宋体" w:hAnsi="Courier New"/>
      <w:kern w:val="0"/>
      <w:sz w:val="20"/>
      <w:szCs w:val="20"/>
    </w:rPr>
  </w:style>
  <w:style w:type="paragraph" w:styleId="10">
    <w:name w:val="footer"/>
    <w:basedOn w:val="1"/>
    <w:link w:val="19"/>
    <w:qFormat/>
    <w:uiPriority w:val="0"/>
    <w:pPr>
      <w:tabs>
        <w:tab w:val="center" w:pos="4153"/>
        <w:tab w:val="right" w:pos="8306"/>
      </w:tabs>
      <w:snapToGrid w:val="0"/>
      <w:jc w:val="left"/>
    </w:pPr>
    <w:rPr>
      <w:sz w:val="18"/>
      <w:szCs w:val="18"/>
    </w:rPr>
  </w:style>
  <w:style w:type="paragraph" w:styleId="11">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12">
    <w:name w:val="toc 2"/>
    <w:basedOn w:val="1"/>
    <w:next w:val="1"/>
    <w:qFormat/>
    <w:uiPriority w:val="0"/>
    <w:pPr>
      <w:ind w:left="480" w:leftChars="200"/>
    </w:pPr>
    <w:rPr>
      <w:rFonts w:ascii="Times New Roman" w:hAnsi="Times New Roman" w:eastAsia="宋体"/>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font21"/>
    <w:basedOn w:val="15"/>
    <w:qFormat/>
    <w:uiPriority w:val="0"/>
    <w:rPr>
      <w:rFonts w:hint="eastAsia" w:ascii="宋体" w:hAnsi="宋体" w:eastAsia="宋体" w:cs="宋体"/>
      <w:color w:val="000000"/>
      <w:sz w:val="21"/>
      <w:szCs w:val="21"/>
      <w:u w:val="none"/>
    </w:rPr>
  </w:style>
  <w:style w:type="character" w:customStyle="1" w:styleId="17">
    <w:name w:val="font11"/>
    <w:basedOn w:val="15"/>
    <w:qFormat/>
    <w:uiPriority w:val="0"/>
    <w:rPr>
      <w:rFonts w:hint="eastAsia" w:ascii="宋体" w:hAnsi="宋体" w:eastAsia="宋体" w:cs="宋体"/>
      <w:color w:val="FF0000"/>
      <w:sz w:val="21"/>
      <w:szCs w:val="21"/>
      <w:u w:val="none"/>
    </w:rPr>
  </w:style>
  <w:style w:type="character" w:customStyle="1" w:styleId="18">
    <w:name w:val="页眉 Char"/>
    <w:basedOn w:val="15"/>
    <w:link w:val="11"/>
    <w:qFormat/>
    <w:uiPriority w:val="0"/>
    <w:rPr>
      <w:rFonts w:ascii="Calibri" w:hAnsi="Calibri"/>
      <w:kern w:val="2"/>
      <w:sz w:val="18"/>
      <w:szCs w:val="18"/>
    </w:rPr>
  </w:style>
  <w:style w:type="character" w:customStyle="1" w:styleId="19">
    <w:name w:val="页脚 Char"/>
    <w:basedOn w:val="15"/>
    <w:link w:val="10"/>
    <w:qFormat/>
    <w:uiPriority w:val="0"/>
    <w:rPr>
      <w:rFonts w:ascii="Calibri" w:hAnsi="Calibri"/>
      <w:kern w:val="2"/>
      <w:sz w:val="18"/>
      <w:szCs w:val="18"/>
    </w:rPr>
  </w:style>
  <w:style w:type="paragraph" w:customStyle="1" w:styleId="20">
    <w:name w:val="Default"/>
    <w:unhideWhenUsed/>
    <w:qFormat/>
    <w:uiPriority w:val="99"/>
    <w:pPr>
      <w:widowControl w:val="0"/>
      <w:autoSpaceDE w:val="0"/>
      <w:autoSpaceDN w:val="0"/>
      <w:adjustRightInd w:val="0"/>
      <w:spacing w:beforeLines="0" w:afterLines="0"/>
    </w:pPr>
    <w:rPr>
      <w:rFonts w:hint="default" w:ascii="仿宋_GB2312" w:hAnsi="仿宋_GB2312" w:eastAsia="仿宋_GB2312" w:cs="Times New Roman"/>
      <w:color w:val="000000"/>
      <w:sz w:val="24"/>
      <w:szCs w:val="24"/>
    </w:rPr>
  </w:style>
  <w:style w:type="paragraph" w:customStyle="1" w:styleId="21">
    <w:name w:val="报告正文"/>
    <w:basedOn w:val="1"/>
    <w:qFormat/>
    <w:uiPriority w:val="0"/>
    <w:pPr>
      <w:ind w:firstLine="200" w:firstLineChars="200"/>
      <w:textAlignment w:val="baseline"/>
    </w:pPr>
    <w:rPr>
      <w:color w:val="FF0000"/>
      <w:kern w:val="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15</Pages>
  <Words>7486</Words>
  <Characters>8419</Characters>
  <Lines>1</Lines>
  <Paragraphs>1</Paragraphs>
  <TotalTime>10</TotalTime>
  <ScaleCrop>false</ScaleCrop>
  <LinksUpToDate>false</LinksUpToDate>
  <CharactersWithSpaces>8439</CharactersWithSpaces>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2024-07-17T14:54:00Z</dcterms:created>
  <dc:creator>ps</dc:creator>
  <cp:lastModifiedBy>gzry15</cp:lastModifiedBy>
  <dcterms:modified xsi:type="dcterms:W3CDTF">2026-01-28T13:54:35Z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F968B7E0EC624F5E91BA6C5C2D4576B8</vt:lpwstr>
  </property>
  <property fmtid="{D5CDD505-2E9C-101B-9397-08002B2CF9AE}" pid="4" name="KSOTemplateDocerSaveRecord">
    <vt:lpwstr>eyJoZGlkIjoiZmIzNjI3ODg1YjEyM2E2ZDU0YjRkYjMzMTdjNzY3MTUiLCJ1c2VySWQiOiI1OTg4NTc3MDgifQ==</vt:lpwstr>
  </property>
</Properties>
</file>