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default" w:asciiTheme="minorEastAsia" w:hAnsiTheme="minorEastAsia" w:eastAsiaTheme="minorEastAsia" w:cstheme="minorEastAsia"/>
          <w:b/>
          <w:bCs/>
          <w:snapToGrid w:val="0"/>
          <w:color w:val="auto"/>
          <w:sz w:val="32"/>
          <w:szCs w:val="32"/>
          <w:highlight w:val="none"/>
          <w:u w:val="single"/>
          <w:lang w:val="en-US" w:eastAsia="zh-CN"/>
        </w:rPr>
      </w:pPr>
      <w:r>
        <w:rPr>
          <w:rFonts w:hint="eastAsia" w:asciiTheme="minorEastAsia" w:hAnsiTheme="minorEastAsia" w:eastAsiaTheme="minorEastAsia" w:cstheme="minorEastAsia"/>
          <w:b/>
          <w:bCs/>
          <w:snapToGrid w:val="0"/>
          <w:color w:val="auto"/>
          <w:sz w:val="32"/>
          <w:szCs w:val="32"/>
          <w:highlight w:val="none"/>
          <w:u w:val="single"/>
          <w:lang w:val="en-US" w:eastAsia="zh-CN"/>
        </w:rPr>
        <w:t>标的6</w:t>
      </w:r>
    </w:p>
    <w:p>
      <w:pPr>
        <w:pStyle w:val="9"/>
        <w:spacing w:line="360" w:lineRule="auto"/>
        <w:jc w:val="center"/>
        <w:rPr>
          <w:rFonts w:asciiTheme="minorEastAsia" w:hAnsiTheme="minorEastAsia" w:eastAsiaTheme="minorEastAsia" w:cstheme="minorEastAsia"/>
          <w:b/>
          <w:bCs/>
          <w:snapToGrid w:val="0"/>
          <w:color w:val="auto"/>
          <w:sz w:val="28"/>
          <w:szCs w:val="28"/>
          <w:highlight w:val="none"/>
        </w:rPr>
      </w:pPr>
      <w:r>
        <w:rPr>
          <w:rFonts w:hint="eastAsia" w:asciiTheme="minorEastAsia" w:hAnsiTheme="minorEastAsia" w:eastAsiaTheme="minorEastAsia" w:cstheme="minorEastAsia"/>
          <w:b/>
          <w:bCs/>
          <w:snapToGrid w:val="0"/>
          <w:color w:val="auto"/>
          <w:sz w:val="28"/>
          <w:szCs w:val="28"/>
          <w:highlight w:val="none"/>
        </w:rPr>
        <w:t>项目名称：</w:t>
      </w:r>
      <w:r>
        <w:rPr>
          <w:rFonts w:hint="eastAsia" w:asciiTheme="minorEastAsia" w:hAnsiTheme="minorEastAsia" w:eastAsiaTheme="minorEastAsia" w:cstheme="minorEastAsia"/>
          <w:b/>
          <w:bCs/>
          <w:snapToGrid w:val="0"/>
          <w:color w:val="auto"/>
          <w:sz w:val="28"/>
          <w:szCs w:val="28"/>
          <w:highlight w:val="none"/>
          <w:u w:val="single"/>
          <w:lang w:val="en-US" w:eastAsia="zh-CN"/>
        </w:rPr>
        <w:t>广西</w:t>
      </w:r>
      <w:r>
        <w:rPr>
          <w:rFonts w:hint="eastAsia" w:asciiTheme="minorEastAsia" w:hAnsiTheme="minorEastAsia" w:eastAsiaTheme="minorEastAsia" w:cstheme="minorEastAsia"/>
          <w:b/>
          <w:bCs/>
          <w:snapToGrid w:val="0"/>
          <w:color w:val="auto"/>
          <w:sz w:val="28"/>
          <w:szCs w:val="28"/>
          <w:highlight w:val="none"/>
          <w:u w:val="single"/>
        </w:rPr>
        <w:t>合浦至湛江铁路220kV外部电源送电工程施工</w:t>
      </w:r>
    </w:p>
    <w:tbl>
      <w:tblPr>
        <w:tblStyle w:val="13"/>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序号</w:t>
            </w:r>
          </w:p>
        </w:tc>
        <w:tc>
          <w:tcPr>
            <w:tcW w:w="2263"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文件名称</w:t>
            </w:r>
          </w:p>
        </w:tc>
        <w:tc>
          <w:tcPr>
            <w:tcW w:w="3574"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1</w:t>
            </w:r>
          </w:p>
        </w:tc>
        <w:tc>
          <w:tcPr>
            <w:tcW w:w="2263"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可研批复文号</w:t>
            </w:r>
          </w:p>
        </w:tc>
        <w:tc>
          <w:tcPr>
            <w:tcW w:w="3574" w:type="dxa"/>
          </w:tcPr>
          <w:p>
            <w:pPr>
              <w:pStyle w:val="9"/>
              <w:spacing w:line="360" w:lineRule="auto"/>
              <w:jc w:val="center"/>
              <w:rPr>
                <w:rFonts w:hAnsi="宋体" w:cs="宋体"/>
                <w:color w:val="auto"/>
                <w:sz w:val="21"/>
                <w:szCs w:val="21"/>
                <w:highlight w:val="none"/>
              </w:rPr>
            </w:pPr>
            <w:r>
              <w:rPr>
                <w:rFonts w:hint="eastAsia" w:hAnsi="宋体" w:cs="宋体"/>
                <w:color w:val="auto"/>
                <w:sz w:val="21"/>
                <w:highlight w:val="none"/>
              </w:rPr>
              <w:t>桂电规划〔2024〕309号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2</w:t>
            </w:r>
          </w:p>
        </w:tc>
        <w:tc>
          <w:tcPr>
            <w:tcW w:w="2263"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项目核准、备案文号</w:t>
            </w:r>
          </w:p>
        </w:tc>
        <w:tc>
          <w:tcPr>
            <w:tcW w:w="3574" w:type="dxa"/>
          </w:tcPr>
          <w:p>
            <w:pPr>
              <w:pStyle w:val="9"/>
              <w:spacing w:line="360" w:lineRule="auto"/>
              <w:jc w:val="center"/>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北审批投〔2024〕179</w:t>
            </w:r>
            <w:r>
              <w:rPr>
                <w:rFonts w:hint="eastAsia" w:hAnsi="宋体" w:cs="宋体"/>
                <w:color w:val="auto"/>
                <w:sz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3</w:t>
            </w:r>
          </w:p>
        </w:tc>
        <w:tc>
          <w:tcPr>
            <w:tcW w:w="2263"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初设批复文号</w:t>
            </w:r>
          </w:p>
        </w:tc>
        <w:tc>
          <w:tcPr>
            <w:tcW w:w="3574" w:type="dxa"/>
          </w:tcPr>
          <w:p>
            <w:pPr>
              <w:keepNext w:val="0"/>
              <w:keepLines w:val="0"/>
              <w:widowControl/>
              <w:suppressLineNumbers w:val="0"/>
              <w:jc w:val="center"/>
              <w:rPr>
                <w:rFonts w:hint="default"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桂电基建〔2025〕171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4</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资金落实情况</w:t>
            </w:r>
          </w:p>
        </w:tc>
        <w:tc>
          <w:tcPr>
            <w:tcW w:w="3574" w:type="dxa"/>
            <w:vAlign w:val="center"/>
          </w:tcPr>
          <w:p>
            <w:pPr>
              <w:pStyle w:val="9"/>
              <w:spacing w:line="360" w:lineRule="auto"/>
              <w:jc w:val="center"/>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桂电规划〔2025〕27号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5</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施工图预算批复文号</w:t>
            </w:r>
          </w:p>
        </w:tc>
        <w:tc>
          <w:tcPr>
            <w:tcW w:w="3574" w:type="dxa"/>
          </w:tcPr>
          <w:p>
            <w:pPr>
              <w:pStyle w:val="9"/>
              <w:spacing w:line="360" w:lineRule="auto"/>
              <w:jc w:val="center"/>
              <w:rPr>
                <w:rFonts w:hAnsi="宋体" w:cs="宋体"/>
                <w:color w:val="auto"/>
                <w:sz w:val="21"/>
                <w:szCs w:val="21"/>
                <w:highlight w:val="none"/>
              </w:rPr>
            </w:pPr>
            <w:r>
              <w:rPr>
                <w:rFonts w:hint="eastAsia" w:hAnsi="宋体" w:cs="宋体"/>
                <w:color w:val="auto"/>
                <w:sz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6</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项目建设单位</w:t>
            </w:r>
          </w:p>
        </w:tc>
        <w:tc>
          <w:tcPr>
            <w:tcW w:w="3574" w:type="dxa"/>
          </w:tcPr>
          <w:p>
            <w:pPr>
              <w:pStyle w:val="9"/>
              <w:jc w:val="center"/>
              <w:rPr>
                <w:rFonts w:hAnsi="宋体" w:cs="宋体"/>
                <w:color w:val="auto"/>
                <w:sz w:val="21"/>
                <w:szCs w:val="21"/>
                <w:highlight w:val="none"/>
              </w:rPr>
            </w:pPr>
            <w:r>
              <w:rPr>
                <w:rFonts w:hAnsi="宋体" w:cs="宋体"/>
                <w:color w:val="auto"/>
                <w:sz w:val="21"/>
                <w:highlight w:val="none"/>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rPr>
            </w:pPr>
            <w:r>
              <w:rPr>
                <w:rFonts w:hint="eastAsia" w:hAnsi="宋体" w:cs="宋体"/>
                <w:b/>
                <w:bCs/>
                <w:snapToGrid w:val="0"/>
                <w:color w:val="auto"/>
                <w:sz w:val="24"/>
                <w:szCs w:val="24"/>
                <w:highlight w:val="none"/>
              </w:rPr>
              <w:t>7</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项目建设地点</w:t>
            </w:r>
          </w:p>
        </w:tc>
        <w:tc>
          <w:tcPr>
            <w:tcW w:w="3574" w:type="dxa"/>
          </w:tcPr>
          <w:p>
            <w:pPr>
              <w:pStyle w:val="9"/>
              <w:spacing w:line="360" w:lineRule="auto"/>
              <w:jc w:val="center"/>
              <w:rPr>
                <w:rFonts w:hAnsi="宋体" w:cs="宋体"/>
                <w:color w:val="auto"/>
                <w:sz w:val="21"/>
                <w:szCs w:val="21"/>
                <w:highlight w:val="none"/>
              </w:rPr>
            </w:pPr>
            <w:bookmarkStart w:id="0" w:name="OLE_LINK1"/>
            <w:r>
              <w:rPr>
                <w:rFonts w:hint="eastAsia" w:hAnsi="宋体" w:cs="宋体"/>
                <w:color w:val="auto"/>
                <w:sz w:val="21"/>
                <w:highlight w:val="none"/>
              </w:rPr>
              <w:t>广西</w:t>
            </w:r>
            <w:r>
              <w:rPr>
                <w:rFonts w:hint="eastAsia" w:hAnsi="宋体" w:cs="宋体"/>
                <w:color w:val="auto"/>
                <w:sz w:val="21"/>
                <w:highlight w:val="none"/>
                <w:lang w:val="en-US" w:eastAsia="zh-CN"/>
              </w:rPr>
              <w:t>北海</w:t>
            </w:r>
            <w:r>
              <w:rPr>
                <w:rFonts w:hint="eastAsia" w:hAnsi="宋体" w:cs="宋体"/>
                <w:color w:val="auto"/>
                <w:sz w:val="21"/>
                <w:highlight w:val="none"/>
              </w:rPr>
              <w:t>市</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8</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前期的设计或咨询服务单位名称</w:t>
            </w:r>
          </w:p>
        </w:tc>
        <w:tc>
          <w:tcPr>
            <w:tcW w:w="3574" w:type="dxa"/>
          </w:tcPr>
          <w:p>
            <w:pPr>
              <w:pStyle w:val="9"/>
              <w:jc w:val="center"/>
              <w:rPr>
                <w:rFonts w:hint="default" w:hAnsi="宋体" w:cs="宋体"/>
                <w:color w:val="auto"/>
                <w:sz w:val="21"/>
                <w:highlight w:val="none"/>
                <w:lang w:val="en-US" w:eastAsia="zh-CN"/>
              </w:rPr>
            </w:pPr>
            <w:r>
              <w:rPr>
                <w:rFonts w:hint="eastAsia" w:hAnsi="宋体" w:cs="宋体"/>
                <w:color w:val="auto"/>
                <w:sz w:val="21"/>
                <w:highlight w:val="none"/>
                <w:lang w:val="en-US" w:eastAsia="zh-CN"/>
              </w:rPr>
              <w:t>广西绿能电力勘察设计有限公司、广州竣盛工程造价咨询有限公司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9"/>
              <w:spacing w:line="400" w:lineRule="exact"/>
              <w:jc w:val="center"/>
              <w:rPr>
                <w:rFonts w:hAnsi="宋体" w:cs="宋体"/>
                <w:b/>
                <w:bCs/>
                <w:snapToGrid w:val="0"/>
                <w:color w:val="auto"/>
                <w:sz w:val="24"/>
                <w:szCs w:val="24"/>
                <w:highlight w:val="none"/>
              </w:rPr>
            </w:pPr>
            <w:r>
              <w:rPr>
                <w:rFonts w:hint="eastAsia" w:hAnsi="宋体" w:cs="宋体"/>
                <w:b/>
                <w:bCs/>
                <w:snapToGrid w:val="0"/>
                <w:color w:val="auto"/>
                <w:sz w:val="21"/>
                <w:szCs w:val="21"/>
                <w:highlight w:val="none"/>
              </w:rPr>
              <w:t>9</w:t>
            </w:r>
          </w:p>
        </w:tc>
        <w:tc>
          <w:tcPr>
            <w:tcW w:w="2263" w:type="dxa"/>
            <w:vAlign w:val="center"/>
          </w:tcPr>
          <w:p>
            <w:pPr>
              <w:pStyle w:val="9"/>
              <w:spacing w:line="400" w:lineRule="exact"/>
              <w:jc w:val="center"/>
              <w:rPr>
                <w:rFonts w:hAnsi="宋体" w:cs="宋体"/>
                <w:b/>
                <w:bCs/>
                <w:color w:val="auto"/>
                <w:sz w:val="21"/>
                <w:szCs w:val="21"/>
                <w:highlight w:val="none"/>
              </w:rPr>
            </w:pPr>
            <w:r>
              <w:rPr>
                <w:rFonts w:hint="eastAsia" w:hAnsi="宋体" w:cs="宋体"/>
                <w:b/>
                <w:bCs/>
                <w:snapToGrid w:val="0"/>
                <w:color w:val="auto"/>
                <w:sz w:val="21"/>
                <w:szCs w:val="21"/>
                <w:highlight w:val="none"/>
              </w:rPr>
              <w:t>项目监理单位</w:t>
            </w:r>
          </w:p>
        </w:tc>
        <w:tc>
          <w:tcPr>
            <w:tcW w:w="3574" w:type="dxa"/>
          </w:tcPr>
          <w:p>
            <w:pPr>
              <w:pStyle w:val="9"/>
              <w:jc w:val="center"/>
              <w:rPr>
                <w:rFonts w:hAnsi="宋体" w:cs="宋体"/>
                <w:color w:val="auto"/>
                <w:sz w:val="21"/>
                <w:highlight w:val="none"/>
              </w:rPr>
            </w:pPr>
            <w:r>
              <w:rPr>
                <w:rFonts w:hint="eastAsia" w:hAnsi="宋体" w:cs="宋体"/>
                <w:color w:val="auto"/>
                <w:sz w:val="21"/>
                <w:highlight w:val="none"/>
              </w:rPr>
              <w:t>广西正远电力工程建设监理有限责任公司</w:t>
            </w:r>
          </w:p>
        </w:tc>
      </w:tr>
    </w:tbl>
    <w:p>
      <w:pPr>
        <w:pStyle w:val="9"/>
        <w:spacing w:line="360" w:lineRule="auto"/>
        <w:rPr>
          <w:rFonts w:asciiTheme="minorEastAsia" w:hAnsiTheme="minorEastAsia" w:eastAsiaTheme="minorEastAsia" w:cstheme="minorEastAsia"/>
          <w:b/>
          <w:bCs/>
          <w:color w:val="auto"/>
          <w:sz w:val="24"/>
          <w:szCs w:val="24"/>
          <w:highlight w:val="none"/>
        </w:rPr>
      </w:pPr>
    </w:p>
    <w:p>
      <w:pPr>
        <w:pStyle w:val="9"/>
        <w:spacing w:line="360" w:lineRule="auto"/>
        <w:outlineLvl w:val="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一、</w:t>
      </w:r>
      <w:r>
        <w:rPr>
          <w:rFonts w:hint="eastAsia" w:hAnsi="宋体" w:cs="宋体"/>
          <w:b/>
          <w:bCs/>
          <w:color w:val="auto"/>
          <w:sz w:val="24"/>
          <w:szCs w:val="24"/>
          <w:highlight w:val="none"/>
        </w:rPr>
        <w:t>建设规模</w:t>
      </w:r>
      <w:r>
        <w:rPr>
          <w:rFonts w:hint="eastAsia" w:asciiTheme="minorEastAsia" w:hAnsiTheme="minorEastAsia" w:eastAsiaTheme="minorEastAsia" w:cstheme="minorEastAsia"/>
          <w:color w:val="auto"/>
          <w:sz w:val="24"/>
          <w:szCs w:val="24"/>
          <w:highlight w:val="none"/>
        </w:rPr>
        <w:t>：</w:t>
      </w:r>
      <w:bookmarkStart w:id="1" w:name="_Toc28718"/>
      <w:bookmarkStart w:id="2" w:name="_Toc13498"/>
      <w:bookmarkStart w:id="3" w:name="_Toc4755"/>
    </w:p>
    <w:bookmarkEnd w:id="1"/>
    <w:bookmarkEnd w:id="2"/>
    <w:bookmarkEnd w:id="3"/>
    <w:p>
      <w:pPr>
        <w:spacing w:line="360" w:lineRule="auto"/>
        <w:ind w:firstLine="480"/>
        <w:rPr>
          <w:rFonts w:ascii="宋体" w:hAnsi="宋体" w:cs="宋体"/>
          <w:bCs/>
          <w:iCs/>
          <w:color w:val="auto"/>
          <w:sz w:val="24"/>
          <w:szCs w:val="24"/>
          <w:highlight w:val="none"/>
        </w:rPr>
      </w:pPr>
      <w:r>
        <w:rPr>
          <w:rFonts w:hint="eastAsia" w:ascii="宋体" w:hAnsi="宋体" w:cs="宋体"/>
          <w:bCs/>
          <w:iCs/>
          <w:color w:val="auto"/>
          <w:sz w:val="24"/>
          <w:szCs w:val="24"/>
          <w:highlight w:val="none"/>
        </w:rPr>
        <w:t>本工程项目包括：禄罗～白沙牵Ⅰ220kV线路工程，禄罗～白沙牵Ⅱ220kV线路工程，220kV禄罗站扩建白沙牵Ⅰ、白沙牵Ⅱ220kV出线间隔工程。</w:t>
      </w:r>
    </w:p>
    <w:p>
      <w:pPr>
        <w:numPr>
          <w:ilvl w:val="0"/>
          <w:numId w:val="1"/>
        </w:numPr>
        <w:spacing w:line="580" w:lineRule="exact"/>
        <w:ind w:firstLine="480" w:firstLineChars="200"/>
        <w:outlineLvl w:val="1"/>
        <w:rPr>
          <w:rFonts w:ascii="宋体" w:hAnsi="宋体" w:cs="宋体"/>
          <w:bCs/>
          <w:iCs/>
          <w:color w:val="auto"/>
          <w:sz w:val="24"/>
          <w:szCs w:val="24"/>
          <w:highlight w:val="none"/>
        </w:rPr>
      </w:pPr>
      <w:r>
        <w:rPr>
          <w:rFonts w:hint="eastAsia" w:ascii="宋体" w:hAnsi="宋体" w:cs="宋体"/>
          <w:bCs/>
          <w:iCs/>
          <w:color w:val="auto"/>
          <w:sz w:val="24"/>
          <w:szCs w:val="24"/>
          <w:highlight w:val="none"/>
        </w:rPr>
        <w:t>※变电部分:</w:t>
      </w:r>
    </w:p>
    <w:p>
      <w:pPr>
        <w:pStyle w:val="21"/>
        <w:numPr>
          <w:ilvl w:val="0"/>
          <w:numId w:val="0"/>
        </w:numPr>
        <w:spacing w:line="480" w:lineRule="atLeast"/>
        <w:ind w:firstLine="480" w:firstLineChars="200"/>
        <w:rPr>
          <w:rFonts w:hint="eastAsia" w:ascii="宋体" w:hAnsi="宋体" w:cs="宋体"/>
          <w:bCs/>
          <w:iCs/>
          <w:color w:val="auto"/>
          <w:sz w:val="24"/>
          <w:szCs w:val="24"/>
          <w:highlight w:val="none"/>
          <w:lang w:val="en-US" w:eastAsia="zh-CN"/>
        </w:rPr>
      </w:pPr>
      <w:r>
        <w:rPr>
          <w:rFonts w:hint="eastAsia" w:ascii="宋体" w:hAnsi="宋体" w:cs="宋体"/>
          <w:bCs/>
          <w:iCs/>
          <w:color w:val="auto"/>
          <w:sz w:val="24"/>
          <w:szCs w:val="24"/>
          <w:highlight w:val="none"/>
          <w:lang w:val="en-US" w:eastAsia="zh-CN"/>
        </w:rPr>
        <w:t>220kV禄罗站扩建白沙牵Ⅰ、白沙牵Ⅱ220kV出线间隔工程</w:t>
      </w:r>
    </w:p>
    <w:p>
      <w:pPr>
        <w:pStyle w:val="21"/>
        <w:numPr>
          <w:ilvl w:val="0"/>
          <w:numId w:val="0"/>
        </w:numPr>
        <w:spacing w:line="480" w:lineRule="atLeast"/>
        <w:ind w:firstLine="480" w:firstLineChars="200"/>
        <w:rPr>
          <w:rFonts w:hint="eastAsia" w:ascii="宋体" w:hAnsi="宋体" w:cs="宋体"/>
          <w:bCs/>
          <w:iCs/>
          <w:color w:val="auto"/>
          <w:sz w:val="24"/>
          <w:szCs w:val="24"/>
          <w:highlight w:val="none"/>
          <w:lang w:val="en-US" w:eastAsia="zh-CN"/>
        </w:rPr>
      </w:pPr>
      <w:r>
        <w:rPr>
          <w:rFonts w:hint="eastAsia" w:ascii="宋体" w:hAnsi="宋体" w:cs="宋体"/>
          <w:bCs/>
          <w:iCs/>
          <w:color w:val="auto"/>
          <w:sz w:val="24"/>
          <w:szCs w:val="24"/>
          <w:highlight w:val="none"/>
          <w:lang w:val="en-US" w:eastAsia="zh-CN"/>
        </w:rPr>
        <w:t>本期在禄罗站现有场地内扩建白沙牵Ⅰ、Ⅱ220kV出线间隔，配置相应的一次、二次设备。为保证白沙牵供电可靠性，本期扩建的白沙牵Ⅰ220kV出线间隔与北海电厂Ⅰ220kV出线间隔进行对调，保护、电能表根据间隔调换进行调整，并修改间隔名称标识。</w:t>
      </w:r>
    </w:p>
    <w:p>
      <w:pPr>
        <w:pStyle w:val="21"/>
        <w:numPr>
          <w:ilvl w:val="0"/>
          <w:numId w:val="0"/>
        </w:numPr>
        <w:spacing w:line="480" w:lineRule="atLeast"/>
        <w:ind w:firstLine="480" w:firstLineChars="200"/>
        <w:rPr>
          <w:rFonts w:ascii="Times New Roman" w:hAnsi="Times New Roman"/>
          <w:color w:val="auto"/>
          <w:sz w:val="24"/>
          <w:szCs w:val="24"/>
          <w:highlight w:val="none"/>
        </w:rPr>
      </w:pPr>
      <w:r>
        <w:rPr>
          <w:rFonts w:hint="eastAsia" w:ascii="宋体" w:hAnsi="宋体" w:cs="宋体"/>
          <w:bCs/>
          <w:iCs/>
          <w:color w:val="auto"/>
          <w:sz w:val="24"/>
          <w:szCs w:val="24"/>
          <w:highlight w:val="none"/>
          <w:lang w:val="en-US" w:eastAsia="zh-CN"/>
        </w:rPr>
        <w:t>本期在白沙牵禄罗Ⅰ、Ⅱ220kV出线间隔配置0.2S三相四线多功能电能表各2块。</w:t>
      </w:r>
    </w:p>
    <w:p>
      <w:pPr>
        <w:spacing w:line="360" w:lineRule="auto"/>
        <w:ind w:firstLine="480" w:firstLineChars="200"/>
        <w:rPr>
          <w:rFonts w:ascii="宋体" w:hAnsi="宋体" w:cs="宋体"/>
          <w:bCs/>
          <w:iCs/>
          <w:color w:val="auto"/>
          <w:sz w:val="24"/>
          <w:szCs w:val="24"/>
          <w:highlight w:val="none"/>
        </w:rPr>
      </w:pPr>
      <w:r>
        <w:rPr>
          <w:rFonts w:ascii="宋体" w:hAnsi="宋体" w:cs="宋体"/>
          <w:bCs/>
          <w:iCs/>
          <w:color w:val="auto"/>
          <w:sz w:val="24"/>
          <w:szCs w:val="24"/>
          <w:highlight w:val="none"/>
        </w:rPr>
        <w:t>2</w:t>
      </w:r>
      <w:r>
        <w:rPr>
          <w:rFonts w:hint="eastAsia" w:ascii="宋体" w:hAnsi="宋体" w:cs="宋体"/>
          <w:bCs/>
          <w:iCs/>
          <w:color w:val="auto"/>
          <w:sz w:val="24"/>
          <w:szCs w:val="24"/>
          <w:highlight w:val="none"/>
        </w:rPr>
        <w:t>）光纤通信工程：</w:t>
      </w:r>
    </w:p>
    <w:p>
      <w:pPr>
        <w:spacing w:line="360" w:lineRule="auto"/>
        <w:ind w:firstLine="480" w:firstLineChars="200"/>
        <w:rPr>
          <w:rFonts w:hint="default" w:ascii="宋体" w:hAnsi="宋体" w:cs="宋体"/>
          <w:bCs/>
          <w:iCs/>
          <w:color w:val="auto"/>
          <w:sz w:val="24"/>
          <w:szCs w:val="24"/>
          <w:highlight w:val="none"/>
          <w:lang w:val="en-US" w:eastAsia="zh-CN"/>
        </w:rPr>
      </w:pPr>
      <w:r>
        <w:rPr>
          <w:rFonts w:hint="eastAsia" w:ascii="宋体" w:hAnsi="宋体" w:cs="宋体"/>
          <w:bCs/>
          <w:iCs/>
          <w:color w:val="auto"/>
          <w:sz w:val="24"/>
          <w:szCs w:val="24"/>
          <w:highlight w:val="none"/>
          <w:lang w:val="en-US" w:eastAsia="zh-CN"/>
        </w:rPr>
        <w:t>（1）光缆方案</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沿禄罗～白沙牵Ⅰ220kV线路架设1根48芯OPGW光缆，路径长度约3.9km，形成禄罗站～白沙牵Ⅰ的48芯光缆路由（长度约3.9km）。</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沿禄罗～白沙牵Ⅱ220kV线路架设1根48芯OPGW光缆，路径长度约4.5km，形成禄罗站～白沙牵Ⅱ的24芯光缆路由（长度约4.5km）。</w:t>
      </w:r>
    </w:p>
    <w:p>
      <w:pPr>
        <w:pStyle w:val="21"/>
        <w:numPr>
          <w:ilvl w:val="0"/>
          <w:numId w:val="0"/>
        </w:numPr>
        <w:spacing w:line="480" w:lineRule="atLeast"/>
        <w:ind w:firstLine="480" w:firstLineChars="200"/>
        <w:rPr>
          <w:rFonts w:hint="default"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（2）光通信设备配置</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省级光传输网A：白沙牵引站配置1套STM-16光传输设备（基本单元按1+1配置），具备ASON功能。在禄罗站原有光传输设备配置2块STM-16光接口板，建设禄罗站～白沙牵“1+1”2.5Gbit/s光纤通信电路。</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保底通信网：白沙牵配置1套STM-16光传输设备（基本单元按1+1配置），具备ASON功能。在禄罗站原有光传输设备配置2块STM-16光接口板，建设白沙牵～禄罗站“1+1”2.5Gbit/s光纤通信电路。</w:t>
      </w:r>
    </w:p>
    <w:p>
      <w:pPr>
        <w:pStyle w:val="21"/>
        <w:numPr>
          <w:ilvl w:val="0"/>
          <w:numId w:val="0"/>
        </w:numPr>
        <w:spacing w:line="480" w:lineRule="atLeast"/>
        <w:ind w:firstLine="480" w:firstLineChars="200"/>
        <w:rPr>
          <w:rFonts w:hint="default"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白沙牵侧设备由牵引站业主自行建设，不在本工程考虑。</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（二）※线路部分:</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1）禄罗～白沙牵Ⅰ220kV线路工程</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新建线路路径长度约3.9km，其中双回路钢管杆单侧挂线段路径长度约1.0km，</w:t>
      </w:r>
      <w:bookmarkStart w:id="4" w:name="OLE_LINK2"/>
      <w:r>
        <w:rPr>
          <w:rFonts w:hint="eastAsia" w:ascii="宋体" w:hAnsi="宋体" w:eastAsia="宋体" w:cs="宋体"/>
          <w:bCs/>
          <w:iCs/>
          <w:color w:val="auto"/>
          <w:sz w:val="24"/>
          <w:szCs w:val="24"/>
          <w:highlight w:val="none"/>
          <w:lang w:val="en-US" w:eastAsia="zh-CN"/>
        </w:rPr>
        <w:t>单回路角钢塔</w:t>
      </w:r>
      <w:bookmarkEnd w:id="4"/>
      <w:r>
        <w:rPr>
          <w:rFonts w:hint="eastAsia" w:ascii="宋体" w:hAnsi="宋体" w:eastAsia="宋体" w:cs="宋体"/>
          <w:bCs/>
          <w:iCs/>
          <w:color w:val="auto"/>
          <w:sz w:val="24"/>
          <w:szCs w:val="24"/>
          <w:highlight w:val="none"/>
          <w:lang w:val="en-US" w:eastAsia="zh-CN"/>
        </w:rPr>
        <w:t xml:space="preserve">段路径长度约2.9km，导线截面采用1×240mm2。  </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为配合间隔调整，对北海电厂～禄罗Ⅰ220kV线路禄罗站侧进线进行改造，改造段路径长度约0.3km，采用单回路角钢塔架设，导线截面采用2×400mm2。</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新建架空线路按基本风速33m/s、0mm覆冰设计。</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新建架空导线采用1×JL/LB20A-240/40铝包钢芯铝绞线。</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新建杆塔21基，其中单回路角钢塔14基、双回路钢管杆7基。</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2）禄罗～白沙牵</w:t>
      </w:r>
      <w:r>
        <w:rPr>
          <w:rFonts w:hint="eastAsia" w:ascii="宋体" w:hAnsi="宋体" w:eastAsia="宋体" w:cs="宋体"/>
          <w:bCs/>
          <w:iCs/>
          <w:color w:val="auto"/>
          <w:sz w:val="24"/>
          <w:szCs w:val="24"/>
          <w:highlight w:val="none"/>
          <w:lang w:val="zh-CN" w:eastAsia="zh-CN"/>
        </w:rPr>
        <w:t>Ⅱ</w:t>
      </w:r>
      <w:r>
        <w:rPr>
          <w:rFonts w:hint="eastAsia" w:ascii="宋体" w:hAnsi="宋体" w:eastAsia="宋体" w:cs="宋体"/>
          <w:bCs/>
          <w:iCs/>
          <w:color w:val="auto"/>
          <w:sz w:val="24"/>
          <w:szCs w:val="24"/>
          <w:highlight w:val="none"/>
          <w:lang w:val="en-US" w:eastAsia="zh-CN"/>
        </w:rPr>
        <w:t>220kV线路工程</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新建线路路径长度约4.5km，其中单回路角钢段路径长度约4.0km，双回路钢管杆单侧挂线段路径长度约0.5km，新建线路导线截面采用1×240mm2。新建双回路钢管杆应满足导线截面为1×300mm2的挂线需求。</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新建架空线路按基本风速33m/s、0mm覆冰设计。</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新建架空导线采用1×JL/LB20A-240/40铝包钢芯铝绞线。</w:t>
      </w:r>
    </w:p>
    <w:p>
      <w:pPr>
        <w:pStyle w:val="21"/>
        <w:numPr>
          <w:ilvl w:val="0"/>
          <w:numId w:val="0"/>
        </w:numPr>
        <w:spacing w:line="480" w:lineRule="atLeast"/>
        <w:ind w:firstLine="480" w:firstLineChars="200"/>
        <w:rPr>
          <w:rFonts w:hint="eastAsia" w:ascii="宋体" w:hAnsi="宋体" w:eastAsia="宋体" w:cs="宋体"/>
          <w:bCs/>
          <w:iCs/>
          <w:color w:val="auto"/>
          <w:sz w:val="24"/>
          <w:szCs w:val="24"/>
          <w:highlight w:val="none"/>
          <w:lang w:val="en-US" w:eastAsia="zh-CN"/>
        </w:rPr>
      </w:pPr>
      <w:r>
        <w:rPr>
          <w:rFonts w:hint="eastAsia" w:ascii="宋体" w:hAnsi="宋体" w:eastAsia="宋体" w:cs="宋体"/>
          <w:bCs/>
          <w:iCs/>
          <w:color w:val="auto"/>
          <w:sz w:val="24"/>
          <w:szCs w:val="24"/>
          <w:highlight w:val="none"/>
          <w:lang w:val="en-US" w:eastAsia="zh-CN"/>
        </w:rPr>
        <w:t>新建杆塔20基，其中单回路角钢塔15基、双回路终端塔1基、双回路直线钢管杆2基、双回路耐张钢管杆2基。</w:t>
      </w:r>
    </w:p>
    <w:p>
      <w:pPr>
        <w:spacing w:line="360" w:lineRule="auto"/>
        <w:ind w:firstLine="482" w:firstLineChars="200"/>
        <w:outlineLvl w:val="0"/>
        <w:rPr>
          <w:rFonts w:hint="eastAsia" w:ascii="宋体" w:hAnsi="宋体" w:cs="宋体"/>
          <w:b/>
          <w:bCs/>
          <w:color w:val="auto"/>
          <w:sz w:val="24"/>
          <w:szCs w:val="24"/>
          <w:highlight w:val="none"/>
        </w:rPr>
      </w:pPr>
    </w:p>
    <w:p>
      <w:pPr>
        <w:spacing w:line="360" w:lineRule="auto"/>
        <w:ind w:firstLine="482" w:firstLineChars="200"/>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二、采购范围：</w:t>
      </w:r>
    </w:p>
    <w:p>
      <w:pPr>
        <w:pStyle w:val="4"/>
        <w:spacing w:line="360" w:lineRule="auto"/>
        <w:ind w:firstLine="482" w:firstLineChars="200"/>
        <w:rPr>
          <w:rFonts w:hint="eastAsia" w:ascii="宋体" w:hAnsi="宋体" w:cs="宋体"/>
          <w:i w:val="0"/>
          <w:iCs/>
          <w:color w:val="auto"/>
          <w:sz w:val="24"/>
          <w:szCs w:val="24"/>
          <w:highlight w:val="none"/>
        </w:rPr>
      </w:pPr>
      <w:r>
        <w:rPr>
          <w:rFonts w:hint="eastAsia" w:ascii="宋体" w:hAnsi="宋体" w:cs="宋体"/>
          <w:i w:val="0"/>
          <w:iCs/>
          <w:color w:val="auto"/>
          <w:sz w:val="24"/>
          <w:szCs w:val="24"/>
          <w:highlight w:val="none"/>
        </w:rPr>
        <w:t>1、220kV禄罗站扩建白沙牵Ⅰ、白沙牵Ⅱ220kV出线间隔工程：</w:t>
      </w:r>
    </w:p>
    <w:p>
      <w:pPr>
        <w:spacing w:line="360" w:lineRule="auto"/>
        <w:ind w:firstLine="480" w:firstLineChars="200"/>
        <w:rPr>
          <w:rFonts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施工图纸范围内的建筑、安装及调试（规程规范及招标前广西电网公司反措要求试验等）工程。包括但不限于：厂家安装调试项目的配合协助工作，施工单位负责整套启动试运及协助相关工作，设备搬迁，建筑物、构筑物、旧设备等余物清理，施工资料、设备信息采集等电子化资料移交工作，物资到货验收、卸车保管、二次倒运，拆除设备、材料运输至属地供电局仓库并配合完成相关手续办理。全站电力电缆、控制电缆、网线、光缆标志牌制作及悬挂（含厂家部分）；五防锁具软件升级采购及接入系统调试，电能计量系统接入，保护信息管理子站系统接入，故障录波修改接入，母线保护名称修改接入、线路间隔接入站内原有电能质量在线监测装置，直流系统及交流不间断电源接入，同步时钟对时系统接入，视频及环境监测系统接入，在线监测系统接入，行波测距系统接入，计算机监控系统完善接入，光通道调试，间隔名调整，保护调试，光纤熔接及光通道调试。资产录入、固定资产移交办理；林木砍伐证办理（含伐区调查），桩基基础破桩头、磨桩头、以及配合检测开挖；建筑原材料取样和送至甲方确定的检测单位，部分厂家安装调试项目的配合协助工作,配合项目建设厂家、第三方单位进场审批等手续办理，履行现场安全管理职责。通过政府职业健康验收。</w:t>
      </w:r>
    </w:p>
    <w:p>
      <w:pPr>
        <w:spacing w:line="360" w:lineRule="auto"/>
        <w:ind w:firstLine="480" w:firstLineChars="200"/>
        <w:rPr>
          <w:rFonts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不包括：土地征用费，站内设备、设施标志牌购置及其他安健环设施的购置和安装、水土保持补偿费、环境监测及环境保护验收费、水土保持监测及验收费、等保测评、智慧工地费用等其他费用，间隔的X射检测，工程项目建设单位委托第三方检测机构进行的质量检测，费用不计入投标报价。</w:t>
      </w:r>
    </w:p>
    <w:p>
      <w:pPr>
        <w:pStyle w:val="4"/>
        <w:spacing w:line="360" w:lineRule="auto"/>
        <w:ind w:firstLine="482" w:firstLineChars="200"/>
        <w:rPr>
          <w:rFonts w:ascii="宋体" w:hAnsi="宋体" w:cs="宋体"/>
          <w:i w:val="0"/>
          <w:iCs/>
          <w:color w:val="auto"/>
          <w:sz w:val="24"/>
          <w:szCs w:val="24"/>
          <w:highlight w:val="none"/>
        </w:rPr>
      </w:pPr>
      <w:r>
        <w:rPr>
          <w:rFonts w:hint="eastAsia" w:ascii="宋体" w:hAnsi="宋体" w:cs="宋体"/>
          <w:i w:val="0"/>
          <w:iCs/>
          <w:color w:val="auto"/>
          <w:sz w:val="24"/>
          <w:szCs w:val="24"/>
          <w:highlight w:val="none"/>
        </w:rPr>
        <w:t>2、架空线路部分：</w:t>
      </w:r>
    </w:p>
    <w:p>
      <w:pPr>
        <w:spacing w:line="360" w:lineRule="auto"/>
        <w:ind w:firstLine="480" w:firstLineChars="200"/>
        <w:rPr>
          <w:rFonts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施工图纸范围内的架空送电线路安装、调试工程。包括但不限于：线路本体工程、双回路相序进行调整、</w:t>
      </w:r>
      <w:r>
        <w:rPr>
          <w:rFonts w:hint="eastAsia" w:asciiTheme="minorEastAsia" w:hAnsiTheme="minorEastAsia" w:eastAsiaTheme="minorEastAsia" w:cstheme="minorEastAsia"/>
          <w:bCs/>
          <w:iCs/>
          <w:color w:val="auto"/>
          <w:sz w:val="24"/>
          <w:szCs w:val="24"/>
          <w:highlight w:val="none"/>
          <w:lang w:val="en-US" w:eastAsia="zh-CN"/>
        </w:rPr>
        <w:t>解口点耐张段</w:t>
      </w:r>
      <w:r>
        <w:rPr>
          <w:rFonts w:hint="eastAsia" w:asciiTheme="minorEastAsia" w:hAnsiTheme="minorEastAsia" w:eastAsiaTheme="minorEastAsia" w:cstheme="minorEastAsia"/>
          <w:bCs/>
          <w:iCs/>
          <w:color w:val="auto"/>
          <w:sz w:val="24"/>
          <w:szCs w:val="24"/>
          <w:highlight w:val="none"/>
        </w:rPr>
        <w:t>旧线路导线和地线弧垂调整、辅助施工费用、跨越及河流封航、铁路、公路、电力线等各种跨越工程及其建设许可报批（</w:t>
      </w:r>
      <w:r>
        <w:rPr>
          <w:rFonts w:hint="eastAsia" w:asciiTheme="minorEastAsia" w:hAnsiTheme="minorEastAsia" w:eastAsiaTheme="minorEastAsia" w:cstheme="minorEastAsia"/>
          <w:bCs/>
          <w:iCs/>
          <w:color w:val="auto"/>
          <w:sz w:val="24"/>
          <w:szCs w:val="24"/>
          <w:highlight w:val="none"/>
          <w:lang w:val="en-US" w:eastAsia="zh-CN"/>
        </w:rPr>
        <w:t>不</w:t>
      </w:r>
      <w:r>
        <w:rPr>
          <w:rFonts w:hint="eastAsia" w:asciiTheme="minorEastAsia" w:hAnsiTheme="minorEastAsia" w:eastAsiaTheme="minorEastAsia" w:cstheme="minorEastAsia"/>
          <w:bCs/>
          <w:iCs/>
          <w:color w:val="auto"/>
          <w:sz w:val="24"/>
          <w:szCs w:val="24"/>
          <w:highlight w:val="none"/>
        </w:rPr>
        <w:t>含</w:t>
      </w:r>
      <w:r>
        <w:rPr>
          <w:rFonts w:hint="eastAsia" w:asciiTheme="minorEastAsia" w:hAnsiTheme="minorEastAsia" w:eastAsiaTheme="minorEastAsia" w:cstheme="minorEastAsia"/>
          <w:bCs/>
          <w:iCs/>
          <w:color w:val="auto"/>
          <w:sz w:val="24"/>
          <w:szCs w:val="24"/>
          <w:highlight w:val="none"/>
          <w:lang w:val="en-US" w:eastAsia="zh-CN"/>
        </w:rPr>
        <w:t>铁路、公路、河流封航</w:t>
      </w:r>
      <w:r>
        <w:rPr>
          <w:rFonts w:hint="eastAsia" w:asciiTheme="minorEastAsia" w:hAnsiTheme="minorEastAsia" w:eastAsiaTheme="minorEastAsia" w:cstheme="minorEastAsia"/>
          <w:bCs/>
          <w:iCs/>
          <w:color w:val="auto"/>
          <w:sz w:val="24"/>
          <w:szCs w:val="24"/>
          <w:highlight w:val="none"/>
        </w:rPr>
        <w:t>安全评估），OPGW光缆架设（含光纤架设、光缆现场单盘开箱检验、金具及附件现场开箱检验、光缆单盘测试、光缆架设、导引（管道）光缆安装、光纤接头标识、光缆熔接、光缆接续及测量、光缆全程接续点单向衰耗测试、光缆全程接续点双向平均衰耗测试等），</w:t>
      </w:r>
      <w:r>
        <w:rPr>
          <w:rFonts w:hint="eastAsia" w:asciiTheme="minorEastAsia" w:hAnsiTheme="minorEastAsia" w:eastAsiaTheme="minorEastAsia" w:cstheme="minorEastAsia"/>
          <w:bCs/>
          <w:iCs/>
          <w:color w:val="auto"/>
          <w:sz w:val="24"/>
          <w:szCs w:val="24"/>
          <w:highlight w:val="none"/>
          <w:lang w:val="en-US" w:eastAsia="zh-CN"/>
        </w:rPr>
        <w:t>新建段</w:t>
      </w:r>
      <w:r>
        <w:rPr>
          <w:rFonts w:hint="eastAsia" w:asciiTheme="minorEastAsia" w:hAnsiTheme="minorEastAsia" w:eastAsiaTheme="minorEastAsia" w:cstheme="minorEastAsia"/>
          <w:bCs/>
          <w:iCs/>
          <w:color w:val="auto"/>
          <w:sz w:val="24"/>
          <w:szCs w:val="24"/>
          <w:highlight w:val="none"/>
        </w:rPr>
        <w:t>杆塔五牌（杆号牌、相序牌、警示牌、光缆牌、直升机巡视牌）安装，杆塔双回路色标牌安装，运行杆号、警示标志喷漆，旧杆号牌采购及安装，辅助施工费用，</w:t>
      </w:r>
      <w:r>
        <w:rPr>
          <w:rFonts w:hint="eastAsia" w:asciiTheme="minorEastAsia" w:hAnsiTheme="minorEastAsia" w:eastAsiaTheme="minorEastAsia" w:cstheme="minorEastAsia"/>
          <w:bCs/>
          <w:iCs/>
          <w:color w:val="auto"/>
          <w:sz w:val="24"/>
          <w:szCs w:val="24"/>
          <w:highlight w:val="none"/>
          <w:lang w:val="en-US" w:eastAsia="zh-CN"/>
        </w:rPr>
        <w:t>围堰和</w:t>
      </w:r>
      <w:r>
        <w:rPr>
          <w:rFonts w:hint="eastAsia" w:asciiTheme="minorEastAsia" w:hAnsiTheme="minorEastAsia" w:eastAsiaTheme="minorEastAsia" w:cstheme="minorEastAsia"/>
          <w:bCs/>
          <w:iCs/>
          <w:color w:val="auto"/>
          <w:sz w:val="24"/>
          <w:szCs w:val="24"/>
          <w:highlight w:val="none"/>
        </w:rPr>
        <w:t>施工道路修筑（考虑桩基进场），各种跨越工程手续办理，电力线、通信线迁移、通信基站搬迁，拆除π接（改接）原线路余物清理（包括工程拆除及清理），拆除物资运回属地供电局仓库；负责导、地线拉力试验；配合建设单位X光检测等各项检测，按建设单位要求见证取样、其他检测送至甲方委托检测单位；附属设施安装（包括：综合在线监测装置、绝缘子污秽监测装置、分布式故障定位系统、线路避雷器、微气象在线监测装置、跨越铁路安全警示牌等），电子化移交数据采集、资产录等入外业工作，安全生产管理系统输电设备台账录入；建设场地征用及清理费用编制结算工作，按3C绿色电网建设要求对余土进行处理，钻孔桩泥浆外运处理，塔基及弃土区植被恢复。线路通道树木砍伐人工费及办理林木砍伐证件（含林木砍伐设计调查报告编制等）相关手续费，钢管杆施工修路及附作物赔偿费，施工临时用地补偿费用（包含牵张场地、施工中因运输、堆放材料、机具，开挖基础土石方，开挖接地槽土石方，施工基础、组立杆塔过程中临时占用场地青苗赔偿、清理、复垦工作等相关费用），线路工程征地拆迁补偿工作服务（含沿线地方政府按公里或塔位收取的协调费）。线路参数测试，整套启动试运行。</w:t>
      </w:r>
    </w:p>
    <w:p>
      <w:pPr>
        <w:spacing w:line="360" w:lineRule="auto"/>
        <w:ind w:firstLine="480" w:firstLineChars="200"/>
        <w:rPr>
          <w:rFonts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不包括：杆塔占地及附着物补偿费、护坡挡土墙和排水沟的占地及附着物补偿费、线路走廊青苗补偿费及树木砍伐补偿费、森林植被恢复费、坟墓迁移补偿费、养殖池（塘）补偿费、宅基地补偿费、厂矿场和房屋等不动产类拆迁补偿等费用、巡线与检修站工程、新建线路杆塔标志牌购置、机场飞行安全评估、跨越油气管道评估。工程项目建设单位委托第三方检测机构进行的质量检测费用不计入投标报价。根据《建设工程质量检测管理办法》的规定，工程项目建设单位委托第三方检测机构进行的质量检测业务包括但不限于以下内容：</w:t>
      </w:r>
    </w:p>
    <w:p>
      <w:pPr>
        <w:spacing w:line="360" w:lineRule="auto"/>
        <w:ind w:firstLine="480" w:firstLineChars="200"/>
        <w:rPr>
          <w:rFonts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（1）专项检测：场地土方回填试验（击实试验、压实度试验）；钢筋混凝土实体监测(钢筋保护层厚度、混凝土强度、尺寸偏差)；桩基础检测(承载力、桩身完整性)；地基承载力检测；耐张线夹X光检测。</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r>
        <w:rPr>
          <w:rFonts w:hint="eastAsia" w:asciiTheme="minorEastAsia" w:hAnsiTheme="minorEastAsia" w:eastAsiaTheme="minorEastAsia" w:cstheme="minorEastAsia"/>
          <w:bCs/>
          <w:iCs/>
          <w:color w:val="auto"/>
          <w:sz w:val="24"/>
          <w:szCs w:val="24"/>
          <w:highlight w:val="none"/>
        </w:rPr>
        <w:t>（2）见证取样检测：水泥物理力学性能检验；钢筋（含焊接与机械连接）力学性能检验；砂、石常规检验；混凝土、砂浆强度检验。</w:t>
      </w:r>
    </w:p>
    <w:p>
      <w:pPr>
        <w:spacing w:line="360" w:lineRule="auto"/>
        <w:ind w:firstLine="480" w:firstLineChars="200"/>
        <w:rPr>
          <w:rFonts w:hint="eastAsia" w:asciiTheme="minorEastAsia" w:hAnsiTheme="minorEastAsia" w:eastAsiaTheme="minorEastAsia" w:cstheme="minorEastAsia"/>
          <w:bCs/>
          <w:iCs/>
          <w:color w:val="auto"/>
          <w:sz w:val="24"/>
          <w:szCs w:val="24"/>
          <w:highlight w:val="none"/>
        </w:rPr>
      </w:pPr>
    </w:p>
    <w:p>
      <w:pPr>
        <w:pStyle w:val="3"/>
        <w:ind w:firstLine="482" w:firstLineChars="200"/>
        <w:rPr>
          <w:rFonts w:ascii="宋体" w:hAnsi="宋体" w:cs="宋体"/>
          <w:iCs/>
          <w:color w:val="auto"/>
          <w:sz w:val="24"/>
          <w:szCs w:val="24"/>
          <w:highlight w:val="none"/>
        </w:rPr>
      </w:pPr>
      <w:r>
        <w:rPr>
          <w:rFonts w:hint="eastAsia" w:ascii="宋体" w:hAnsi="宋体" w:cs="宋体"/>
          <w:iCs/>
          <w:color w:val="auto"/>
          <w:sz w:val="24"/>
          <w:szCs w:val="24"/>
          <w:highlight w:val="none"/>
        </w:rPr>
        <w:t>特殊调试清单</w:t>
      </w:r>
    </w:p>
    <w:p>
      <w:pPr>
        <w:autoSpaceDE w:val="0"/>
        <w:autoSpaceDN w:val="0"/>
        <w:spacing w:line="360" w:lineRule="auto"/>
        <w:ind w:firstLine="420" w:firstLineChars="200"/>
        <w:jc w:val="center"/>
        <w:rPr>
          <w:rFonts w:ascii="宋体" w:hAnsi="宋体" w:cs="仿宋_GB2312"/>
          <w:b/>
          <w:color w:val="auto"/>
          <w:szCs w:val="21"/>
          <w:highlight w:val="none"/>
        </w:rPr>
      </w:pPr>
      <w:r>
        <w:rPr>
          <w:rFonts w:hint="eastAsia" w:ascii="宋体" w:hAnsi="宋体"/>
          <w:color w:val="auto"/>
          <w:szCs w:val="21"/>
          <w:highlight w:val="none"/>
        </w:rPr>
        <w:t>特殊调试项目明细表</w:t>
      </w:r>
    </w:p>
    <w:tbl>
      <w:tblPr>
        <w:tblStyle w:val="12"/>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序号</w:t>
            </w:r>
          </w:p>
        </w:tc>
        <w:tc>
          <w:tcPr>
            <w:tcW w:w="5610"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特殊调试项目</w:t>
            </w:r>
          </w:p>
        </w:tc>
        <w:tc>
          <w:tcPr>
            <w:tcW w:w="2220"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autoSpaceDE w:val="0"/>
              <w:autoSpaceDN w:val="0"/>
              <w:jc w:val="center"/>
              <w:rPr>
                <w:rFonts w:ascii="宋体" w:hAnsi="宋体"/>
                <w:color w:val="auto"/>
                <w:szCs w:val="21"/>
                <w:highlight w:val="none"/>
              </w:rPr>
            </w:pPr>
            <w:r>
              <w:rPr>
                <w:rFonts w:hint="eastAsia" w:ascii="宋体" w:hAnsi="宋体"/>
                <w:color w:val="auto"/>
                <w:szCs w:val="21"/>
                <w:highlight w:val="none"/>
              </w:rPr>
              <w:t>1</w:t>
            </w:r>
          </w:p>
        </w:tc>
        <w:tc>
          <w:tcPr>
            <w:tcW w:w="5610" w:type="dxa"/>
            <w:vAlign w:val="center"/>
          </w:tcPr>
          <w:p>
            <w:pPr>
              <w:autoSpaceDE w:val="0"/>
              <w:autoSpaceDN w:val="0"/>
              <w:rPr>
                <w:rFonts w:ascii="宋体" w:hAnsi="宋体"/>
                <w:color w:val="auto"/>
                <w:szCs w:val="21"/>
                <w:highlight w:val="none"/>
              </w:rPr>
            </w:pPr>
            <w:r>
              <w:rPr>
                <w:rFonts w:hint="eastAsia" w:ascii="宋体" w:hAnsi="宋体"/>
                <w:color w:val="auto"/>
                <w:szCs w:val="21"/>
                <w:highlight w:val="none"/>
              </w:rPr>
              <w:t>根据规程规范及南方电网公司反措要求试验调试</w:t>
            </w:r>
          </w:p>
        </w:tc>
        <w:tc>
          <w:tcPr>
            <w:tcW w:w="2220" w:type="dxa"/>
            <w:vAlign w:val="center"/>
          </w:tcPr>
          <w:p>
            <w:pPr>
              <w:autoSpaceDE w:val="0"/>
              <w:autoSpaceDN w:val="0"/>
              <w:jc w:val="center"/>
              <w:rPr>
                <w:rFonts w:ascii="宋体" w:hAnsi="宋体"/>
                <w:color w:val="auto"/>
                <w:szCs w:val="21"/>
                <w:highlight w:val="none"/>
              </w:rPr>
            </w:pPr>
          </w:p>
        </w:tc>
      </w:tr>
    </w:tbl>
    <w:p>
      <w:pPr>
        <w:spacing w:line="360" w:lineRule="auto"/>
        <w:ind w:firstLine="480" w:firstLineChars="200"/>
        <w:rPr>
          <w:rFonts w:asciiTheme="minorEastAsia" w:hAnsiTheme="minorEastAsia" w:eastAsiaTheme="minorEastAsia" w:cstheme="minorEastAsia"/>
          <w:bCs/>
          <w:iCs/>
          <w:color w:val="auto"/>
          <w:sz w:val="24"/>
          <w:szCs w:val="24"/>
          <w:highlight w:val="none"/>
        </w:rPr>
      </w:pPr>
    </w:p>
    <w:p>
      <w:pPr>
        <w:pStyle w:val="4"/>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rPr>
        <w:t>三．承包方式：包工、部分包料</w:t>
      </w:r>
    </w:p>
    <w:p>
      <w:pPr>
        <w:jc w:val="center"/>
        <w:rPr>
          <w:rFonts w:ascii="宋体" w:hAnsi="宋体"/>
          <w:b/>
          <w:color w:val="auto"/>
          <w:sz w:val="32"/>
          <w:szCs w:val="32"/>
          <w:highlight w:val="none"/>
          <w:u w:val="single"/>
        </w:rPr>
      </w:pPr>
      <w:r>
        <w:rPr>
          <w:rFonts w:hint="eastAsia" w:ascii="宋体" w:hAnsi="宋体"/>
          <w:b/>
          <w:color w:val="auto"/>
          <w:sz w:val="32"/>
          <w:szCs w:val="32"/>
          <w:highlight w:val="none"/>
          <w:u w:val="single"/>
        </w:rPr>
        <w:t>1、合浦至湛江铁路220kV外部电源送电工程间隔工程部分</w:t>
      </w:r>
    </w:p>
    <w:p>
      <w:pPr>
        <w:jc w:val="center"/>
        <w:rPr>
          <w:b/>
          <w:color w:val="auto"/>
          <w:highlight w:val="none"/>
        </w:rPr>
      </w:pPr>
      <w:r>
        <w:rPr>
          <w:rFonts w:hint="eastAsia"/>
          <w:b/>
          <w:color w:val="auto"/>
          <w:highlight w:val="none"/>
        </w:rPr>
        <w:t>招标人提供的设备、材料清单</w:t>
      </w:r>
    </w:p>
    <w:tbl>
      <w:tblPr>
        <w:tblStyle w:val="12"/>
        <w:tblpPr w:leftFromText="180" w:rightFromText="180" w:vertAnchor="text" w:horzAnchor="margin" w:tblpX="-601" w:tblpY="555"/>
        <w:tblW w:w="9889" w:type="dxa"/>
        <w:tblInd w:w="0" w:type="dxa"/>
        <w:tblLayout w:type="fixed"/>
        <w:tblCellMar>
          <w:top w:w="0" w:type="dxa"/>
          <w:left w:w="108" w:type="dxa"/>
          <w:bottom w:w="0" w:type="dxa"/>
          <w:right w:w="108" w:type="dxa"/>
        </w:tblCellMar>
      </w:tblPr>
      <w:tblGrid>
        <w:gridCol w:w="958"/>
        <w:gridCol w:w="3404"/>
        <w:gridCol w:w="850"/>
        <w:gridCol w:w="852"/>
        <w:gridCol w:w="1135"/>
        <w:gridCol w:w="2690"/>
      </w:tblGrid>
      <w:tr>
        <w:tblPrEx>
          <w:tblCellMar>
            <w:top w:w="0" w:type="dxa"/>
            <w:left w:w="108" w:type="dxa"/>
            <w:bottom w:w="0" w:type="dxa"/>
            <w:right w:w="108" w:type="dxa"/>
          </w:tblCellMar>
        </w:tblPrEx>
        <w:trPr>
          <w:trHeight w:val="397" w:hRule="atLeast"/>
          <w:tblHeader/>
        </w:trPr>
        <w:tc>
          <w:tcPr>
            <w:tcW w:w="958" w:type="dxa"/>
            <w:tcBorders>
              <w:top w:val="single" w:color="auto" w:sz="8" w:space="0"/>
              <w:left w:val="single" w:color="auto" w:sz="8" w:space="0"/>
              <w:bottom w:val="single" w:color="auto" w:sz="4" w:space="0"/>
              <w:right w:val="single" w:color="auto" w:sz="4" w:space="0"/>
            </w:tcBorders>
            <w:vAlign w:val="center"/>
          </w:tcPr>
          <w:p>
            <w:pPr>
              <w:widowControl/>
              <w:rPr>
                <w:rFonts w:ascii="宋体" w:hAnsi="宋体"/>
                <w:b/>
                <w:color w:val="auto"/>
                <w:kern w:val="0"/>
                <w:highlight w:val="none"/>
              </w:rPr>
            </w:pPr>
            <w:r>
              <w:rPr>
                <w:rFonts w:hint="eastAsia" w:ascii="宋体" w:hAnsi="宋体"/>
                <w:b/>
                <w:color w:val="auto"/>
                <w:kern w:val="0"/>
                <w:highlight w:val="none"/>
              </w:rPr>
              <w:t>序号</w:t>
            </w:r>
          </w:p>
        </w:tc>
        <w:tc>
          <w:tcPr>
            <w:tcW w:w="3404"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85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85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135"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69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404"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安装工程（含通信）</w:t>
            </w:r>
            <w:r>
              <w:rPr>
                <w:color w:val="auto"/>
                <w:highlight w:val="none"/>
              </w:rPr>
              <w:t xml:space="preserve"> </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除中标人购买外的所有设备（其中封闭母线桥列为甲供设备）</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2</w:t>
            </w:r>
          </w:p>
        </w:tc>
        <w:tc>
          <w:tcPr>
            <w:tcW w:w="3404" w:type="dxa"/>
            <w:tcBorders>
              <w:top w:val="nil"/>
              <w:left w:val="nil"/>
              <w:bottom w:val="single" w:color="auto" w:sz="4" w:space="0"/>
              <w:right w:val="single" w:color="auto" w:sz="4" w:space="0"/>
            </w:tcBorders>
            <w:vAlign w:val="center"/>
          </w:tcPr>
          <w:p>
            <w:pPr>
              <w:rPr>
                <w:rFonts w:hint="eastAsia"/>
                <w:color w:val="auto"/>
                <w:highlight w:val="none"/>
              </w:rPr>
            </w:pPr>
            <w:r>
              <w:rPr>
                <w:rFonts w:hint="eastAsia"/>
                <w:bCs w:val="0"/>
                <w:i w:val="0"/>
                <w:iCs/>
                <w:color w:val="auto"/>
                <w:sz w:val="21"/>
                <w:szCs w:val="21"/>
                <w:highlight w:val="none"/>
              </w:rPr>
              <w:t>户外检修电源箱、户外动力</w:t>
            </w:r>
            <w:r>
              <w:rPr>
                <w:rFonts w:hint="eastAsia"/>
                <w:b w:val="0"/>
                <w:bCs/>
                <w:i w:val="0"/>
                <w:iCs/>
                <w:color w:val="auto"/>
                <w:sz w:val="21"/>
                <w:szCs w:val="21"/>
                <w:highlight w:val="none"/>
                <w:lang w:val="en-US" w:eastAsia="zh-CN"/>
              </w:rPr>
              <w:t>配电</w:t>
            </w:r>
            <w:r>
              <w:rPr>
                <w:rFonts w:hint="eastAsia"/>
                <w:bCs w:val="0"/>
                <w:i w:val="0"/>
                <w:iCs/>
                <w:color w:val="auto"/>
                <w:sz w:val="21"/>
                <w:szCs w:val="21"/>
                <w:highlight w:val="none"/>
              </w:rPr>
              <w:t>箱</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404"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135" w:type="dxa"/>
            <w:tcBorders>
              <w:top w:val="nil"/>
              <w:left w:val="nil"/>
              <w:bottom w:val="single" w:color="auto" w:sz="4" w:space="0"/>
              <w:right w:val="single" w:color="auto" w:sz="4" w:space="0"/>
            </w:tcBorders>
            <w:vAlign w:val="center"/>
          </w:tcPr>
          <w:p>
            <w:pPr>
              <w:jc w:val="center"/>
              <w:rPr>
                <w:color w:val="auto"/>
                <w:highlight w:val="none"/>
              </w:rPr>
            </w:pPr>
          </w:p>
        </w:tc>
        <w:tc>
          <w:tcPr>
            <w:tcW w:w="2690"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3404" w:type="dxa"/>
            <w:tcBorders>
              <w:top w:val="nil"/>
              <w:left w:val="nil"/>
              <w:bottom w:val="single" w:color="auto" w:sz="4" w:space="0"/>
              <w:right w:val="single" w:color="auto" w:sz="4" w:space="0"/>
            </w:tcBorders>
            <w:vAlign w:val="center"/>
          </w:tcPr>
          <w:p>
            <w:pPr>
              <w:widowControl/>
              <w:spacing w:line="240" w:lineRule="auto"/>
              <w:rPr>
                <w:color w:val="auto"/>
                <w:highlight w:val="none"/>
              </w:rPr>
            </w:pPr>
            <w:r>
              <w:rPr>
                <w:rFonts w:hint="eastAsia" w:hAnsi="Calibri"/>
                <w:color w:val="auto"/>
                <w:spacing w:val="10"/>
                <w:kern w:val="2"/>
                <w:highlight w:val="none"/>
              </w:rPr>
              <w:t>电力电缆（</w:t>
            </w:r>
            <w:r>
              <w:rPr>
                <w:rFonts w:hint="eastAsia" w:hAnsi="宋体"/>
                <w:color w:val="auto"/>
                <w:kern w:val="0"/>
                <w:szCs w:val="20"/>
                <w:highlight w:val="none"/>
              </w:rPr>
              <w:t>不含消防电缆、照明电缆、通信电缆</w:t>
            </w:r>
            <w:r>
              <w:rPr>
                <w:rFonts w:hint="eastAsia" w:hAnsi="Calibri"/>
                <w:color w:val="auto"/>
                <w:spacing w:val="10"/>
                <w:kern w:val="2"/>
                <w:highlight w:val="none"/>
              </w:rPr>
              <w:t>）、部分动力电缆（不含清册开列注明的乙供动力电缆）</w:t>
            </w:r>
          </w:p>
        </w:tc>
        <w:tc>
          <w:tcPr>
            <w:tcW w:w="850"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852"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r>
              <w:rPr>
                <w:color w:val="auto"/>
                <w:highlight w:val="none"/>
              </w:rPr>
              <w:t>m</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2</w:t>
            </w:r>
          </w:p>
        </w:tc>
        <w:tc>
          <w:tcPr>
            <w:tcW w:w="3404" w:type="dxa"/>
            <w:tcBorders>
              <w:top w:val="nil"/>
              <w:left w:val="nil"/>
              <w:bottom w:val="single" w:color="auto" w:sz="4" w:space="0"/>
              <w:right w:val="single" w:color="auto" w:sz="4" w:space="0"/>
            </w:tcBorders>
            <w:vAlign w:val="center"/>
          </w:tcPr>
          <w:p>
            <w:pPr>
              <w:snapToGrid w:val="0"/>
              <w:rPr>
                <w:color w:val="auto"/>
                <w:spacing w:val="10"/>
                <w:highlight w:val="none"/>
              </w:rPr>
            </w:pPr>
            <w:r>
              <w:rPr>
                <w:rFonts w:hint="eastAsia"/>
                <w:color w:val="auto"/>
                <w:spacing w:val="10"/>
                <w:highlight w:val="none"/>
              </w:rPr>
              <w:t>控制电缆（</w:t>
            </w:r>
            <w:r>
              <w:rPr>
                <w:rFonts w:hint="eastAsia" w:hAnsi="宋体"/>
                <w:color w:val="auto"/>
                <w:kern w:val="0"/>
                <w:szCs w:val="20"/>
                <w:highlight w:val="none"/>
              </w:rPr>
              <w:t>不含消防电缆、照明电缆、通信电缆、装置对时电缆</w:t>
            </w:r>
            <w:r>
              <w:rPr>
                <w:rFonts w:hint="eastAsia"/>
                <w:color w:val="auto"/>
                <w:spacing w:val="10"/>
                <w:highlight w:val="none"/>
              </w:rPr>
              <w:t>）</w:t>
            </w:r>
          </w:p>
        </w:tc>
        <w:tc>
          <w:tcPr>
            <w:tcW w:w="850" w:type="dxa"/>
            <w:tcBorders>
              <w:top w:val="nil"/>
              <w:left w:val="nil"/>
              <w:bottom w:val="single" w:color="auto" w:sz="4" w:space="0"/>
              <w:right w:val="single" w:color="auto" w:sz="4" w:space="0"/>
            </w:tcBorders>
            <w:vAlign w:val="center"/>
          </w:tcPr>
          <w:p>
            <w:pPr>
              <w:snapToGrid w:val="0"/>
              <w:jc w:val="center"/>
              <w:rPr>
                <w:rFonts w:ascii="宋体"/>
                <w:color w:val="auto"/>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r>
              <w:rPr>
                <w:color w:val="auto"/>
                <w:highlight w:val="none"/>
              </w:rPr>
              <w:t>m</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3</w:t>
            </w:r>
          </w:p>
        </w:tc>
        <w:tc>
          <w:tcPr>
            <w:tcW w:w="3404" w:type="dxa"/>
            <w:tcBorders>
              <w:top w:val="nil"/>
              <w:left w:val="nil"/>
              <w:bottom w:val="single" w:color="auto" w:sz="4" w:space="0"/>
              <w:right w:val="single" w:color="auto" w:sz="4" w:space="0"/>
            </w:tcBorders>
            <w:vAlign w:val="center"/>
          </w:tcPr>
          <w:p>
            <w:pPr>
              <w:snapToGrid w:val="0"/>
              <w:rPr>
                <w:color w:val="auto"/>
                <w:spacing w:val="10"/>
                <w:highlight w:val="none"/>
              </w:rPr>
            </w:pPr>
            <w:r>
              <w:rPr>
                <w:color w:val="auto"/>
                <w:spacing w:val="10"/>
                <w:highlight w:val="none"/>
              </w:rPr>
              <w:t>10kV</w:t>
            </w:r>
            <w:r>
              <w:rPr>
                <w:rFonts w:hint="eastAsia"/>
                <w:color w:val="auto"/>
                <w:spacing w:val="10"/>
                <w:highlight w:val="none"/>
              </w:rPr>
              <w:t>及以上冷、热缩电缆头</w:t>
            </w:r>
          </w:p>
        </w:tc>
        <w:tc>
          <w:tcPr>
            <w:tcW w:w="850" w:type="dxa"/>
            <w:tcBorders>
              <w:top w:val="nil"/>
              <w:left w:val="nil"/>
              <w:bottom w:val="single" w:color="auto" w:sz="4" w:space="0"/>
              <w:right w:val="single" w:color="auto" w:sz="4" w:space="0"/>
            </w:tcBorders>
            <w:vAlign w:val="center"/>
          </w:tcPr>
          <w:p>
            <w:pPr>
              <w:snapToGrid w:val="0"/>
              <w:rPr>
                <w:rFonts w:ascii="宋体"/>
                <w:color w:val="auto"/>
                <w:highlight w:val="none"/>
              </w:rPr>
            </w:pPr>
          </w:p>
        </w:tc>
        <w:tc>
          <w:tcPr>
            <w:tcW w:w="852"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套</w:t>
            </w:r>
          </w:p>
        </w:tc>
        <w:tc>
          <w:tcPr>
            <w:tcW w:w="1135"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single" w:color="auto" w:sz="6" w:space="0"/>
              <w:right w:val="single" w:color="auto" w:sz="6" w:space="0"/>
            </w:tcBorders>
            <w:vAlign w:val="center"/>
          </w:tcPr>
          <w:p>
            <w:pPr>
              <w:jc w:val="center"/>
              <w:rPr>
                <w:color w:val="auto"/>
                <w:highlight w:val="none"/>
              </w:rPr>
            </w:pPr>
            <w:r>
              <w:rPr>
                <w:color w:val="auto"/>
                <w:highlight w:val="none"/>
              </w:rPr>
              <w:t>4</w:t>
            </w:r>
          </w:p>
        </w:tc>
        <w:tc>
          <w:tcPr>
            <w:tcW w:w="3404" w:type="dxa"/>
            <w:tcBorders>
              <w:top w:val="single" w:color="auto" w:sz="6" w:space="0"/>
              <w:left w:val="single" w:color="auto" w:sz="6" w:space="0"/>
              <w:bottom w:val="single" w:color="auto" w:sz="6" w:space="0"/>
              <w:right w:val="single" w:color="auto" w:sz="4" w:space="0"/>
            </w:tcBorders>
            <w:vAlign w:val="center"/>
          </w:tcPr>
          <w:p>
            <w:pPr>
              <w:snapToGrid w:val="0"/>
              <w:rPr>
                <w:color w:val="auto"/>
                <w:spacing w:val="10"/>
                <w:highlight w:val="none"/>
              </w:rPr>
            </w:pPr>
            <w:r>
              <w:rPr>
                <w:rFonts w:hint="eastAsia"/>
                <w:color w:val="auto"/>
                <w:spacing w:val="10"/>
                <w:highlight w:val="none"/>
              </w:rPr>
              <w:t>变电站钢结构</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t</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rPr>
                <w:color w:val="auto"/>
                <w:highlight w:val="none"/>
              </w:rPr>
            </w:pPr>
            <w:r>
              <w:rPr>
                <w:color w:val="auto"/>
                <w:highlight w:val="none"/>
              </w:rPr>
              <w:t>6</w:t>
            </w:r>
          </w:p>
        </w:tc>
        <w:tc>
          <w:tcPr>
            <w:tcW w:w="3404" w:type="dxa"/>
            <w:tcBorders>
              <w:top w:val="single" w:color="auto" w:sz="6" w:space="0"/>
              <w:left w:val="single" w:color="auto" w:sz="6" w:space="0"/>
              <w:bottom w:val="nil"/>
              <w:right w:val="single" w:color="auto" w:sz="4" w:space="0"/>
            </w:tcBorders>
            <w:vAlign w:val="center"/>
          </w:tcPr>
          <w:p>
            <w:pPr>
              <w:snapToGrid w:val="0"/>
              <w:rPr>
                <w:rFonts w:hint="default" w:eastAsia="宋体"/>
                <w:color w:val="auto"/>
                <w:highlight w:val="none"/>
                <w:lang w:val="en-US" w:eastAsia="zh-CN"/>
              </w:rPr>
            </w:pPr>
            <w:r>
              <w:rPr>
                <w:rFonts w:hint="eastAsia"/>
                <w:color w:val="auto"/>
                <w:highlight w:val="none"/>
              </w:rPr>
              <w:t>35kV</w:t>
            </w:r>
            <w:r>
              <w:rPr>
                <w:rFonts w:hint="eastAsia"/>
                <w:color w:val="auto"/>
                <w:highlight w:val="none"/>
                <w:lang w:eastAsia="zh-CN"/>
              </w:rPr>
              <w:t>及以上</w:t>
            </w:r>
            <w:r>
              <w:rPr>
                <w:rFonts w:hint="eastAsia"/>
                <w:color w:val="auto"/>
                <w:highlight w:val="none"/>
              </w:rPr>
              <w:t>支柱绝缘子</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nil"/>
              <w:right w:val="single" w:color="auto" w:sz="6" w:space="0"/>
            </w:tcBorders>
            <w:vAlign w:val="center"/>
          </w:tcPr>
          <w:p>
            <w:pPr>
              <w:jc w:val="center"/>
              <w:rPr>
                <w:color w:val="auto"/>
                <w:highlight w:val="none"/>
              </w:rPr>
            </w:pPr>
            <w:r>
              <w:rPr>
                <w:rFonts w:hint="eastAsia"/>
                <w:color w:val="auto"/>
                <w:highlight w:val="none"/>
                <w:lang w:val="en-US" w:eastAsia="zh-CN"/>
              </w:rPr>
              <w:t>7</w:t>
            </w:r>
          </w:p>
        </w:tc>
        <w:tc>
          <w:tcPr>
            <w:tcW w:w="3404" w:type="dxa"/>
            <w:tcBorders>
              <w:top w:val="single" w:color="auto" w:sz="6" w:space="0"/>
              <w:left w:val="single" w:color="auto" w:sz="6" w:space="0"/>
              <w:bottom w:val="nil"/>
              <w:right w:val="single" w:color="auto" w:sz="4" w:space="0"/>
            </w:tcBorders>
            <w:vAlign w:val="center"/>
          </w:tcPr>
          <w:p>
            <w:pPr>
              <w:snapToGrid w:val="0"/>
              <w:rPr>
                <w:color w:val="auto"/>
                <w:highlight w:val="none"/>
              </w:rPr>
            </w:pPr>
            <w:r>
              <w:rPr>
                <w:rFonts w:hint="eastAsia"/>
                <w:color w:val="auto"/>
                <w:highlight w:val="none"/>
              </w:rPr>
              <w:t>铜管型母线及管母金具</w:t>
            </w:r>
          </w:p>
        </w:tc>
        <w:tc>
          <w:tcPr>
            <w:tcW w:w="850" w:type="dxa"/>
            <w:tcBorders>
              <w:top w:val="single" w:color="auto" w:sz="6" w:space="0"/>
              <w:left w:val="single" w:color="auto" w:sz="4"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8</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default"/>
                <w:color w:val="auto"/>
                <w:highlight w:val="none"/>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w:t>
            </w:r>
            <w:r>
              <w:rPr>
                <w:rFonts w:hint="eastAsia"/>
                <w:color w:val="auto"/>
                <w:highlight w:val="none"/>
                <w:lang w:val="en-US" w:eastAsia="zh-CN"/>
              </w:rPr>
              <w:t>耐热铝合金导线</w:t>
            </w:r>
          </w:p>
        </w:tc>
        <w:tc>
          <w:tcPr>
            <w:tcW w:w="850"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9</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eastAsia"/>
                <w:color w:val="auto"/>
                <w:highlight w:val="none"/>
              </w:rPr>
            </w:pPr>
            <w:r>
              <w:rPr>
                <w:rFonts w:hint="eastAsia"/>
                <w:color w:val="auto"/>
                <w:highlight w:val="none"/>
              </w:rPr>
              <w:t>镀锌钢绞线</w:t>
            </w:r>
            <w:r>
              <w:rPr>
                <w:rFonts w:hint="eastAsia"/>
                <w:color w:val="auto"/>
                <w:highlight w:val="none"/>
                <w:lang w:eastAsia="zh-CN"/>
              </w:rPr>
              <w:t>和铝包钢绞线</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10</w:t>
            </w:r>
          </w:p>
        </w:tc>
        <w:tc>
          <w:tcPr>
            <w:tcW w:w="3404" w:type="dxa"/>
            <w:tcBorders>
              <w:top w:val="single" w:color="auto" w:sz="6" w:space="0"/>
              <w:left w:val="single" w:color="auto" w:sz="6" w:space="0"/>
              <w:bottom w:val="single" w:color="auto" w:sz="6" w:space="0"/>
              <w:right w:val="single" w:color="auto" w:sz="6" w:space="0"/>
            </w:tcBorders>
            <w:vAlign w:val="center"/>
          </w:tcPr>
          <w:p>
            <w:pPr>
              <w:rPr>
                <w:rFonts w:hint="eastAsia"/>
                <w:color w:val="auto"/>
                <w:highlight w:val="none"/>
              </w:rPr>
            </w:pPr>
            <w:r>
              <w:rPr>
                <w:rFonts w:hint="eastAsia"/>
                <w:color w:val="auto"/>
                <w:highlight w:val="none"/>
              </w:rPr>
              <w:t>绝缘子</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ascii="宋体" w:hAnsi="宋体"/>
                <w:color w:val="auto"/>
                <w:highlight w:val="none"/>
                <w:lang w:val="en-US" w:eastAsia="zh-CN"/>
              </w:rPr>
              <w:t>片</w:t>
            </w:r>
          </w:p>
        </w:tc>
        <w:tc>
          <w:tcPr>
            <w:tcW w:w="1135"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2018年版</w:t>
            </w:r>
            <w:r>
              <w:rPr>
                <w:rFonts w:hint="eastAsia"/>
                <w:color w:val="auto"/>
                <w:highlight w:val="none"/>
              </w:rPr>
              <w:t>）</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color w:val="auto"/>
                <w:highlight w:val="none"/>
              </w:rPr>
            </w:pPr>
            <w:r>
              <w:rPr>
                <w:rFonts w:hint="eastAsia"/>
                <w:color w:val="auto"/>
                <w:highlight w:val="none"/>
                <w:lang w:val="en-US" w:eastAsia="zh-CN"/>
              </w:rPr>
              <w:t>11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rFonts w:hint="eastAsia"/>
                <w:color w:val="auto"/>
                <w:highlight w:val="none"/>
              </w:rPr>
            </w:pPr>
            <w:r>
              <w:rPr>
                <w:rFonts w:hint="eastAsia"/>
                <w:color w:val="auto"/>
                <w:highlight w:val="none"/>
                <w:lang w:val="en-US" w:eastAsia="zh-CN"/>
              </w:rPr>
              <w:t>电缆支架、电缆桥架</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color w:val="auto"/>
                <w:highlight w:val="none"/>
              </w:rPr>
            </w:pPr>
            <w:r>
              <w:rPr>
                <w:rFonts w:hint="eastAsia"/>
                <w:color w:val="auto"/>
                <w:highlight w:val="none"/>
              </w:rPr>
              <w:t>中标施工单位安装</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建筑工程</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（一）</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设备部分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1</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空调、</w:t>
            </w:r>
            <w:r>
              <w:rPr>
                <w:rFonts w:hint="eastAsia" w:ascii="宋体" w:hAnsi="宋体"/>
                <w:color w:val="auto"/>
                <w:highlight w:val="none"/>
              </w:rPr>
              <w:t>消防器材（灭火器、消防铲、消防斧、消防桶等）</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2</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户内动力配电箱、户内检修电源箱</w:t>
            </w:r>
            <w:r>
              <w:rPr>
                <w:rFonts w:hint="eastAsia"/>
                <w:color w:val="auto"/>
                <w:highlight w:val="none"/>
                <w:lang w:eastAsia="zh-CN"/>
              </w:rPr>
              <w:t>（</w:t>
            </w:r>
            <w:r>
              <w:rPr>
                <w:rFonts w:hint="eastAsia"/>
                <w:color w:val="auto"/>
                <w:highlight w:val="none"/>
                <w:lang w:val="en-US" w:eastAsia="zh-CN"/>
              </w:rPr>
              <w:t>不含照明、消防的配电箱和电源箱</w:t>
            </w:r>
            <w:r>
              <w:rPr>
                <w:rFonts w:hint="eastAsia"/>
                <w:color w:val="auto"/>
                <w:highlight w:val="none"/>
                <w:lang w:eastAsia="zh-CN"/>
              </w:rPr>
              <w:t>）</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rFonts w:ascii="Calibri" w:hAnsi="Calibri" w:eastAsia="宋体" w:cs="Times New Roman"/>
                <w:color w:val="auto"/>
                <w:kern w:val="2"/>
                <w:sz w:val="21"/>
                <w:szCs w:val="22"/>
                <w:highlight w:val="none"/>
                <w:lang w:val="en-US" w:eastAsia="zh-CN" w:bidi="ar-SA"/>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shd w:val="clear" w:color="auto" w:fill="auto"/>
            <w:vAlign w:val="top"/>
          </w:tcPr>
          <w:p>
            <w:pPr>
              <w:rPr>
                <w:rFonts w:ascii="Calibri" w:hAnsi="Calibri" w:eastAsia="宋体" w:cs="Times New Roman"/>
                <w:color w:val="auto"/>
                <w:kern w:val="2"/>
                <w:sz w:val="21"/>
                <w:szCs w:val="22"/>
                <w:highlight w:val="none"/>
                <w:lang w:val="en-US" w:eastAsia="zh-CN" w:bidi="ar-SA"/>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材料部分</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3404"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ascii="宋体" w:hAnsi="宋体"/>
                <w:color w:val="auto"/>
                <w:szCs w:val="21"/>
                <w:highlight w:val="none"/>
                <w:lang w:eastAsia="zh-CN"/>
              </w:rPr>
              <w:t>复合</w:t>
            </w:r>
            <w:r>
              <w:rPr>
                <w:rFonts w:hint="eastAsia" w:ascii="宋体" w:hAnsi="宋体"/>
                <w:color w:val="auto"/>
                <w:szCs w:val="21"/>
                <w:highlight w:val="none"/>
              </w:rPr>
              <w:t>电缆沟盖板</w:t>
            </w:r>
          </w:p>
        </w:tc>
        <w:tc>
          <w:tcPr>
            <w:tcW w:w="850"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852"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jc w:val="left"/>
              <w:rPr>
                <w:color w:val="auto"/>
                <w:highlight w:val="none"/>
              </w:rPr>
            </w:pPr>
            <w:r>
              <w:rPr>
                <w:rFonts w:hint="eastAsia"/>
                <w:color w:val="auto"/>
                <w:highlight w:val="none"/>
              </w:rPr>
              <w:t>中标施工单位安装</w:t>
            </w:r>
          </w:p>
        </w:tc>
      </w:tr>
    </w:tbl>
    <w:p>
      <w:pPr>
        <w:jc w:val="center"/>
        <w:rPr>
          <w:b/>
          <w:color w:val="auto"/>
          <w:highlight w:val="none"/>
        </w:rPr>
      </w:pPr>
    </w:p>
    <w:p>
      <w:pPr>
        <w:jc w:val="center"/>
        <w:rPr>
          <w:b/>
          <w:color w:val="auto"/>
          <w:highlight w:val="none"/>
        </w:rPr>
      </w:pPr>
      <w:r>
        <w:rPr>
          <w:rFonts w:hint="eastAsia"/>
          <w:b/>
          <w:color w:val="auto"/>
          <w:highlight w:val="none"/>
        </w:rPr>
        <w:t>中标人提供的设备、材料清单</w:t>
      </w:r>
    </w:p>
    <w:tbl>
      <w:tblPr>
        <w:tblStyle w:val="12"/>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2848"/>
        <w:gridCol w:w="1579"/>
        <w:gridCol w:w="1149"/>
        <w:gridCol w:w="1666"/>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848"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7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666"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166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安装工程（含通信）</w:t>
            </w:r>
            <w:r>
              <w:rPr>
                <w:color w:val="auto"/>
                <w:highlight w:val="none"/>
              </w:rPr>
              <w:t xml:space="preserve"> </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1</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扩建间隔保护改造（电缆标志牌更换，保护信息管理子站系统接入、电能计量接入、直流系统及交流不间断电源接入、同步时钟对时系统接入、视频及环境监测系统接入，PMU接入，行波测距接入，计算机监控系统完善接入，五防锁具软件升级采购及接入系统调试，光通道调试、保护对调，间隔名调整）。</w:t>
            </w:r>
          </w:p>
        </w:tc>
        <w:tc>
          <w:tcPr>
            <w:tcW w:w="1579" w:type="dxa"/>
            <w:tcBorders>
              <w:top w:val="nil"/>
              <w:left w:val="nil"/>
              <w:bottom w:val="single" w:color="auto" w:sz="4" w:space="0"/>
              <w:right w:val="single" w:color="auto" w:sz="4" w:space="0"/>
            </w:tcBorders>
          </w:tcPr>
          <w:p>
            <w:pPr>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间隔</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color w:val="auto"/>
                <w:highlight w:val="none"/>
              </w:rPr>
              <w:t>2</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通信机房温湿度变控器</w:t>
            </w:r>
          </w:p>
        </w:tc>
        <w:tc>
          <w:tcPr>
            <w:tcW w:w="1579" w:type="dxa"/>
            <w:tcBorders>
              <w:top w:val="nil"/>
              <w:left w:val="nil"/>
              <w:bottom w:val="single" w:color="auto" w:sz="4" w:space="0"/>
              <w:right w:val="single" w:color="auto" w:sz="4" w:space="0"/>
            </w:tcBorders>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个</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3</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端子箱遥控总空开</w:t>
            </w:r>
          </w:p>
        </w:tc>
        <w:tc>
          <w:tcPr>
            <w:tcW w:w="1579" w:type="dxa"/>
            <w:tcBorders>
              <w:top w:val="nil"/>
              <w:left w:val="nil"/>
              <w:bottom w:val="single" w:color="auto" w:sz="4" w:space="0"/>
              <w:right w:val="single" w:color="auto" w:sz="4" w:space="0"/>
            </w:tcBorders>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个</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4</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断相闭锁继电器</w:t>
            </w:r>
          </w:p>
        </w:tc>
        <w:tc>
          <w:tcPr>
            <w:tcW w:w="1579" w:type="dxa"/>
            <w:tcBorders>
              <w:top w:val="nil"/>
              <w:left w:val="nil"/>
              <w:bottom w:val="single" w:color="auto" w:sz="4" w:space="0"/>
              <w:right w:val="single" w:color="auto" w:sz="4" w:space="0"/>
            </w:tcBorders>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个</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5</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图像监控系统（新增网络高清球机）</w:t>
            </w:r>
          </w:p>
        </w:tc>
        <w:tc>
          <w:tcPr>
            <w:tcW w:w="1579" w:type="dxa"/>
            <w:tcBorders>
              <w:top w:val="nil"/>
              <w:left w:val="nil"/>
              <w:bottom w:val="single" w:color="auto" w:sz="4" w:space="0"/>
              <w:right w:val="single" w:color="auto" w:sz="4" w:space="0"/>
            </w:tcBorders>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项</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6</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智能巡检机器人扩容</w:t>
            </w:r>
          </w:p>
        </w:tc>
        <w:tc>
          <w:tcPr>
            <w:tcW w:w="1579" w:type="dxa"/>
            <w:tcBorders>
              <w:top w:val="nil"/>
              <w:left w:val="nil"/>
              <w:bottom w:val="single" w:color="auto" w:sz="4" w:space="0"/>
              <w:right w:val="single" w:color="auto" w:sz="4" w:space="0"/>
            </w:tcBorders>
          </w:tcPr>
          <w:p>
            <w:pPr>
              <w:rPr>
                <w:color w:val="auto"/>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项</w:t>
            </w: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2848"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p>
        </w:tc>
        <w:tc>
          <w:tcPr>
            <w:tcW w:w="1667"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1</w:t>
            </w:r>
          </w:p>
        </w:tc>
        <w:tc>
          <w:tcPr>
            <w:tcW w:w="2848" w:type="dxa"/>
            <w:tcBorders>
              <w:top w:val="nil"/>
              <w:left w:val="nil"/>
              <w:bottom w:val="single" w:color="auto" w:sz="4" w:space="0"/>
              <w:right w:val="single" w:color="auto" w:sz="4" w:space="0"/>
            </w:tcBorders>
            <w:vAlign w:val="center"/>
          </w:tcPr>
          <w:p>
            <w:pPr>
              <w:widowControl/>
              <w:spacing w:line="360" w:lineRule="auto"/>
              <w:rPr>
                <w:color w:val="auto"/>
                <w:highlight w:val="none"/>
              </w:rPr>
            </w:pPr>
            <w:r>
              <w:rPr>
                <w:rFonts w:hint="eastAsia"/>
                <w:color w:val="auto"/>
                <w:highlight w:val="none"/>
              </w:rPr>
              <w:t>除招标人购买外的所有材料</w:t>
            </w:r>
          </w:p>
        </w:tc>
        <w:tc>
          <w:tcPr>
            <w:tcW w:w="1579"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666"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建筑工程</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（一）</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设备部分</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1</w:t>
            </w:r>
          </w:p>
        </w:tc>
        <w:tc>
          <w:tcPr>
            <w:tcW w:w="2848" w:type="dxa"/>
            <w:tcBorders>
              <w:top w:val="single" w:color="auto" w:sz="6" w:space="0"/>
              <w:left w:val="single" w:color="auto" w:sz="6" w:space="0"/>
              <w:bottom w:val="single" w:color="auto" w:sz="6" w:space="0"/>
              <w:right w:val="single" w:color="auto" w:sz="6" w:space="0"/>
            </w:tcBorders>
            <w:shd w:val="clear" w:color="auto" w:fill="auto"/>
            <w:vAlign w:val="center"/>
          </w:tcPr>
          <w:p>
            <w:pPr>
              <w:jc w:val="left"/>
              <w:rPr>
                <w:color w:val="auto"/>
                <w:highlight w:val="none"/>
              </w:rPr>
            </w:pPr>
            <w:r>
              <w:rPr>
                <w:rFonts w:hint="eastAsia"/>
                <w:color w:val="auto"/>
                <w:highlight w:val="none"/>
              </w:rPr>
              <w:t>消防及火灾自动报警系统（含电缆）</w:t>
            </w:r>
          </w:p>
        </w:tc>
        <w:tc>
          <w:tcPr>
            <w:tcW w:w="157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shd w:val="clear" w:color="auto" w:fill="auto"/>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2</w:t>
            </w:r>
          </w:p>
        </w:tc>
        <w:tc>
          <w:tcPr>
            <w:tcW w:w="2848" w:type="dxa"/>
            <w:tcBorders>
              <w:top w:val="single" w:color="auto" w:sz="6" w:space="0"/>
              <w:left w:val="single" w:color="auto" w:sz="6" w:space="0"/>
              <w:bottom w:val="single" w:color="auto" w:sz="6" w:space="0"/>
              <w:right w:val="single" w:color="auto" w:sz="6" w:space="0"/>
            </w:tcBorders>
            <w:vAlign w:val="center"/>
          </w:tcPr>
          <w:p>
            <w:pPr>
              <w:jc w:val="left"/>
              <w:rPr>
                <w:color w:val="auto"/>
                <w:highlight w:val="none"/>
              </w:rPr>
            </w:pPr>
            <w:r>
              <w:rPr>
                <w:rFonts w:hint="eastAsia"/>
                <w:color w:val="auto"/>
                <w:highlight w:val="none"/>
              </w:rPr>
              <w:t>水喷淋灭火系统（含电缆）</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3</w:t>
            </w:r>
          </w:p>
        </w:tc>
        <w:tc>
          <w:tcPr>
            <w:tcW w:w="2848" w:type="dxa"/>
            <w:tcBorders>
              <w:top w:val="single" w:color="auto" w:sz="6" w:space="0"/>
              <w:left w:val="single" w:color="auto" w:sz="6" w:space="0"/>
              <w:bottom w:val="single" w:color="auto" w:sz="6" w:space="0"/>
              <w:right w:val="single" w:color="auto" w:sz="6" w:space="0"/>
            </w:tcBorders>
            <w:vAlign w:val="center"/>
          </w:tcPr>
          <w:p>
            <w:pPr>
              <w:jc w:val="left"/>
              <w:rPr>
                <w:color w:val="auto"/>
                <w:highlight w:val="none"/>
              </w:rPr>
            </w:pPr>
            <w:r>
              <w:rPr>
                <w:rFonts w:hint="eastAsia"/>
                <w:color w:val="auto"/>
                <w:highlight w:val="none"/>
              </w:rPr>
              <w:t>供水一体化设备</w:t>
            </w:r>
          </w:p>
        </w:tc>
        <w:tc>
          <w:tcPr>
            <w:tcW w:w="157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4</w:t>
            </w:r>
          </w:p>
        </w:tc>
        <w:tc>
          <w:tcPr>
            <w:tcW w:w="2848"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污水处理装置</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套</w:t>
            </w: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5</w:t>
            </w:r>
          </w:p>
        </w:tc>
        <w:tc>
          <w:tcPr>
            <w:tcW w:w="2848"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除以上标明的设备及招标人购买外的所有设备</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（二）</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材料部分</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1</w:t>
            </w:r>
          </w:p>
        </w:tc>
        <w:tc>
          <w:tcPr>
            <w:tcW w:w="2848" w:type="dxa"/>
            <w:tcBorders>
              <w:top w:val="single" w:color="auto" w:sz="6" w:space="0"/>
              <w:left w:val="single" w:color="auto" w:sz="6" w:space="0"/>
              <w:bottom w:val="single" w:color="auto" w:sz="6" w:space="0"/>
              <w:right w:val="single" w:color="auto" w:sz="6" w:space="0"/>
            </w:tcBorders>
            <w:vAlign w:val="center"/>
          </w:tcPr>
          <w:p>
            <w:pPr>
              <w:snapToGrid w:val="0"/>
              <w:rPr>
                <w:color w:val="auto"/>
                <w:highlight w:val="none"/>
              </w:rPr>
            </w:pPr>
            <w:r>
              <w:rPr>
                <w:rFonts w:hint="eastAsia"/>
                <w:color w:val="auto"/>
                <w:highlight w:val="none"/>
              </w:rPr>
              <w:t>除招标人购买外的所有材料</w:t>
            </w:r>
          </w:p>
        </w:tc>
        <w:tc>
          <w:tcPr>
            <w:tcW w:w="1579" w:type="dxa"/>
            <w:tcBorders>
              <w:top w:val="single" w:color="auto" w:sz="6" w:space="0"/>
              <w:left w:val="single" w:color="auto" w:sz="6" w:space="0"/>
              <w:bottom w:val="single" w:color="auto" w:sz="6" w:space="0"/>
              <w:right w:val="single" w:color="auto" w:sz="6" w:space="0"/>
            </w:tcBorders>
            <w:vAlign w:val="center"/>
          </w:tcPr>
          <w:p>
            <w:pPr>
              <w:snapToGrid w:val="0"/>
              <w:rPr>
                <w:rFonts w:ascii="宋体"/>
                <w:color w:val="auto"/>
                <w:highlight w:val="none"/>
              </w:rPr>
            </w:pPr>
          </w:p>
        </w:tc>
        <w:tc>
          <w:tcPr>
            <w:tcW w:w="1149" w:type="dxa"/>
            <w:tcBorders>
              <w:top w:val="single" w:color="auto" w:sz="6" w:space="0"/>
              <w:left w:val="single" w:color="auto" w:sz="6" w:space="0"/>
              <w:bottom w:val="single" w:color="auto" w:sz="6" w:space="0"/>
              <w:right w:val="single" w:color="auto" w:sz="6" w:space="0"/>
            </w:tcBorders>
            <w:vAlign w:val="center"/>
          </w:tcPr>
          <w:p>
            <w:pPr>
              <w:ind w:firstLine="308" w:firstLineChars="147"/>
              <w:rPr>
                <w:color w:val="auto"/>
                <w:highlight w:val="none"/>
              </w:rPr>
            </w:pPr>
          </w:p>
        </w:tc>
        <w:tc>
          <w:tcPr>
            <w:tcW w:w="1666"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color w:val="auto"/>
                <w:highlight w:val="none"/>
              </w:rPr>
            </w:pPr>
          </w:p>
        </w:tc>
      </w:tr>
    </w:tbl>
    <w:p>
      <w:pPr>
        <w:rPr>
          <w:b/>
          <w:color w:val="auto"/>
          <w:highlight w:val="none"/>
        </w:rPr>
      </w:pPr>
    </w:p>
    <w:p>
      <w:pPr>
        <w:jc w:val="center"/>
        <w:rPr>
          <w:b/>
          <w:color w:val="auto"/>
          <w:highlight w:val="none"/>
        </w:rPr>
      </w:pPr>
    </w:p>
    <w:p>
      <w:pPr>
        <w:ind w:firstLine="94" w:firstLineChars="45"/>
        <w:rPr>
          <w:rFonts w:ascii="宋体" w:hAnsi="宋体"/>
          <w:color w:val="auto"/>
          <w:highlight w:val="none"/>
          <w:u w:val="singl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、《电网工程建设预算编制与计算规定》（2018年版）</w:t>
      </w:r>
      <w:r>
        <w:rPr>
          <w:rFonts w:hint="eastAsia" w:ascii="宋体" w:hAnsi="宋体"/>
          <w:color w:val="auto"/>
          <w:highlight w:val="none"/>
        </w:rPr>
        <w:t>划分。</w:t>
      </w:r>
    </w:p>
    <w:p>
      <w:pPr>
        <w:ind w:firstLine="735" w:firstLineChars="350"/>
        <w:rPr>
          <w:rFonts w:ascii="宋体" w:hAnsi="宋体"/>
          <w:color w:val="auto"/>
          <w:highlight w:val="none"/>
        </w:rPr>
      </w:pPr>
      <w:r>
        <w:rPr>
          <w:rFonts w:hint="eastAsia" w:ascii="宋体" w:hAnsi="宋体"/>
          <w:color w:val="auto"/>
          <w:highlight w:val="none"/>
        </w:rPr>
        <w:t>2、如五防系统、二次防雷系统、在线监测装置由招标人提供时，则由厂家安装调试，中标单位配合、协调，二次安防设备由招标人提供，二次安防联调由中标单位负责，厂家配合调试。</w:t>
      </w:r>
    </w:p>
    <w:p>
      <w:pPr>
        <w:ind w:firstLine="735" w:firstLineChars="350"/>
        <w:rPr>
          <w:rFonts w:hAnsi="宋体"/>
          <w:color w:val="auto"/>
          <w:highlight w:val="none"/>
        </w:rPr>
      </w:pPr>
      <w:r>
        <w:rPr>
          <w:rFonts w:hint="eastAsia" w:ascii="宋体" w:hAnsi="宋体"/>
          <w:color w:val="auto"/>
          <w:highlight w:val="none"/>
        </w:rPr>
        <w:t>3、如</w:t>
      </w:r>
      <w:r>
        <w:rPr>
          <w:rFonts w:hint="eastAsia" w:hAnsi="宋体"/>
          <w:color w:val="auto"/>
          <w:highlight w:val="none"/>
        </w:rPr>
        <w:t>电子围栏由中标人提供，中标人还需办理完成当地公安局备案手续。</w:t>
      </w:r>
    </w:p>
    <w:p>
      <w:pPr>
        <w:ind w:firstLine="735" w:firstLineChars="350"/>
        <w:rPr>
          <w:color w:val="auto"/>
          <w:highlight w:val="none"/>
        </w:rPr>
      </w:pPr>
      <w:r>
        <w:rPr>
          <w:rFonts w:hint="eastAsia" w:ascii="宋体" w:hAnsi="宋体"/>
          <w:color w:val="auto"/>
          <w:highlight w:val="none"/>
        </w:rPr>
        <w:t>4、招标人提供的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ind w:firstLine="735" w:firstLineChars="350"/>
        <w:rPr>
          <w:color w:val="auto"/>
          <w:highlight w:val="none"/>
        </w:rPr>
      </w:pPr>
      <w:r>
        <w:rPr>
          <w:rFonts w:hint="eastAsia" w:ascii="宋体" w:hAnsi="宋体"/>
          <w:color w:val="auto"/>
          <w:highlight w:val="none"/>
        </w:rPr>
        <w:t>5、非复合电缆沟盖板由中标人采购</w:t>
      </w:r>
      <w:r>
        <w:rPr>
          <w:rFonts w:hint="eastAsia"/>
          <w:color w:val="auto"/>
          <w:highlight w:val="none"/>
        </w:rPr>
        <w:t>。</w:t>
      </w:r>
    </w:p>
    <w:p>
      <w:pPr>
        <w:ind w:firstLine="724" w:firstLineChars="345"/>
        <w:rPr>
          <w:rFonts w:ascii="宋体" w:hAnsi="宋体"/>
          <w:color w:val="auto"/>
          <w:highlight w:val="none"/>
        </w:rPr>
      </w:pPr>
      <w:r>
        <w:rPr>
          <w:rFonts w:hint="eastAsia" w:ascii="宋体" w:hAnsi="宋体"/>
          <w:color w:val="auto"/>
          <w:highlight w:val="none"/>
        </w:rPr>
        <w:t>6、变电站对侧间隔涉及间隔施工或间隔调换时，考虑不连续停电时产生多次进退场费用和办理工作票手续。间隔扩建围挡措施费用按南网相关要求自行报价。</w:t>
      </w:r>
    </w:p>
    <w:p>
      <w:pPr>
        <w:ind w:firstLine="724" w:firstLineChars="345"/>
        <w:rPr>
          <w:rFonts w:ascii="宋体" w:hAnsi="宋体"/>
          <w:color w:val="auto"/>
          <w:highlight w:val="none"/>
        </w:rPr>
      </w:pPr>
      <w:r>
        <w:rPr>
          <w:rFonts w:hint="eastAsia" w:ascii="宋体" w:hAnsi="宋体"/>
          <w:color w:val="auto"/>
          <w:highlight w:val="none"/>
        </w:rPr>
        <w:t>7、消防及火灾自动报警系统的设备材料（含感温系统）由中标人采购。依据电力工程建筑定额，在建筑工程中计列。</w:t>
      </w:r>
    </w:p>
    <w:p>
      <w:pPr>
        <w:ind w:firstLine="724" w:firstLineChars="345"/>
        <w:rPr>
          <w:rFonts w:ascii="宋体" w:hAnsi="宋体"/>
          <w:color w:val="auto"/>
          <w:highlight w:val="none"/>
        </w:rPr>
      </w:pPr>
      <w:r>
        <w:rPr>
          <w:rFonts w:hint="eastAsia" w:ascii="宋体" w:hAnsi="宋体"/>
          <w:color w:val="auto"/>
          <w:highlight w:val="none"/>
        </w:rPr>
        <w:t>8、变电站混凝土采用商品混凝土。</w:t>
      </w:r>
    </w:p>
    <w:p>
      <w:pPr>
        <w:ind w:firstLine="724" w:firstLineChars="345"/>
        <w:rPr>
          <w:rFonts w:ascii="宋体" w:hAnsi="宋体"/>
          <w:strike/>
          <w:color w:val="auto"/>
          <w:highlight w:val="none"/>
        </w:rPr>
      </w:pPr>
    </w:p>
    <w:p>
      <w:pPr>
        <w:rPr>
          <w:rFonts w:ascii="宋体" w:hAnsi="宋体"/>
          <w:b/>
          <w:color w:val="auto"/>
          <w:sz w:val="32"/>
          <w:szCs w:val="32"/>
          <w:highlight w:val="none"/>
          <w:u w:val="single"/>
        </w:rPr>
      </w:pPr>
      <w:r>
        <w:rPr>
          <w:rFonts w:hint="eastAsia" w:ascii="宋体" w:hAnsi="宋体"/>
          <w:b/>
          <w:color w:val="auto"/>
          <w:sz w:val="32"/>
          <w:szCs w:val="32"/>
          <w:highlight w:val="none"/>
          <w:u w:val="single"/>
        </w:rPr>
        <w:t>2、合浦至湛江铁路220kV外部电源送电工程线路部分</w:t>
      </w:r>
    </w:p>
    <w:p>
      <w:pPr>
        <w:jc w:val="center"/>
        <w:rPr>
          <w:b/>
          <w:color w:val="auto"/>
          <w:highlight w:val="none"/>
        </w:rPr>
      </w:pPr>
      <w:r>
        <w:rPr>
          <w:rFonts w:hint="eastAsia"/>
          <w:b/>
          <w:color w:val="auto"/>
          <w:highlight w:val="none"/>
        </w:rPr>
        <w:t>招标人提供的设备、材料清单</w:t>
      </w:r>
    </w:p>
    <w:tbl>
      <w:tblPr>
        <w:tblStyle w:val="12"/>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1</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避雷器</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台</w:t>
            </w:r>
          </w:p>
        </w:tc>
        <w:tc>
          <w:tcPr>
            <w:tcW w:w="1400"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2</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故障定位装置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套</w:t>
            </w:r>
          </w:p>
        </w:tc>
        <w:tc>
          <w:tcPr>
            <w:tcW w:w="1400"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3</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在线监测装置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套</w:t>
            </w:r>
          </w:p>
        </w:tc>
        <w:tc>
          <w:tcPr>
            <w:tcW w:w="1400"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4</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航空障碍灯</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盏</w:t>
            </w:r>
          </w:p>
        </w:tc>
        <w:tc>
          <w:tcPr>
            <w:tcW w:w="1400" w:type="dxa"/>
            <w:tcBorders>
              <w:top w:val="nil"/>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自行统计</w:t>
            </w: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w:t>
            </w:r>
            <w:r>
              <w:rPr>
                <w:rFonts w:hint="eastAsia"/>
                <w:color w:val="auto"/>
                <w:highlight w:val="none"/>
                <w:lang w:val="en-US" w:eastAsia="zh-CN"/>
              </w:rPr>
              <w:t>角钢</w:t>
            </w:r>
            <w:r>
              <w:rPr>
                <w:rFonts w:hint="eastAsia"/>
                <w:color w:val="auto"/>
                <w:highlight w:val="none"/>
              </w:rPr>
              <w:t>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w:t>
            </w:r>
            <w:r>
              <w:rPr>
                <w:rFonts w:hint="eastAsia"/>
                <w:color w:val="auto"/>
                <w:highlight w:val="none"/>
                <w:lang w:val="en-US" w:eastAsia="zh-CN"/>
              </w:rPr>
              <w:t>钢管</w:t>
            </w:r>
            <w:r>
              <w:rPr>
                <w:rFonts w:hint="eastAsia"/>
                <w:color w:val="auto"/>
                <w:highlight w:val="none"/>
              </w:rPr>
              <w:t>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3</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杆塔防坠落装置</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4</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铝包钢芯铝绞线、导线</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5</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铝包钢绞线</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6</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7</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8</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光缆及光缆金具（不含</w:t>
            </w:r>
            <w:r>
              <w:rPr>
                <w:color w:val="auto"/>
                <w:highlight w:val="none"/>
              </w:rPr>
              <w:t>PVC</w:t>
            </w:r>
            <w:r>
              <w:rPr>
                <w:rFonts w:hint="eastAsia"/>
                <w:color w:val="auto"/>
                <w:highlight w:val="none"/>
              </w:rPr>
              <w:t>管、镀锌钢管）</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val="en-US" w:eastAsia="zh-CN"/>
              </w:rPr>
            </w:pPr>
            <w:r>
              <w:rPr>
                <w:rFonts w:hint="eastAsia"/>
                <w:color w:val="auto"/>
                <w:highlight w:val="none"/>
                <w:lang w:val="en-US" w:eastAsia="zh-CN"/>
              </w:rPr>
              <w:t>9</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eastAsia="宋体"/>
                <w:color w:val="auto"/>
                <w:highlight w:val="none"/>
                <w:lang w:eastAsia="zh-CN"/>
              </w:rPr>
            </w:pPr>
            <w:r>
              <w:rPr>
                <w:rFonts w:hint="eastAsia"/>
                <w:color w:val="auto"/>
                <w:highlight w:val="none"/>
              </w:rPr>
              <w:t>杆塔五牌</w:t>
            </w:r>
            <w:r>
              <w:rPr>
                <w:rFonts w:hint="eastAsia"/>
                <w:color w:val="auto"/>
                <w:highlight w:val="none"/>
                <w:lang w:eastAsia="zh-CN"/>
              </w:rPr>
              <w:t>（</w:t>
            </w:r>
            <w:r>
              <w:rPr>
                <w:rFonts w:hint="eastAsia"/>
                <w:color w:val="auto"/>
                <w:highlight w:val="none"/>
                <w:lang w:val="en-US" w:eastAsia="zh-CN"/>
              </w:rPr>
              <w:t>新建段</w:t>
            </w:r>
            <w:r>
              <w:rPr>
                <w:rFonts w:hint="eastAsia"/>
                <w:color w:val="auto"/>
                <w:highlight w:val="none"/>
                <w:lang w:eastAsia="zh-CN"/>
              </w:rPr>
              <w:t>）</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电力建设工程装置性材料预算价（2018年版）</w:t>
            </w:r>
          </w:p>
        </w:tc>
      </w:tr>
    </w:tbl>
    <w:p>
      <w:pPr>
        <w:rPr>
          <w:color w:val="auto"/>
          <w:sz w:val="13"/>
          <w:szCs w:val="13"/>
          <w:highlight w:val="none"/>
        </w:rPr>
      </w:pPr>
    </w:p>
    <w:p>
      <w:pPr>
        <w:rPr>
          <w:rFonts w:hint="eastAsia"/>
          <w:b/>
          <w:color w:val="auto"/>
          <w:highlight w:val="none"/>
        </w:rPr>
      </w:pPr>
    </w:p>
    <w:p>
      <w:pPr>
        <w:jc w:val="center"/>
        <w:rPr>
          <w:b/>
          <w:color w:val="auto"/>
          <w:highlight w:val="none"/>
        </w:rPr>
      </w:pPr>
      <w:r>
        <w:rPr>
          <w:rFonts w:hint="eastAsia"/>
          <w:b/>
          <w:color w:val="auto"/>
          <w:highlight w:val="none"/>
        </w:rPr>
        <w:t>中标人提供的设备、材料清单</w:t>
      </w:r>
    </w:p>
    <w:tbl>
      <w:tblPr>
        <w:tblStyle w:val="12"/>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无</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材料部分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除招标人购买外的所有材料</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right="-107" w:rightChars="-51"/>
              <w:rPr>
                <w:color w:val="auto"/>
                <w:highlight w:val="none"/>
              </w:rPr>
            </w:pPr>
          </w:p>
        </w:tc>
      </w:tr>
    </w:tbl>
    <w:p>
      <w:pPr>
        <w:rPr>
          <w:color w:val="auto"/>
          <w:highlight w:val="none"/>
        </w:rPr>
        <w:sectPr>
          <w:pgSz w:w="11906" w:h="16838"/>
          <w:pgMar w:top="1440" w:right="1800" w:bottom="1440" w:left="1800" w:header="851" w:footer="992" w:gutter="0"/>
          <w:cols w:space="425" w:num="1"/>
          <w:docGrid w:type="lines" w:linePitch="312" w:charSpace="0"/>
        </w:sectPr>
      </w:pPr>
    </w:p>
    <w:p>
      <w:pPr>
        <w:pStyle w:val="9"/>
        <w:spacing w:line="480" w:lineRule="atLeast"/>
        <w:rPr>
          <w:rFonts w:hint="eastAsia" w:asciiTheme="minorEastAsia" w:hAnsiTheme="minorEastAsia" w:eastAsiaTheme="minorEastAsia" w:cstheme="minorEastAsia"/>
          <w:color w:val="auto"/>
          <w:highlight w:val="none"/>
        </w:rPr>
      </w:pPr>
      <w:bookmarkStart w:id="5" w:name="_GoBack"/>
      <w:bookmarkEnd w:id="5"/>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A434E8"/>
    <w:multiLevelType w:val="singleLevel"/>
    <w:tmpl w:val="5EA434E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Zjg2NmZlZTliN2MwYzIzNzgxOTAxNDBhZmFlNmMifQ=="/>
  </w:docVars>
  <w:rsids>
    <w:rsidRoot w:val="00172A27"/>
    <w:rsid w:val="00091271"/>
    <w:rsid w:val="000A7CBB"/>
    <w:rsid w:val="000F42B1"/>
    <w:rsid w:val="00112A8E"/>
    <w:rsid w:val="00172A27"/>
    <w:rsid w:val="00190408"/>
    <w:rsid w:val="0023098E"/>
    <w:rsid w:val="00397CD0"/>
    <w:rsid w:val="003B7D6B"/>
    <w:rsid w:val="003E7138"/>
    <w:rsid w:val="00412403"/>
    <w:rsid w:val="004213E6"/>
    <w:rsid w:val="00440B54"/>
    <w:rsid w:val="0049179C"/>
    <w:rsid w:val="00622200"/>
    <w:rsid w:val="00777E57"/>
    <w:rsid w:val="008758C2"/>
    <w:rsid w:val="0090028B"/>
    <w:rsid w:val="00955646"/>
    <w:rsid w:val="009D1521"/>
    <w:rsid w:val="00A023B1"/>
    <w:rsid w:val="00A2322B"/>
    <w:rsid w:val="00A336BB"/>
    <w:rsid w:val="00A36BED"/>
    <w:rsid w:val="00A8573D"/>
    <w:rsid w:val="00AE688B"/>
    <w:rsid w:val="00B1652E"/>
    <w:rsid w:val="00B214E2"/>
    <w:rsid w:val="00B24241"/>
    <w:rsid w:val="00B321B3"/>
    <w:rsid w:val="00BA5350"/>
    <w:rsid w:val="00BD759A"/>
    <w:rsid w:val="00BE3142"/>
    <w:rsid w:val="00BE5E60"/>
    <w:rsid w:val="00C50390"/>
    <w:rsid w:val="00CD6CD6"/>
    <w:rsid w:val="00D015EC"/>
    <w:rsid w:val="00D50278"/>
    <w:rsid w:val="00D65963"/>
    <w:rsid w:val="00DC6CDB"/>
    <w:rsid w:val="00E1111E"/>
    <w:rsid w:val="00E2206C"/>
    <w:rsid w:val="00E9792F"/>
    <w:rsid w:val="00ED73D0"/>
    <w:rsid w:val="00F07D1C"/>
    <w:rsid w:val="00F62517"/>
    <w:rsid w:val="02381B4B"/>
    <w:rsid w:val="024979FC"/>
    <w:rsid w:val="02FE40DC"/>
    <w:rsid w:val="03253AD9"/>
    <w:rsid w:val="033C5273"/>
    <w:rsid w:val="043F2D6C"/>
    <w:rsid w:val="04A24F71"/>
    <w:rsid w:val="06006BB5"/>
    <w:rsid w:val="0623521C"/>
    <w:rsid w:val="067D0B2C"/>
    <w:rsid w:val="068542C7"/>
    <w:rsid w:val="06D878FB"/>
    <w:rsid w:val="076D7826"/>
    <w:rsid w:val="082010CC"/>
    <w:rsid w:val="08645533"/>
    <w:rsid w:val="087264AB"/>
    <w:rsid w:val="090F1A12"/>
    <w:rsid w:val="09322D63"/>
    <w:rsid w:val="096133B5"/>
    <w:rsid w:val="09F94238"/>
    <w:rsid w:val="0A3A6153"/>
    <w:rsid w:val="0A43035C"/>
    <w:rsid w:val="0A473024"/>
    <w:rsid w:val="0A977E8C"/>
    <w:rsid w:val="0ABB2EED"/>
    <w:rsid w:val="0B585A88"/>
    <w:rsid w:val="0B9B13E1"/>
    <w:rsid w:val="0BB537D7"/>
    <w:rsid w:val="0BC07002"/>
    <w:rsid w:val="0BDF7B09"/>
    <w:rsid w:val="0D4445A0"/>
    <w:rsid w:val="0D643188"/>
    <w:rsid w:val="0E6B28C0"/>
    <w:rsid w:val="0E731ECA"/>
    <w:rsid w:val="0FC2396C"/>
    <w:rsid w:val="0FD9067C"/>
    <w:rsid w:val="0FD92E79"/>
    <w:rsid w:val="1034081A"/>
    <w:rsid w:val="11617BC7"/>
    <w:rsid w:val="116419AD"/>
    <w:rsid w:val="11DF6CFE"/>
    <w:rsid w:val="12A04DC8"/>
    <w:rsid w:val="12B07C64"/>
    <w:rsid w:val="12C761E2"/>
    <w:rsid w:val="133A552B"/>
    <w:rsid w:val="14440D4B"/>
    <w:rsid w:val="14B34759"/>
    <w:rsid w:val="15056A61"/>
    <w:rsid w:val="15165683"/>
    <w:rsid w:val="16A0541A"/>
    <w:rsid w:val="16BF0CE9"/>
    <w:rsid w:val="16CF095B"/>
    <w:rsid w:val="18283DB5"/>
    <w:rsid w:val="18E57496"/>
    <w:rsid w:val="18F237BB"/>
    <w:rsid w:val="194B6432"/>
    <w:rsid w:val="1A947D20"/>
    <w:rsid w:val="1B0027F2"/>
    <w:rsid w:val="1B663F82"/>
    <w:rsid w:val="1BF770D1"/>
    <w:rsid w:val="1C033E7B"/>
    <w:rsid w:val="1C66719F"/>
    <w:rsid w:val="1C6770A4"/>
    <w:rsid w:val="1CB226C2"/>
    <w:rsid w:val="1CBC2A99"/>
    <w:rsid w:val="1D035E8E"/>
    <w:rsid w:val="1DBB07FC"/>
    <w:rsid w:val="1F033D12"/>
    <w:rsid w:val="1FF05D57"/>
    <w:rsid w:val="1FFD1B5A"/>
    <w:rsid w:val="20383BC7"/>
    <w:rsid w:val="20C16914"/>
    <w:rsid w:val="20D64231"/>
    <w:rsid w:val="216F4D5B"/>
    <w:rsid w:val="21B7528E"/>
    <w:rsid w:val="22C9772D"/>
    <w:rsid w:val="22E46F5E"/>
    <w:rsid w:val="23375FD0"/>
    <w:rsid w:val="233A62E5"/>
    <w:rsid w:val="24F737D8"/>
    <w:rsid w:val="24FA01A3"/>
    <w:rsid w:val="256D6C72"/>
    <w:rsid w:val="25FC0296"/>
    <w:rsid w:val="26095ABC"/>
    <w:rsid w:val="26B04304"/>
    <w:rsid w:val="27182C77"/>
    <w:rsid w:val="28410FC0"/>
    <w:rsid w:val="28A82E7F"/>
    <w:rsid w:val="291D601A"/>
    <w:rsid w:val="29723A90"/>
    <w:rsid w:val="29BC23D9"/>
    <w:rsid w:val="2AA81A14"/>
    <w:rsid w:val="2B6042C5"/>
    <w:rsid w:val="2B993456"/>
    <w:rsid w:val="2BAF1907"/>
    <w:rsid w:val="2C77062D"/>
    <w:rsid w:val="2CC53ED6"/>
    <w:rsid w:val="2FB4171B"/>
    <w:rsid w:val="2FF65FF8"/>
    <w:rsid w:val="300D195C"/>
    <w:rsid w:val="30BF37B5"/>
    <w:rsid w:val="31090E38"/>
    <w:rsid w:val="31802096"/>
    <w:rsid w:val="31F73D78"/>
    <w:rsid w:val="32160C9D"/>
    <w:rsid w:val="32DB2EA0"/>
    <w:rsid w:val="330427FC"/>
    <w:rsid w:val="339E4FDF"/>
    <w:rsid w:val="34A0229E"/>
    <w:rsid w:val="34B20B82"/>
    <w:rsid w:val="34BA21C7"/>
    <w:rsid w:val="34DB3A8C"/>
    <w:rsid w:val="356215B7"/>
    <w:rsid w:val="361736AD"/>
    <w:rsid w:val="361D1565"/>
    <w:rsid w:val="36D200CF"/>
    <w:rsid w:val="36DA49C7"/>
    <w:rsid w:val="374113CA"/>
    <w:rsid w:val="37582D05"/>
    <w:rsid w:val="38003867"/>
    <w:rsid w:val="38382DC3"/>
    <w:rsid w:val="38592F82"/>
    <w:rsid w:val="38DE045C"/>
    <w:rsid w:val="39641C44"/>
    <w:rsid w:val="3A066961"/>
    <w:rsid w:val="3B7129EC"/>
    <w:rsid w:val="3B8961AA"/>
    <w:rsid w:val="3C1D5820"/>
    <w:rsid w:val="3C277E59"/>
    <w:rsid w:val="3C4A35F1"/>
    <w:rsid w:val="3CB1647D"/>
    <w:rsid w:val="3D78711D"/>
    <w:rsid w:val="3E250686"/>
    <w:rsid w:val="3E2948F5"/>
    <w:rsid w:val="3E7A6527"/>
    <w:rsid w:val="3EEB6C70"/>
    <w:rsid w:val="402B18E0"/>
    <w:rsid w:val="414B09E3"/>
    <w:rsid w:val="41AB5C97"/>
    <w:rsid w:val="41C90B45"/>
    <w:rsid w:val="4215414B"/>
    <w:rsid w:val="425766B5"/>
    <w:rsid w:val="43B06F1C"/>
    <w:rsid w:val="445D28B8"/>
    <w:rsid w:val="44753296"/>
    <w:rsid w:val="44D414C9"/>
    <w:rsid w:val="451A7D17"/>
    <w:rsid w:val="4540147D"/>
    <w:rsid w:val="463D17D6"/>
    <w:rsid w:val="46424DBC"/>
    <w:rsid w:val="46472D5E"/>
    <w:rsid w:val="46A40EE4"/>
    <w:rsid w:val="46F446A0"/>
    <w:rsid w:val="49513DA7"/>
    <w:rsid w:val="49A15B21"/>
    <w:rsid w:val="4A206F11"/>
    <w:rsid w:val="4A4C10D5"/>
    <w:rsid w:val="4A6A0819"/>
    <w:rsid w:val="4B3A1BDA"/>
    <w:rsid w:val="4C4202AB"/>
    <w:rsid w:val="4C6C31D0"/>
    <w:rsid w:val="4DEA483B"/>
    <w:rsid w:val="4E040B3D"/>
    <w:rsid w:val="4E143849"/>
    <w:rsid w:val="4EC566B6"/>
    <w:rsid w:val="4ED63B8C"/>
    <w:rsid w:val="4FB2334F"/>
    <w:rsid w:val="4FB90FE4"/>
    <w:rsid w:val="4FC5456E"/>
    <w:rsid w:val="506F096B"/>
    <w:rsid w:val="507B3005"/>
    <w:rsid w:val="5092008F"/>
    <w:rsid w:val="50F11315"/>
    <w:rsid w:val="50F42938"/>
    <w:rsid w:val="512E05D6"/>
    <w:rsid w:val="51780BF8"/>
    <w:rsid w:val="51FE7CC1"/>
    <w:rsid w:val="52147760"/>
    <w:rsid w:val="52397477"/>
    <w:rsid w:val="52963336"/>
    <w:rsid w:val="52E734B9"/>
    <w:rsid w:val="53144C5A"/>
    <w:rsid w:val="531B5F34"/>
    <w:rsid w:val="533A4E9A"/>
    <w:rsid w:val="54406946"/>
    <w:rsid w:val="54467943"/>
    <w:rsid w:val="555D7558"/>
    <w:rsid w:val="55C3156A"/>
    <w:rsid w:val="56441730"/>
    <w:rsid w:val="564F58CF"/>
    <w:rsid w:val="57D34D53"/>
    <w:rsid w:val="599A28DF"/>
    <w:rsid w:val="5AA153EC"/>
    <w:rsid w:val="5AC36B75"/>
    <w:rsid w:val="5AD550A4"/>
    <w:rsid w:val="5B294A30"/>
    <w:rsid w:val="5B4B4433"/>
    <w:rsid w:val="5BE86308"/>
    <w:rsid w:val="5C2C4423"/>
    <w:rsid w:val="5C42376A"/>
    <w:rsid w:val="5C4239D5"/>
    <w:rsid w:val="5C6B3215"/>
    <w:rsid w:val="5C8E17BF"/>
    <w:rsid w:val="5CD2023C"/>
    <w:rsid w:val="5E4375D6"/>
    <w:rsid w:val="5E5D4679"/>
    <w:rsid w:val="5E5D7228"/>
    <w:rsid w:val="5FB96131"/>
    <w:rsid w:val="601A5C13"/>
    <w:rsid w:val="60281AF8"/>
    <w:rsid w:val="608606DE"/>
    <w:rsid w:val="61461EBE"/>
    <w:rsid w:val="615F43D0"/>
    <w:rsid w:val="621344E6"/>
    <w:rsid w:val="62643571"/>
    <w:rsid w:val="637B0C5A"/>
    <w:rsid w:val="63E87D28"/>
    <w:rsid w:val="63F225BB"/>
    <w:rsid w:val="646467BE"/>
    <w:rsid w:val="651F1A61"/>
    <w:rsid w:val="66491A16"/>
    <w:rsid w:val="66C35559"/>
    <w:rsid w:val="66CE59D4"/>
    <w:rsid w:val="67CC5696"/>
    <w:rsid w:val="689779ED"/>
    <w:rsid w:val="68A76ED8"/>
    <w:rsid w:val="68BE4A5F"/>
    <w:rsid w:val="697C1D25"/>
    <w:rsid w:val="6986184F"/>
    <w:rsid w:val="699B2AD1"/>
    <w:rsid w:val="69A00111"/>
    <w:rsid w:val="6A287B5E"/>
    <w:rsid w:val="6B303A1A"/>
    <w:rsid w:val="6B6B0785"/>
    <w:rsid w:val="6B9864B6"/>
    <w:rsid w:val="6C754655"/>
    <w:rsid w:val="6CDD6491"/>
    <w:rsid w:val="6D0A582E"/>
    <w:rsid w:val="6D976A56"/>
    <w:rsid w:val="6DAA2FDF"/>
    <w:rsid w:val="6E01146A"/>
    <w:rsid w:val="6E121228"/>
    <w:rsid w:val="6F023E1C"/>
    <w:rsid w:val="6F624B4B"/>
    <w:rsid w:val="70D1495F"/>
    <w:rsid w:val="712F4423"/>
    <w:rsid w:val="719C0766"/>
    <w:rsid w:val="71E31ABA"/>
    <w:rsid w:val="7228339B"/>
    <w:rsid w:val="72AD7C92"/>
    <w:rsid w:val="764778A3"/>
    <w:rsid w:val="768C42EB"/>
    <w:rsid w:val="779B259C"/>
    <w:rsid w:val="78874A55"/>
    <w:rsid w:val="79167152"/>
    <w:rsid w:val="79C8763C"/>
    <w:rsid w:val="7B657384"/>
    <w:rsid w:val="7BFA1F37"/>
    <w:rsid w:val="7C0A20F0"/>
    <w:rsid w:val="7C4838A5"/>
    <w:rsid w:val="7C560137"/>
    <w:rsid w:val="7D180687"/>
    <w:rsid w:val="7DDA2A64"/>
    <w:rsid w:val="7E3420E0"/>
    <w:rsid w:val="7E6150E3"/>
    <w:rsid w:val="7E6A3894"/>
    <w:rsid w:val="7EC620E9"/>
    <w:rsid w:val="7F686F90"/>
    <w:rsid w:val="7F7A1F3B"/>
    <w:rsid w:val="7FB9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qFormat/>
    <w:uiPriority w:val="0"/>
    <w:pPr>
      <w:tabs>
        <w:tab w:val="center" w:pos="4153"/>
        <w:tab w:val="right" w:pos="8306"/>
      </w:tabs>
      <w:snapToGrid w:val="0"/>
      <w:jc w:val="left"/>
    </w:pPr>
    <w:rPr>
      <w:sz w:val="18"/>
      <w:szCs w:val="18"/>
    </w:r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Body Text"/>
    <w:basedOn w:val="7"/>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kern w:val="0"/>
      <w:sz w:val="20"/>
      <w:szCs w:val="20"/>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toc 2"/>
    <w:basedOn w:val="1"/>
    <w:next w:val="1"/>
    <w:qFormat/>
    <w:uiPriority w:val="0"/>
    <w:pPr>
      <w:ind w:left="480" w:leftChars="200"/>
    </w:pPr>
    <w:rPr>
      <w:rFonts w:ascii="Times New Roman" w:hAnsi="Times New Roma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character" w:customStyle="1" w:styleId="16">
    <w:name w:val="font21"/>
    <w:basedOn w:val="14"/>
    <w:qFormat/>
    <w:uiPriority w:val="0"/>
    <w:rPr>
      <w:rFonts w:hint="eastAsia" w:ascii="宋体" w:hAnsi="宋体" w:eastAsia="宋体" w:cs="宋体"/>
      <w:color w:val="000000"/>
      <w:sz w:val="21"/>
      <w:szCs w:val="21"/>
      <w:u w:val="none"/>
    </w:rPr>
  </w:style>
  <w:style w:type="character" w:customStyle="1" w:styleId="17">
    <w:name w:val="font11"/>
    <w:basedOn w:val="14"/>
    <w:qFormat/>
    <w:uiPriority w:val="0"/>
    <w:rPr>
      <w:rFonts w:hint="eastAsia" w:ascii="宋体" w:hAnsi="宋体" w:eastAsia="宋体" w:cs="宋体"/>
      <w:color w:val="FF0000"/>
      <w:sz w:val="21"/>
      <w:szCs w:val="21"/>
      <w:u w:val="none"/>
    </w:rPr>
  </w:style>
  <w:style w:type="character" w:customStyle="1" w:styleId="18">
    <w:name w:val="页眉 字符"/>
    <w:basedOn w:val="14"/>
    <w:link w:val="10"/>
    <w:qFormat/>
    <w:uiPriority w:val="0"/>
    <w:rPr>
      <w:rFonts w:ascii="Calibri" w:hAnsi="Calibri"/>
      <w:kern w:val="2"/>
      <w:sz w:val="18"/>
      <w:szCs w:val="18"/>
    </w:rPr>
  </w:style>
  <w:style w:type="character" w:customStyle="1" w:styleId="19">
    <w:name w:val="页脚 字符"/>
    <w:basedOn w:val="14"/>
    <w:link w:val="2"/>
    <w:qFormat/>
    <w:uiPriority w:val="0"/>
    <w:rPr>
      <w:rFonts w:ascii="Calibri" w:hAnsi="Calibri"/>
      <w:kern w:val="2"/>
      <w:sz w:val="18"/>
      <w:szCs w:val="18"/>
    </w:rPr>
  </w:style>
  <w:style w:type="paragraph" w:customStyle="1" w:styleId="20">
    <w:name w:val="Default"/>
    <w:unhideWhenUsed/>
    <w:qFormat/>
    <w:uiPriority w:val="99"/>
    <w:pPr>
      <w:widowControl w:val="0"/>
      <w:autoSpaceDE w:val="0"/>
      <w:autoSpaceDN w:val="0"/>
      <w:adjustRightInd w:val="0"/>
    </w:pPr>
    <w:rPr>
      <w:rFonts w:ascii="仿宋_GB2312" w:hAnsi="仿宋_GB2312" w:eastAsia="仿宋_GB2312" w:cs="Times New Roman"/>
      <w:color w:val="000000"/>
      <w:sz w:val="24"/>
      <w:szCs w:val="24"/>
      <w:lang w:val="en-US" w:eastAsia="zh-CN" w:bidi="ar-SA"/>
    </w:rPr>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local</Company>
  <Pages>9</Pages>
  <Words>3620</Words>
  <Characters>4030</Characters>
  <Lines>47</Lines>
  <Paragraphs>13</Paragraphs>
  <TotalTime>12</TotalTime>
  <ScaleCrop>false</ScaleCrop>
  <LinksUpToDate>false</LinksUpToDate>
  <CharactersWithSpaces>4035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2024-07-17T14:54:00Z</dcterms:created>
  <dc:creator>ps</dc:creator>
  <cp:lastModifiedBy>gzry15</cp:lastModifiedBy>
  <dcterms:modified xsi:type="dcterms:W3CDTF">2026-01-28T14:00:27Z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555CFCF9F55B4EF48FE6D3D60AEAD90F</vt:lpwstr>
  </property>
  <property fmtid="{D5CDD505-2E9C-101B-9397-08002B2CF9AE}" pid="4" name="KSOTemplateDocerSaveRecord">
    <vt:lpwstr>eyJoZGlkIjoiZDI0MjQ3NzZmYjIzMTRiMTYyYzhkZDRiM2FiODU0ZjkiLCJ1c2VySWQiOiIxMzczOTM4NDMxIn0=</vt:lpwstr>
  </property>
</Properties>
</file>