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标的9</w:t>
      </w:r>
    </w:p>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cstheme="minorEastAsia"/>
          <w:b/>
          <w:bCs/>
          <w:snapToGrid w:val="0"/>
          <w:color w:val="auto"/>
          <w:kern w:val="0"/>
          <w:sz w:val="28"/>
          <w:szCs w:val="28"/>
          <w:highlight w:val="none"/>
          <w:u w:val="none"/>
          <w:lang w:val="en-US" w:eastAsia="zh-CN"/>
        </w:rPr>
        <w:t>项目</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500kV禾甸变220kV接入系统工程施工 </w:t>
      </w:r>
    </w:p>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1"/>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top"/>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single"/>
                <w:vertAlign w:val="baseline"/>
                <w:lang w:val="en-US" w:eastAsia="zh-CN"/>
              </w:rPr>
              <w:t>大理供电局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top"/>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single"/>
                <w:vertAlign w:val="baseline"/>
                <w:lang w:val="en-US" w:eastAsia="zh-CN"/>
              </w:rPr>
              <w:t>云南大理祥云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top"/>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single"/>
                <w:vertAlign w:val="baseline"/>
                <w:lang w:val="en-US" w:eastAsia="zh-CN"/>
              </w:rPr>
              <w:t>云电规划〔2024〕238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top"/>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single"/>
                <w:vertAlign w:val="baseline"/>
                <w:lang w:val="en-US" w:eastAsia="zh-CN"/>
              </w:rPr>
              <w:t>大发改基础〔2025〕88号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5</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资金落实情况</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u w:val="single"/>
                <w:vertAlign w:val="baseline"/>
                <w:lang w:val="en-US" w:eastAsia="zh-CN"/>
                <w14:textFill>
                  <w14:solidFill>
                    <w14:schemeClr w14:val="tx1"/>
                  </w14:solidFill>
                </w14:textFill>
              </w:rPr>
              <w:t>云电规划〔2025〕524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6</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初设批复文号</w:t>
            </w:r>
          </w:p>
        </w:tc>
        <w:tc>
          <w:tcPr>
            <w:tcW w:w="347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u w:val="single"/>
                <w:vertAlign w:val="baseline"/>
                <w:lang w:val="en-US" w:eastAsia="zh-CN"/>
                <w14:textFill>
                  <w14:solidFill>
                    <w14:schemeClr w14:val="tx1"/>
                  </w14:solidFill>
                </w14:textFill>
              </w:rPr>
              <w:t>云电基建〔2025〕185号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7</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hAnsi="宋体" w:cs="宋体"/>
                <w:color w:val="auto"/>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8</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u w:val="single"/>
                <w:vertAlign w:val="baseline"/>
                <w:lang w:val="en-US" w:eastAsia="zh-CN" w:bidi="ar-SA"/>
                <w14:textFill>
                  <w14:solidFill>
                    <w14:schemeClr w14:val="tx1"/>
                  </w14:solidFill>
                </w14:textFill>
              </w:rPr>
              <w:t>云南玉溪玉电电力设计院有限公司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9</w:t>
            </w:r>
          </w:p>
        </w:tc>
        <w:tc>
          <w:tcPr>
            <w:tcW w:w="2911"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t>/</w:t>
            </w:r>
          </w:p>
        </w:tc>
      </w:tr>
    </w:tbl>
    <w:p>
      <w:pPr>
        <w:pStyle w:val="7"/>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cs="宋体"/>
          <w:b w:val="0"/>
          <w:bCs w:val="0"/>
          <w:snapToGrid w:val="0"/>
          <w:color w:val="auto"/>
          <w:kern w:val="0"/>
          <w:sz w:val="21"/>
          <w:szCs w:val="21"/>
          <w:highlight w:val="none"/>
          <w:u w:val="none"/>
          <w:lang w:val="en-US" w:eastAsia="zh-CN"/>
        </w:rPr>
        <w:t>1.</w:t>
      </w:r>
      <w:r>
        <w:rPr>
          <w:rFonts w:hint="eastAsia" w:asciiTheme="minorEastAsia" w:hAnsiTheme="minorEastAsia" w:eastAsiaTheme="minorEastAsia" w:cstheme="minorEastAsia"/>
          <w:i w:val="0"/>
          <w:color w:val="auto"/>
          <w:kern w:val="0"/>
          <w:sz w:val="21"/>
          <w:szCs w:val="21"/>
          <w:highlight w:val="none"/>
          <w:u w:val="none"/>
          <w:lang w:val="en-US" w:eastAsia="zh-CN" w:bidi="ar"/>
        </w:rPr>
        <w:t>220kV莲花变电站2个间隔、220kV东营变电站2个间隔、220kV祥云变电站1个间隔的铭牌更换及后台等系统里的名称修改；新建巡检中心1栋。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rPr>
        <w:t>线路工程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Theme="minorEastAsia" w:hAnsiTheme="minorEastAsia" w:cstheme="minorEastAsia"/>
          <w:i w:val="0"/>
          <w:color w:val="auto"/>
          <w:kern w:val="0"/>
          <w:sz w:val="21"/>
          <w:szCs w:val="21"/>
          <w:highlight w:val="none"/>
          <w:u w:val="none"/>
          <w:lang w:val="en-US" w:eastAsia="zh-CN" w:bidi="ar"/>
        </w:rPr>
        <w:t>1.</w:t>
      </w:r>
      <w:r>
        <w:rPr>
          <w:rFonts w:hint="eastAsia" w:asciiTheme="minorEastAsia" w:hAnsiTheme="minorEastAsia" w:eastAsiaTheme="minorEastAsia" w:cstheme="minorEastAsia"/>
          <w:i w:val="0"/>
          <w:color w:val="auto"/>
          <w:kern w:val="0"/>
          <w:sz w:val="21"/>
          <w:szCs w:val="21"/>
          <w:highlight w:val="none"/>
          <w:u w:val="none"/>
          <w:lang w:val="en-US" w:eastAsia="zh-CN" w:bidi="ar"/>
        </w:rPr>
        <w:t>本期500kV禾甸变新建5回220kV线路，其中4回为双π东营变至莲花变220kV线路，形成2回至东营变，2回至莲花变</w:t>
      </w:r>
      <w:r>
        <w:rPr>
          <w:rFonts w:hint="eastAsia" w:ascii="宋体" w:hAnsi="宋体" w:eastAsia="宋体" w:cs="宋体"/>
          <w:b w:val="0"/>
          <w:bCs w:val="0"/>
          <w:snapToGrid w:val="0"/>
          <w:color w:val="auto"/>
          <w:kern w:val="0"/>
          <w:sz w:val="21"/>
          <w:szCs w:val="21"/>
          <w:highlight w:val="none"/>
          <w:u w:val="none"/>
        </w:rPr>
        <w:t>。</w:t>
      </w:r>
    </w:p>
    <w:p>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pStyle w:val="3"/>
        <w:spacing w:line="360" w:lineRule="auto"/>
        <w:ind w:firstLine="422" w:firstLineChars="200"/>
        <w:rPr>
          <w:rFonts w:hint="eastAsia" w:ascii="宋体" w:hAnsi="宋体" w:cs="宋体" w:eastAsiaTheme="minorEastAsia"/>
          <w:b w:val="0"/>
          <w:i w:val="0"/>
          <w:color w:val="auto"/>
          <w:kern w:val="0"/>
          <w:sz w:val="21"/>
          <w:szCs w:val="21"/>
          <w:highlight w:val="none"/>
          <w:lang w:val="en-US" w:eastAsia="zh-CN" w:bidi="ar-SA"/>
        </w:rPr>
      </w:pPr>
      <w:r>
        <w:rPr>
          <w:rFonts w:hint="eastAsia" w:ascii="宋体" w:hAnsi="宋体" w:cs="宋体"/>
          <w:bCs/>
          <w:i w:val="0"/>
          <w:color w:val="auto"/>
          <w:kern w:val="0"/>
          <w:sz w:val="21"/>
          <w:szCs w:val="21"/>
          <w:highlight w:val="none"/>
        </w:rPr>
        <w:t>变电部分</w:t>
      </w:r>
      <w:r>
        <w:rPr>
          <w:rFonts w:hint="eastAsia" w:ascii="宋体" w:hAnsi="宋体" w:cs="宋体"/>
          <w:b w:val="0"/>
          <w:i w:val="0"/>
          <w:color w:val="auto"/>
          <w:kern w:val="0"/>
          <w:sz w:val="21"/>
          <w:szCs w:val="21"/>
          <w:highlight w:val="none"/>
        </w:rPr>
        <w:t>:</w:t>
      </w:r>
      <w:r>
        <w:rPr>
          <w:rFonts w:hint="eastAsia" w:ascii="宋体" w:hAnsi="宋体" w:cs="宋体" w:eastAsiaTheme="minorEastAsia"/>
          <w:b w:val="0"/>
          <w:i w:val="0"/>
          <w:color w:val="auto"/>
          <w:kern w:val="0"/>
          <w:sz w:val="21"/>
          <w:szCs w:val="21"/>
          <w:highlight w:val="none"/>
          <w:lang w:val="en-US" w:eastAsia="zh-CN" w:bidi="ar-SA"/>
        </w:rPr>
        <w:t>设备除空调、通风机、消防器材由投标人自行采购外，其他均由招标人供应。安装工程材料中10V及以上电缆头、管型母线及管金具、封闭母线桥、全站电缆（不含消防电缆、照明电缆、站内通信电缆）、户外检修电源箱、户外动力箱户外端子箱由招标人供应，其余材料由施工单位提供。建筑工程材料对采用钢管构支架的，避雷针、站内出线铁塔、爬梯、节点等钢结构均由招标人供应，其余材料均由投标人供应:对采用混凝土杆构支架的避雷针、站内出线铁塔、爬梯、节点等材料均由投标人供应。变电站照明配电箱、户内动力配电箱、户内检修电源箱、电缆支架、电缆桥架、门类、窗类、混凝土盖板、复合盖板由投标人供应。包含站外电源、水源费用。</w:t>
      </w:r>
    </w:p>
    <w:p>
      <w:pPr>
        <w:pStyle w:val="3"/>
        <w:spacing w:line="360" w:lineRule="auto"/>
        <w:ind w:firstLine="420" w:firstLineChars="200"/>
        <w:rPr>
          <w:rFonts w:hint="eastAsia" w:ascii="宋体" w:hAnsi="宋体" w:cs="宋体" w:eastAsiaTheme="minorEastAsia"/>
          <w:b w:val="0"/>
          <w:i w:val="0"/>
          <w:color w:val="auto"/>
          <w:kern w:val="0"/>
          <w:sz w:val="21"/>
          <w:szCs w:val="21"/>
          <w:highlight w:val="none"/>
          <w:lang w:val="en-US" w:eastAsia="zh-CN" w:bidi="ar-SA"/>
        </w:rPr>
      </w:pPr>
      <w:r>
        <w:rPr>
          <w:rFonts w:hint="eastAsia" w:ascii="宋体" w:hAnsi="宋体" w:cs="宋体" w:eastAsiaTheme="minorEastAsia"/>
          <w:b w:val="0"/>
          <w:i w:val="0"/>
          <w:color w:val="auto"/>
          <w:kern w:val="0"/>
          <w:sz w:val="21"/>
          <w:szCs w:val="21"/>
          <w:highlight w:val="none"/>
          <w:lang w:val="en-US" w:eastAsia="zh-CN" w:bidi="ar-SA"/>
        </w:rPr>
        <w:t>设计图纸范围内的场平、土建、变电建筑、安装、通信（包括配套光设备工程安装及调试）及调试工程。调试工程不含计量用互感器的误差试验、电能表校验。新建变电站或扩建变电站需征地的，征地范围内的原附着物的赔偿（包括土地、房屋、青苗、林木、迁坟、其他构建筑物的赔偿）由招标人负责，征地范围内的原附着物的拆除清理（包括房屋、青苗林木、其他构建筑物的拆除清理等）由投标人负责；变电站扩建间隔工程不征地，但需要拆除部分基础或设备的，其拆除及运输（废旧物资运输至建设单位指定地点）工作由投标人负责。不含桩基检测、安健环设施标准化费用、视觉识别系统、电力设施保护区标牌设置。特殊调试清单见附件。</w:t>
      </w:r>
    </w:p>
    <w:p>
      <w:pPr>
        <w:spacing w:line="360" w:lineRule="auto"/>
        <w:ind w:firstLine="422" w:firstLineChars="200"/>
        <w:rPr>
          <w:rFonts w:ascii="宋体" w:hAnsi="宋体" w:cs="宋体"/>
          <w:color w:val="auto"/>
          <w:kern w:val="0"/>
          <w:szCs w:val="21"/>
          <w:highlight w:val="none"/>
        </w:rPr>
      </w:pPr>
      <w:r>
        <w:rPr>
          <w:rFonts w:hint="eastAsia" w:ascii="宋体" w:hAnsi="宋体" w:eastAsia="宋体" w:cs="宋体"/>
          <w:b/>
          <w:bCs/>
          <w:i w:val="0"/>
          <w:color w:val="auto"/>
          <w:kern w:val="0"/>
          <w:sz w:val="21"/>
          <w:szCs w:val="21"/>
          <w:highlight w:val="none"/>
          <w:lang w:val="en-US" w:eastAsia="zh-CN" w:bidi="ar-SA"/>
        </w:rPr>
        <w:t>线路部分:</w:t>
      </w:r>
      <w:r>
        <w:rPr>
          <w:rFonts w:hint="eastAsia" w:ascii="宋体" w:hAnsi="宋体" w:cs="宋体"/>
          <w:color w:val="auto"/>
          <w:kern w:val="0"/>
          <w:szCs w:val="21"/>
          <w:highlight w:val="none"/>
        </w:rPr>
        <w:t>铁塔（含防高空坠落装置及其钢绞线）、钢管塔、混凝土杆（如有）、导线、地线（含OPGW光缆及金具）、绝缘子、线路金具、降阻剂、接地模块、航空警示灯（如有）、石墨接地体（如有）均由招标人供应。其余材料（含插入式角钢、地脚螺栓）均由投标人自行采购。</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cs="宋体"/>
          <w:b w:val="0"/>
          <w:i w:val="0"/>
          <w:color w:val="auto"/>
          <w:kern w:val="0"/>
          <w:sz w:val="21"/>
          <w:szCs w:val="21"/>
          <w:highlight w:val="none"/>
          <w:lang w:eastAsia="zh-CN"/>
        </w:rPr>
      </w:pPr>
      <w:r>
        <w:rPr>
          <w:rFonts w:hint="eastAsia" w:ascii="宋体" w:hAnsi="宋体" w:cs="宋体"/>
          <w:b w:val="0"/>
          <w:i w:val="0"/>
          <w:color w:val="auto"/>
          <w:kern w:val="0"/>
          <w:sz w:val="21"/>
          <w:szCs w:val="21"/>
          <w:highlight w:val="none"/>
        </w:rPr>
        <w:t>完成线路本体工程的施工、调试及整套启动试运，还包括但不限于下述项目：建设场地征用及清理，包括塔基永久性土地征（租）用（不含耕地占用税）；迁移补偿，包括林木砍伐补偿（不含</w:t>
      </w:r>
      <w:r>
        <w:rPr>
          <w:rFonts w:hint="eastAsia" w:ascii="宋体" w:hAnsi="宋体" w:cs="宋体"/>
          <w:b w:val="0"/>
          <w:i w:val="0"/>
          <w:color w:val="auto"/>
          <w:kern w:val="0"/>
          <w:sz w:val="21"/>
          <w:szCs w:val="21"/>
          <w:highlight w:val="none"/>
          <w:lang w:val="en-US" w:eastAsia="zh-CN"/>
        </w:rPr>
        <w:t>塔基永久占地</w:t>
      </w:r>
      <w:r>
        <w:rPr>
          <w:rFonts w:hint="eastAsia" w:ascii="宋体" w:hAnsi="宋体" w:cs="宋体"/>
          <w:b w:val="0"/>
          <w:i w:val="0"/>
          <w:color w:val="auto"/>
          <w:kern w:val="0"/>
          <w:sz w:val="21"/>
          <w:szCs w:val="21"/>
          <w:highlight w:val="none"/>
        </w:rPr>
        <w:t>植被恢复费、林业报件费，但中标单应按相关要求配合建设单位进行缴纳及报建）临时征（占）用林地（含输电线路通道）恢复业生产条件所发生相关费用，青苗、经济作物、城市绿化赔偿；建构筑物补偿；电力线路、通信线路补偿，道路、管道补偿；余物清理，包括建构筑物拆除、电力线、通信线路拆除及运输（废旧物资运输至建设单位指定地点）道路、管道拆除及运输（废旧物资运输至建单位指定地点）、余土外运、送电线路走廊施工赔偿；材料站租（占）用；放线牵张场场建设；障碍物拆迁等及相关配合；光缆测量、接续；各类达标、检查、验收、质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w:t>
      </w:r>
      <w:r>
        <w:rPr>
          <w:rFonts w:hint="eastAsia" w:ascii="宋体" w:hAnsi="宋体" w:cs="宋体"/>
          <w:b w:val="0"/>
          <w:i w:val="0"/>
          <w:color w:val="auto"/>
          <w:kern w:val="0"/>
          <w:sz w:val="21"/>
          <w:szCs w:val="21"/>
          <w:highlight w:val="none"/>
          <w:lang w:val="en-US" w:eastAsia="zh-CN"/>
        </w:rPr>
        <w:t>如有，</w:t>
      </w:r>
      <w:r>
        <w:rPr>
          <w:rFonts w:hint="eastAsia" w:ascii="宋体" w:hAnsi="宋体" w:cs="宋体"/>
          <w:b w:val="0"/>
          <w:i w:val="0"/>
          <w:color w:val="auto"/>
          <w:kern w:val="0"/>
          <w:sz w:val="21"/>
          <w:szCs w:val="21"/>
          <w:highlight w:val="none"/>
        </w:rPr>
        <w:t>含料费和安装费）仅包含本期建设线路所包含的塔基部分，不含线路建设引起其他运行线路相序牌变化和对侧间隔标示更换的费用；不含耕地占用税、林业勘测规划、桩基检测、电力设施保护区标牌设置；不含厂、矿、石、砂、砖窑、炸药库等的停、封、迁移补偿等和军事设施补偿、水利设施补偿费等补偿</w:t>
      </w:r>
      <w:r>
        <w:rPr>
          <w:rFonts w:hint="eastAsia" w:ascii="宋体" w:hAnsi="宋体" w:cs="宋体"/>
          <w:b w:val="0"/>
          <w:i w:val="0"/>
          <w:color w:val="auto"/>
          <w:kern w:val="0"/>
          <w:sz w:val="21"/>
          <w:szCs w:val="21"/>
          <w:highlight w:val="none"/>
          <w:lang w:eastAsia="zh-CN"/>
        </w:rPr>
        <w:t>。</w:t>
      </w:r>
    </w:p>
    <w:p>
      <w:pPr>
        <w:rPr>
          <w:rFonts w:hint="default"/>
          <w:lang w:val="en-US"/>
        </w:rPr>
      </w:pPr>
    </w:p>
    <w:p>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default"/>
          <w:lang w:val="en-US"/>
        </w:rPr>
      </w:pPr>
      <w:r>
        <w:rPr>
          <w:rFonts w:hint="eastAsia" w:ascii="宋体" w:hAnsi="宋体" w:eastAsia="宋体" w:cs="宋体"/>
          <w:b w:val="0"/>
          <w:bCs w:val="0"/>
          <w:snapToGrid w:val="0"/>
          <w:color w:val="auto"/>
          <w:kern w:val="0"/>
          <w:sz w:val="21"/>
          <w:szCs w:val="21"/>
          <w:highlight w:val="none"/>
          <w:u w:val="none"/>
          <w:lang w:val="en-US" w:eastAsia="zh-CN"/>
        </w:rPr>
        <w:t>包工部分包料。甲供物资清单见附件。</w:t>
      </w:r>
    </w:p>
    <w:p>
      <w:pPr>
        <w:pStyle w:val="7"/>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p>
    <w:p>
      <w:pPr>
        <w:rPr>
          <w:rFonts w:hint="eastAsia" w:eastAsiaTheme="minorEastAsia"/>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CC0EB8"/>
    <w:rsid w:val="028A5781"/>
    <w:rsid w:val="071B3875"/>
    <w:rsid w:val="0AB34E04"/>
    <w:rsid w:val="0BA64A9D"/>
    <w:rsid w:val="1096538D"/>
    <w:rsid w:val="1110038B"/>
    <w:rsid w:val="12297CF9"/>
    <w:rsid w:val="197E517B"/>
    <w:rsid w:val="1BA63B03"/>
    <w:rsid w:val="21DE176F"/>
    <w:rsid w:val="22683671"/>
    <w:rsid w:val="275E4070"/>
    <w:rsid w:val="33B26D0C"/>
    <w:rsid w:val="37AC2A04"/>
    <w:rsid w:val="41046039"/>
    <w:rsid w:val="44F901B8"/>
    <w:rsid w:val="46927C28"/>
    <w:rsid w:val="46A7570B"/>
    <w:rsid w:val="46B60F87"/>
    <w:rsid w:val="46CA2092"/>
    <w:rsid w:val="480C50DB"/>
    <w:rsid w:val="494A71CD"/>
    <w:rsid w:val="49C37D91"/>
    <w:rsid w:val="4D1B7EC6"/>
    <w:rsid w:val="55AF7E22"/>
    <w:rsid w:val="59B73677"/>
    <w:rsid w:val="60072B17"/>
    <w:rsid w:val="65904792"/>
    <w:rsid w:val="6AF57C40"/>
    <w:rsid w:val="740D71D5"/>
    <w:rsid w:val="75302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实施方案正文"/>
    <w:basedOn w:val="1"/>
    <w:qFormat/>
    <w:uiPriority w:val="99"/>
    <w:pPr>
      <w:ind w:firstLine="566" w:firstLineChars="202"/>
    </w:pPr>
    <w:rPr>
      <w:szCs w:val="28"/>
    </w:rPr>
  </w:style>
  <w:style w:type="paragraph" w:styleId="4">
    <w:name w:val="annotation text"/>
    <w:basedOn w:val="1"/>
    <w:qFormat/>
    <w:uiPriority w:val="0"/>
    <w:pPr>
      <w:jc w:val="left"/>
    </w:p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Plain Text"/>
    <w:basedOn w:val="1"/>
    <w:qFormat/>
    <w:uiPriority w:val="0"/>
    <w:rPr>
      <w:rFonts w:ascii="宋体" w:hAnsi="Courier New"/>
      <w:kern w:val="0"/>
      <w:sz w:val="20"/>
      <w:szCs w:val="20"/>
    </w:rPr>
  </w:style>
  <w:style w:type="paragraph" w:styleId="8">
    <w:name w:val="Body Text First Indent"/>
    <w:basedOn w:val="5"/>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paragraph" w:styleId="9">
    <w:name w:val="Body Text First Indent 2"/>
    <w:basedOn w:val="1"/>
    <w:unhideWhenUsed/>
    <w:qFormat/>
    <w:uiPriority w:val="99"/>
    <w:pPr>
      <w:ind w:firstLine="42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gzry15</cp:lastModifiedBy>
  <dcterms:modified xsi:type="dcterms:W3CDTF">2026-01-29T00:50:08Z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828EB1A3F917453A8015865553CD4AF5</vt:lpwstr>
  </property>
</Properties>
</file>