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sz w:val="44"/>
          <w:szCs w:val="44"/>
          <w:lang w:eastAsia="zh-CN"/>
        </w:rPr>
      </w:pPr>
    </w:p>
    <w:p>
      <w:pPr>
        <w:jc w:val="center"/>
        <w:rPr>
          <w:rFonts w:hint="eastAsia" w:ascii="黑体" w:hAnsi="黑体" w:eastAsia="黑体"/>
          <w:sz w:val="44"/>
          <w:szCs w:val="44"/>
          <w:highlight w:val="none"/>
        </w:rPr>
      </w:pPr>
      <w:r>
        <w:rPr>
          <w:rFonts w:hint="eastAsia" w:ascii="黑体" w:hAnsi="黑体" w:eastAsia="黑体"/>
          <w:sz w:val="44"/>
          <w:szCs w:val="44"/>
          <w:highlight w:val="none"/>
          <w:lang w:eastAsia="zh-CN"/>
        </w:rPr>
        <w:t>玉林供电局2026-2028年调度专业办公类通信资源租赁零星采购项目技术规范书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w:t>
      </w:r>
      <w:r>
        <w:rPr>
          <w:rFonts w:hint="eastAsia"/>
          <w:sz w:val="32"/>
          <w:szCs w:val="32"/>
          <w:lang w:eastAsia="zh-CN"/>
        </w:rPr>
        <w:t>玉林供电局</w:t>
      </w:r>
    </w:p>
    <w:p>
      <w:pPr>
        <w:jc w:val="center"/>
        <w:rPr>
          <w:rFonts w:hint="eastAsia"/>
          <w:sz w:val="32"/>
          <w:szCs w:val="32"/>
        </w:rPr>
      </w:pPr>
      <w:r>
        <w:rPr>
          <w:rFonts w:hint="eastAsia"/>
          <w:sz w:val="32"/>
          <w:szCs w:val="32"/>
        </w:rPr>
        <w:t>20</w:t>
      </w:r>
      <w:r>
        <w:rPr>
          <w:rFonts w:hint="eastAsia"/>
          <w:sz w:val="32"/>
          <w:szCs w:val="32"/>
          <w:lang w:val="en-US" w:eastAsia="zh-CN"/>
        </w:rPr>
        <w:t>26</w:t>
      </w:r>
      <w:r>
        <w:rPr>
          <w:rFonts w:hint="eastAsia"/>
          <w:sz w:val="32"/>
          <w:szCs w:val="32"/>
        </w:rPr>
        <w:t>年</w:t>
      </w:r>
      <w:r>
        <w:rPr>
          <w:rFonts w:hint="eastAsia"/>
          <w:sz w:val="32"/>
          <w:szCs w:val="32"/>
          <w:lang w:val="en-US" w:eastAsia="zh-CN"/>
        </w:rPr>
        <w:t>1</w:t>
      </w:r>
      <w:r>
        <w:rPr>
          <w:rFonts w:hint="eastAsia"/>
          <w:sz w:val="32"/>
          <w:szCs w:val="32"/>
        </w:rPr>
        <w:t>月</w:t>
      </w:r>
    </w:p>
    <w:p>
      <w:pPr>
        <w:jc w:val="center"/>
        <w:rPr>
          <w:rFonts w:hint="eastAsia"/>
        </w:rPr>
      </w:pPr>
      <w:r>
        <w:br w:type="page"/>
      </w:r>
      <w:r>
        <w:rPr>
          <w:rFonts w:hint="eastAsia"/>
        </w:rPr>
        <w:t>目  录</w:t>
      </w:r>
    </w:p>
    <w:p>
      <w:pPr>
        <w:pStyle w:val="5"/>
        <w:rPr>
          <w:rFonts w:ascii="Calibri" w:hAnsi="Calibri"/>
          <w:sz w:val="21"/>
          <w:szCs w:val="22"/>
        </w:rPr>
      </w:pPr>
      <w:r>
        <w:fldChar w:fldCharType="begin"/>
      </w:r>
      <w:r>
        <w:instrText xml:space="preserve"> </w:instrText>
      </w:r>
      <w:r>
        <w:rPr>
          <w:rFonts w:hint="eastAsia"/>
        </w:rPr>
        <w:instrText xml:space="preserve">TOC \o "1-1" \h \z \u</w:instrText>
      </w:r>
      <w:r>
        <w:instrText xml:space="preserve"> </w:instrText>
      </w:r>
      <w:r>
        <w:fldChar w:fldCharType="separate"/>
      </w:r>
      <w:r>
        <w:fldChar w:fldCharType="begin"/>
      </w:r>
      <w:r>
        <w:rPr>
          <w:rStyle w:val="9"/>
        </w:rPr>
        <w:instrText xml:space="preserve"> </w:instrText>
      </w:r>
      <w:r>
        <w:instrText xml:space="preserve">HYPERLINK \l "_Toc435093731"</w:instrText>
      </w:r>
      <w:r>
        <w:rPr>
          <w:rStyle w:val="9"/>
        </w:rPr>
        <w:instrText xml:space="preserve"> </w:instrText>
      </w:r>
      <w:r>
        <w:fldChar w:fldCharType="separate"/>
      </w:r>
      <w:r>
        <w:rPr>
          <w:rStyle w:val="9"/>
        </w:rPr>
        <w:t>1.</w:t>
      </w:r>
      <w:r>
        <w:rPr>
          <w:rStyle w:val="9"/>
          <w:rFonts w:hint="eastAsia"/>
        </w:rPr>
        <w:t xml:space="preserve"> 总则</w:t>
      </w:r>
      <w:r>
        <w:tab/>
      </w:r>
      <w:r>
        <w:fldChar w:fldCharType="begin"/>
      </w:r>
      <w:r>
        <w:instrText xml:space="preserve"> PAGEREF _Toc435093731 \h </w:instrText>
      </w:r>
      <w:r>
        <w:fldChar w:fldCharType="separate"/>
      </w:r>
      <w:r>
        <w:t>1</w:t>
      </w:r>
      <w:r>
        <w:fldChar w:fldCharType="end"/>
      </w:r>
      <w:r>
        <w:fldChar w:fldCharType="end"/>
      </w:r>
    </w:p>
    <w:p>
      <w:pPr>
        <w:pStyle w:val="5"/>
        <w:rPr>
          <w:rFonts w:ascii="Calibri" w:hAnsi="Calibri"/>
          <w:sz w:val="21"/>
          <w:szCs w:val="22"/>
        </w:rPr>
      </w:pPr>
      <w:r>
        <w:fldChar w:fldCharType="begin"/>
      </w:r>
      <w:r>
        <w:rPr>
          <w:rStyle w:val="9"/>
        </w:rPr>
        <w:instrText xml:space="preserve"> </w:instrText>
      </w:r>
      <w:r>
        <w:instrText xml:space="preserve">HYPERLINK \l "_Toc435093732"</w:instrText>
      </w:r>
      <w:r>
        <w:rPr>
          <w:rStyle w:val="9"/>
        </w:rPr>
        <w:instrText xml:space="preserve"> </w:instrText>
      </w:r>
      <w:r>
        <w:fldChar w:fldCharType="separate"/>
      </w:r>
      <w:r>
        <w:rPr>
          <w:rStyle w:val="9"/>
        </w:rPr>
        <w:t>2.</w:t>
      </w:r>
      <w:r>
        <w:rPr>
          <w:rStyle w:val="9"/>
          <w:rFonts w:hint="eastAsia"/>
        </w:rPr>
        <w:t xml:space="preserve"> 应遵循的主要标准</w:t>
      </w:r>
      <w:r>
        <w:tab/>
      </w:r>
      <w:r>
        <w:fldChar w:fldCharType="begin"/>
      </w:r>
      <w:r>
        <w:instrText xml:space="preserve"> PAGEREF _Toc435093732 \h </w:instrText>
      </w:r>
      <w:r>
        <w:fldChar w:fldCharType="separate"/>
      </w:r>
      <w:r>
        <w:t>2</w:t>
      </w:r>
      <w:r>
        <w:fldChar w:fldCharType="end"/>
      </w:r>
      <w:r>
        <w:fldChar w:fldCharType="end"/>
      </w:r>
    </w:p>
    <w:p>
      <w:pPr>
        <w:pStyle w:val="5"/>
        <w:rPr>
          <w:rFonts w:ascii="Calibri" w:hAnsi="Calibri"/>
          <w:sz w:val="21"/>
          <w:szCs w:val="22"/>
        </w:rPr>
      </w:pPr>
      <w:r>
        <w:fldChar w:fldCharType="begin"/>
      </w:r>
      <w:r>
        <w:rPr>
          <w:rStyle w:val="9"/>
        </w:rPr>
        <w:instrText xml:space="preserve"> </w:instrText>
      </w:r>
      <w:r>
        <w:instrText xml:space="preserve">HYPERLINK \l "_Toc435093733"</w:instrText>
      </w:r>
      <w:r>
        <w:rPr>
          <w:rStyle w:val="9"/>
        </w:rPr>
        <w:instrText xml:space="preserve"> </w:instrText>
      </w:r>
      <w:r>
        <w:fldChar w:fldCharType="separate"/>
      </w:r>
      <w:r>
        <w:rPr>
          <w:rStyle w:val="9"/>
        </w:rPr>
        <w:t>3.</w:t>
      </w:r>
      <w:r>
        <w:rPr>
          <w:rStyle w:val="9"/>
          <w:rFonts w:hint="eastAsia"/>
        </w:rPr>
        <w:t xml:space="preserve"> 项目概述</w:t>
      </w:r>
      <w:r>
        <w:tab/>
      </w:r>
      <w:r>
        <w:fldChar w:fldCharType="begin"/>
      </w:r>
      <w:r>
        <w:instrText xml:space="preserve"> PAGEREF _Toc435093733 \h </w:instrText>
      </w:r>
      <w:r>
        <w:fldChar w:fldCharType="separate"/>
      </w:r>
      <w:r>
        <w:t>3</w:t>
      </w:r>
      <w:r>
        <w:fldChar w:fldCharType="end"/>
      </w:r>
      <w:r>
        <w:fldChar w:fldCharType="end"/>
      </w:r>
    </w:p>
    <w:p>
      <w:pPr>
        <w:pStyle w:val="5"/>
        <w:rPr>
          <w:rFonts w:ascii="Calibri" w:hAnsi="Calibri"/>
          <w:sz w:val="21"/>
          <w:szCs w:val="22"/>
        </w:rPr>
      </w:pPr>
      <w:r>
        <w:fldChar w:fldCharType="begin"/>
      </w:r>
      <w:r>
        <w:rPr>
          <w:rStyle w:val="9"/>
        </w:rPr>
        <w:instrText xml:space="preserve"> </w:instrText>
      </w:r>
      <w:r>
        <w:instrText xml:space="preserve">HYPERLINK \l "_Toc435093734"</w:instrText>
      </w:r>
      <w:r>
        <w:rPr>
          <w:rStyle w:val="9"/>
        </w:rPr>
        <w:instrText xml:space="preserve"> </w:instrText>
      </w:r>
      <w:r>
        <w:fldChar w:fldCharType="separate"/>
      </w:r>
      <w:r>
        <w:rPr>
          <w:rStyle w:val="9"/>
        </w:rPr>
        <w:t>4.</w:t>
      </w:r>
      <w:r>
        <w:rPr>
          <w:rStyle w:val="9"/>
          <w:rFonts w:hint="eastAsia"/>
        </w:rPr>
        <w:t xml:space="preserve"> 范围和内容</w:t>
      </w:r>
      <w:r>
        <w:tab/>
      </w:r>
      <w:r>
        <w:fldChar w:fldCharType="begin"/>
      </w:r>
      <w:r>
        <w:instrText xml:space="preserve"> PAGEREF _Toc435093734 \h </w:instrText>
      </w:r>
      <w:r>
        <w:fldChar w:fldCharType="separate"/>
      </w:r>
      <w:r>
        <w:t>3</w:t>
      </w:r>
      <w:r>
        <w:fldChar w:fldCharType="end"/>
      </w:r>
      <w:r>
        <w:fldChar w:fldCharType="end"/>
      </w:r>
    </w:p>
    <w:p>
      <w:pPr>
        <w:pStyle w:val="5"/>
        <w:rPr>
          <w:rFonts w:ascii="Calibri" w:hAnsi="Calibri"/>
          <w:sz w:val="21"/>
          <w:szCs w:val="22"/>
        </w:rPr>
      </w:pPr>
      <w:r>
        <w:fldChar w:fldCharType="begin"/>
      </w:r>
      <w:r>
        <w:rPr>
          <w:rStyle w:val="9"/>
        </w:rPr>
        <w:instrText xml:space="preserve"> </w:instrText>
      </w:r>
      <w:r>
        <w:instrText xml:space="preserve">HYPERLINK \l "_Toc435093735"</w:instrText>
      </w:r>
      <w:r>
        <w:rPr>
          <w:rStyle w:val="9"/>
        </w:rPr>
        <w:instrText xml:space="preserve"> </w:instrText>
      </w:r>
      <w:r>
        <w:fldChar w:fldCharType="separate"/>
      </w:r>
      <w:r>
        <w:rPr>
          <w:rStyle w:val="9"/>
        </w:rPr>
        <w:t>5.</w:t>
      </w:r>
      <w:r>
        <w:rPr>
          <w:rStyle w:val="9"/>
          <w:rFonts w:hint="eastAsia"/>
        </w:rPr>
        <w:t xml:space="preserve"> 总体要求</w:t>
      </w:r>
      <w:r>
        <w:tab/>
      </w:r>
      <w:r>
        <w:fldChar w:fldCharType="begin"/>
      </w:r>
      <w:r>
        <w:instrText xml:space="preserve"> PAGEREF _Toc435093735 \h </w:instrText>
      </w:r>
      <w:r>
        <w:fldChar w:fldCharType="separate"/>
      </w:r>
      <w:r>
        <w:t>3</w:t>
      </w:r>
      <w:r>
        <w:fldChar w:fldCharType="end"/>
      </w:r>
      <w:r>
        <w:fldChar w:fldCharType="end"/>
      </w:r>
    </w:p>
    <w:p>
      <w:pPr>
        <w:pStyle w:val="5"/>
        <w:rPr>
          <w:rFonts w:ascii="Calibri" w:hAnsi="Calibri"/>
          <w:sz w:val="21"/>
          <w:szCs w:val="22"/>
        </w:rPr>
      </w:pPr>
      <w:r>
        <w:fldChar w:fldCharType="begin"/>
      </w:r>
      <w:r>
        <w:rPr>
          <w:rStyle w:val="9"/>
        </w:rPr>
        <w:instrText xml:space="preserve"> </w:instrText>
      </w:r>
      <w:r>
        <w:instrText xml:space="preserve">HYPERLINK \l "_Toc435093736"</w:instrText>
      </w:r>
      <w:r>
        <w:rPr>
          <w:rStyle w:val="9"/>
        </w:rPr>
        <w:instrText xml:space="preserve"> </w:instrText>
      </w:r>
      <w:r>
        <w:fldChar w:fldCharType="separate"/>
      </w:r>
      <w:r>
        <w:rPr>
          <w:rStyle w:val="9"/>
        </w:rPr>
        <w:t>6.</w:t>
      </w:r>
      <w:r>
        <w:rPr>
          <w:rStyle w:val="9"/>
          <w:rFonts w:hint="eastAsia"/>
        </w:rPr>
        <w:t xml:space="preserve"> 主要技术要求</w:t>
      </w:r>
      <w:r>
        <w:tab/>
      </w:r>
      <w:r>
        <w:fldChar w:fldCharType="begin"/>
      </w:r>
      <w:r>
        <w:instrText xml:space="preserve"> PAGEREF _Toc435093736 \h </w:instrText>
      </w:r>
      <w:r>
        <w:fldChar w:fldCharType="separate"/>
      </w:r>
      <w:r>
        <w:t>3</w:t>
      </w:r>
      <w:r>
        <w:fldChar w:fldCharType="end"/>
      </w:r>
      <w:r>
        <w:fldChar w:fldCharType="end"/>
      </w:r>
    </w:p>
    <w:p>
      <w:pPr>
        <w:pStyle w:val="5"/>
        <w:rPr>
          <w:rFonts w:ascii="Calibri" w:hAnsi="Calibri"/>
          <w:sz w:val="21"/>
          <w:szCs w:val="22"/>
        </w:rPr>
      </w:pPr>
      <w:r>
        <w:fldChar w:fldCharType="begin"/>
      </w:r>
      <w:r>
        <w:rPr>
          <w:rStyle w:val="9"/>
        </w:rPr>
        <w:instrText xml:space="preserve"> </w:instrText>
      </w:r>
      <w:r>
        <w:instrText xml:space="preserve">HYPERLINK \l "_Toc435093737"</w:instrText>
      </w:r>
      <w:r>
        <w:rPr>
          <w:rStyle w:val="9"/>
        </w:rPr>
        <w:instrText xml:space="preserve"> </w:instrText>
      </w:r>
      <w:r>
        <w:fldChar w:fldCharType="separate"/>
      </w:r>
      <w:r>
        <w:rPr>
          <w:rStyle w:val="9"/>
        </w:rPr>
        <w:t>7.</w:t>
      </w:r>
      <w:r>
        <w:rPr>
          <w:rStyle w:val="9"/>
          <w:rFonts w:hint="eastAsia"/>
        </w:rPr>
        <w:t xml:space="preserve"> 其他要求</w:t>
      </w:r>
      <w:r>
        <w:tab/>
      </w:r>
      <w:r>
        <w:fldChar w:fldCharType="begin"/>
      </w:r>
      <w:r>
        <w:instrText xml:space="preserve"> PAGEREF _Toc435093737 \h </w:instrText>
      </w:r>
      <w:r>
        <w:fldChar w:fldCharType="separate"/>
      </w:r>
      <w:r>
        <w:t>4</w:t>
      </w:r>
      <w:r>
        <w:fldChar w:fldCharType="end"/>
      </w:r>
      <w:r>
        <w:fldChar w:fldCharType="end"/>
      </w:r>
    </w:p>
    <w:p>
      <w:pPr>
        <w:pStyle w:val="5"/>
        <w:rPr>
          <w:rFonts w:ascii="Calibri" w:hAnsi="Calibri"/>
          <w:sz w:val="21"/>
          <w:szCs w:val="22"/>
        </w:rPr>
      </w:pPr>
      <w:r>
        <w:fldChar w:fldCharType="begin"/>
      </w:r>
      <w:r>
        <w:rPr>
          <w:rStyle w:val="9"/>
        </w:rPr>
        <w:instrText xml:space="preserve"> </w:instrText>
      </w:r>
      <w:r>
        <w:instrText xml:space="preserve">HYPERLINK \l "_Toc435093738"</w:instrText>
      </w:r>
      <w:r>
        <w:rPr>
          <w:rStyle w:val="9"/>
        </w:rPr>
        <w:instrText xml:space="preserve"> </w:instrText>
      </w:r>
      <w:r>
        <w:fldChar w:fldCharType="separate"/>
      </w:r>
      <w:r>
        <w:rPr>
          <w:rStyle w:val="9"/>
        </w:rPr>
        <w:t>8.</w:t>
      </w:r>
      <w:r>
        <w:rPr>
          <w:rStyle w:val="9"/>
          <w:rFonts w:hint="eastAsia"/>
        </w:rPr>
        <w:t xml:space="preserve"> 附件</w:t>
      </w:r>
      <w:r>
        <w:tab/>
      </w:r>
      <w:r>
        <w:fldChar w:fldCharType="begin"/>
      </w:r>
      <w:r>
        <w:instrText xml:space="preserve"> PAGEREF _Toc435093738 \h </w:instrText>
      </w:r>
      <w:r>
        <w:fldChar w:fldCharType="separate"/>
      </w:r>
      <w:r>
        <w:t>6</w:t>
      </w:r>
      <w:r>
        <w:fldChar w:fldCharType="end"/>
      </w:r>
      <w:r>
        <w:fldChar w:fldCharType="end"/>
      </w:r>
    </w:p>
    <w:p>
      <w:pPr>
        <w:rPr>
          <w:rFonts w:hint="eastAsia"/>
        </w:rPr>
      </w:pPr>
      <w:r>
        <w:fldChar w:fldCharType="end"/>
      </w:r>
    </w:p>
    <w:p>
      <w:pPr>
        <w:sectPr>
          <w:headerReference r:id="rId5" w:type="default"/>
          <w:footerReference r:id="rId6" w:type="default"/>
          <w:footerReference r:id="rId7" w:type="even"/>
          <w:pgSz w:w="11906" w:h="16838"/>
          <w:pgMar w:top="1440" w:right="1800" w:bottom="1440" w:left="1800" w:header="851" w:footer="992" w:gutter="0"/>
          <w:pgBorders w:offsetFrom="page">
            <w:top w:val="none" w:sz="0" w:space="0"/>
            <w:left w:val="none" w:sz="0" w:space="0"/>
            <w:bottom w:val="none" w:sz="0" w:space="0"/>
            <w:right w:val="none" w:sz="0" w:space="0"/>
          </w:pgBorders>
          <w:cols w:space="720" w:num="1"/>
          <w:docGrid w:type="lines" w:linePitch="312" w:charSpace="0"/>
        </w:sectPr>
      </w:pPr>
    </w:p>
    <w:p>
      <w:pPr>
        <w:pStyle w:val="2"/>
        <w:rPr>
          <w:rFonts w:hint="eastAsia"/>
        </w:rPr>
      </w:pPr>
      <w:bookmarkStart w:id="0" w:name="_Toc435093731"/>
      <w:r>
        <w:rPr>
          <w:rFonts w:hint="eastAsia"/>
        </w:rPr>
        <w:t>总则</w:t>
      </w:r>
      <w:bookmarkEnd w:id="0"/>
    </w:p>
    <w:p>
      <w:pPr>
        <w:pStyle w:val="3"/>
        <w:rPr>
          <w:rFonts w:hint="eastAsia"/>
        </w:rPr>
      </w:pPr>
      <w:r>
        <w:rPr>
          <w:rFonts w:hint="eastAsia"/>
        </w:rPr>
        <w:t>一般要求</w:t>
      </w:r>
    </w:p>
    <w:p>
      <w:pPr>
        <w:pStyle w:val="10"/>
        <w:numPr>
          <w:ilvl w:val="2"/>
          <w:numId w:val="2"/>
        </w:numPr>
      </w:pPr>
      <w:r>
        <w:rPr>
          <w:rFonts w:hint="eastAsia"/>
        </w:rPr>
        <w:t>投标方必须认真阅读本技术条款内容，以免造成投标失败。</w:t>
      </w:r>
    </w:p>
    <w:p>
      <w:pPr>
        <w:pStyle w:val="10"/>
        <w:rPr>
          <w:rFonts w:hint="eastAsia"/>
        </w:rPr>
      </w:pPr>
      <w:r>
        <w:rPr>
          <w:rFonts w:hint="eastAsia"/>
        </w:rPr>
        <w:t>本技术规范书主要描述</w:t>
      </w:r>
      <w:r>
        <w:rPr>
          <w:rFonts w:hint="eastAsia"/>
          <w:b/>
          <w:lang w:val="en-US" w:eastAsia="zh-CN"/>
        </w:rPr>
        <w:t>公网通信租用（移动通信号码资源租赁）</w:t>
      </w:r>
      <w:r>
        <w:rPr>
          <w:rFonts w:hint="eastAsia"/>
        </w:rPr>
        <w:t>要求有关事项。</w:t>
      </w:r>
    </w:p>
    <w:p>
      <w:pPr>
        <w:pStyle w:val="10"/>
        <w:rPr>
          <w:rFonts w:hint="eastAsia"/>
        </w:rPr>
      </w:pPr>
      <w:r>
        <w:rPr>
          <w:rFonts w:hint="eastAsia"/>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见</w:t>
      </w:r>
      <w:r>
        <w:t>附件</w:t>
      </w:r>
      <w:r>
        <w:rPr>
          <w:rFonts w:hint="eastAsia"/>
        </w:rPr>
        <w:t>)的形式另外列出。</w:t>
      </w:r>
    </w:p>
    <w:p>
      <w:pPr>
        <w:pStyle w:val="10"/>
        <w:rPr>
          <w:rFonts w:hint="eastAsia"/>
        </w:rPr>
      </w:pPr>
      <w:r>
        <w:rPr>
          <w:rFonts w:hint="eastAsia"/>
        </w:rPr>
        <w:t>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pStyle w:val="10"/>
        <w:rPr>
          <w:rFonts w:hint="eastAsia"/>
        </w:rPr>
      </w:pPr>
      <w:r>
        <w:rPr>
          <w:rFonts w:hint="eastAsia"/>
        </w:rPr>
        <w:t>如果投标方认为本技术条款所描述技术要求等存在不合理性或不明白的，可在响应原要求后陈述相关建议。</w:t>
      </w:r>
    </w:p>
    <w:p>
      <w:pPr>
        <w:pStyle w:val="10"/>
        <w:rPr>
          <w:rFonts w:hint="eastAsia"/>
        </w:rPr>
      </w:pPr>
      <w:r>
        <w:rPr>
          <w:rFonts w:hint="eastAsia"/>
        </w:rPr>
        <w:t>投标方也可提出满足本技术规范书要求，且技术先进、成熟、价格合理的其他建议，供招标方选择。</w:t>
      </w:r>
    </w:p>
    <w:p>
      <w:pPr>
        <w:pStyle w:val="10"/>
        <w:rPr>
          <w:rFonts w:hint="eastAsia"/>
        </w:rPr>
      </w:pPr>
      <w:r>
        <w:rPr>
          <w:rFonts w:hint="eastAsia"/>
        </w:rPr>
        <w:t>投标方应提供满足本技术规范书要求的完整的服务、工作产品，满足国家及用户提出的有关质量标准要求。所有工作产品必须具有在中国境内的合法使用权。</w:t>
      </w:r>
    </w:p>
    <w:p>
      <w:pPr>
        <w:pStyle w:val="10"/>
        <w:rPr>
          <w:rFonts w:hint="eastAsia"/>
        </w:rPr>
      </w:pPr>
      <w:r>
        <w:rPr>
          <w:rFonts w:hint="eastAsia"/>
        </w:rPr>
        <w:t>本技术规范书所使用的标准如与投标方所执行的标准不一致，按较高标准执行。</w:t>
      </w:r>
    </w:p>
    <w:p>
      <w:pPr>
        <w:pStyle w:val="10"/>
        <w:rPr>
          <w:rFonts w:hint="eastAsia"/>
        </w:rPr>
      </w:pPr>
      <w:r>
        <w:rPr>
          <w:rFonts w:hint="eastAsia"/>
        </w:rPr>
        <w:t>如果因为无法提供的原因而提供其他产品、服务，投标方应明确说明并提出质量保证承诺。</w:t>
      </w:r>
    </w:p>
    <w:p>
      <w:pPr>
        <w:pStyle w:val="10"/>
        <w:rPr>
          <w:rFonts w:hint="eastAsia"/>
        </w:rPr>
      </w:pPr>
      <w:r>
        <w:rPr>
          <w:rFonts w:hint="eastAsia"/>
        </w:rPr>
        <w:t>投标方应保证为今后招标方开发的或招标方委托第三方开发的其他工作产品提供可靠的性能和兼容性。</w:t>
      </w:r>
    </w:p>
    <w:p>
      <w:pPr>
        <w:pStyle w:val="10"/>
        <w:rPr>
          <w:rFonts w:hint="eastAsia"/>
        </w:rPr>
      </w:pPr>
      <w:r>
        <w:rPr>
          <w:rFonts w:hint="eastAsia"/>
        </w:rPr>
        <w:t>投标方应对本次投标所有文件保密，不得向其他单位公布或泄漏招标项目的有关信息。</w:t>
      </w:r>
    </w:p>
    <w:p>
      <w:pPr>
        <w:pStyle w:val="10"/>
        <w:rPr>
          <w:rFonts w:hint="eastAsia"/>
        </w:rPr>
      </w:pPr>
      <w:r>
        <w:rPr>
          <w:rFonts w:hint="eastAsia"/>
        </w:rPr>
        <w:t>招标方保留技术规范书修改的权利，可以提出变更的意见和建议，最终签订的技术协议与合同具有同等效力。</w:t>
      </w:r>
    </w:p>
    <w:p>
      <w:pPr>
        <w:pStyle w:val="10"/>
        <w:rPr>
          <w:rFonts w:hint="eastAsia"/>
        </w:rPr>
      </w:pPr>
      <w:r>
        <w:rPr>
          <w:rFonts w:hint="eastAsia"/>
        </w:rPr>
        <w:t>在不超出本技术规范书要求的情况下，投标方应对招标方提出的所有细化要求予以满足。</w:t>
      </w:r>
    </w:p>
    <w:p>
      <w:pPr>
        <w:pStyle w:val="10"/>
        <w:rPr>
          <w:rFonts w:hint="eastAsia"/>
        </w:rPr>
      </w:pPr>
      <w:r>
        <w:rPr>
          <w:rFonts w:hint="eastAsia"/>
        </w:rPr>
        <w:t>投标方建议书的详细要求见招标书的商务部分。投标方必须随投标文件提供具有全部建议书的优盘文件壹份。文件格式要求为：文字部分用Microsoft WORD 2003，表格部分用Microsoft EXCEL 2003，图纸部分用AUTOCAD R14/2000或 Microsoft Visio 2003。投标内容以印刷的投标文件正本为准。</w:t>
      </w:r>
    </w:p>
    <w:p>
      <w:pPr>
        <w:pStyle w:val="10"/>
        <w:rPr>
          <w:rFonts w:hint="eastAsia"/>
        </w:rPr>
      </w:pPr>
      <w:r>
        <w:rPr>
          <w:rFonts w:hint="eastAsia"/>
        </w:rPr>
        <w:t>有文件、图纸、通信的均使用中文。所有计算、说明、图纸文件、手册等使用国际单位制。</w:t>
      </w:r>
    </w:p>
    <w:p>
      <w:pPr>
        <w:pStyle w:val="3"/>
        <w:rPr>
          <w:rFonts w:hint="eastAsia"/>
        </w:rPr>
      </w:pPr>
      <w:r>
        <w:rPr>
          <w:rFonts w:hint="eastAsia"/>
        </w:rPr>
        <w:t>投标方职责</w:t>
      </w:r>
    </w:p>
    <w:p>
      <w:pPr>
        <w:pStyle w:val="10"/>
        <w:rPr>
          <w:rFonts w:hint="eastAsia"/>
        </w:rPr>
      </w:pPr>
      <w:r>
        <w:rPr>
          <w:rFonts w:hint="eastAsia"/>
        </w:rPr>
        <w:t>负责合同内所需服务、工作产品的方案设计，并根据招标方需求细化。</w:t>
      </w:r>
    </w:p>
    <w:p>
      <w:pPr>
        <w:pStyle w:val="10"/>
        <w:rPr>
          <w:rFonts w:hint="eastAsia"/>
        </w:rPr>
      </w:pPr>
      <w:r>
        <w:rPr>
          <w:rFonts w:hint="eastAsia"/>
        </w:rPr>
        <w:t>负责服务、工作产品现场验收。</w:t>
      </w:r>
    </w:p>
    <w:p>
      <w:pPr>
        <w:pStyle w:val="10"/>
        <w:rPr>
          <w:rFonts w:hint="eastAsia"/>
        </w:rPr>
      </w:pPr>
      <w:r>
        <w:rPr>
          <w:rFonts w:hint="eastAsia"/>
        </w:rPr>
        <w:t>合同期内为招标方提供项目管理服务。</w:t>
      </w:r>
    </w:p>
    <w:p>
      <w:pPr>
        <w:pStyle w:val="10"/>
        <w:rPr>
          <w:rFonts w:hint="eastAsia"/>
        </w:rPr>
      </w:pPr>
      <w:r>
        <w:rPr>
          <w:rFonts w:hint="eastAsia"/>
        </w:rPr>
        <w:t>负责对招标方运行人员的技术培训。</w:t>
      </w:r>
    </w:p>
    <w:p>
      <w:pPr>
        <w:pStyle w:val="10"/>
      </w:pPr>
      <w:r>
        <w:rPr>
          <w:rFonts w:hint="eastAsia"/>
        </w:rPr>
        <w:t>列出需招标方提供的数据、资料详细清单。</w:t>
      </w:r>
    </w:p>
    <w:p>
      <w:pPr>
        <w:pStyle w:val="10"/>
        <w:rPr>
          <w:rFonts w:hint="eastAsia"/>
        </w:rPr>
      </w:pPr>
      <w:r>
        <w:rPr>
          <w:rFonts w:hint="eastAsia"/>
        </w:rPr>
        <w:t>负责提供服务的所有文件资料和技术资料。</w:t>
      </w:r>
    </w:p>
    <w:p>
      <w:pPr>
        <w:pStyle w:val="10"/>
        <w:rPr>
          <w:rFonts w:hint="eastAsia"/>
        </w:rPr>
      </w:pPr>
      <w:r>
        <w:rPr>
          <w:rFonts w:hint="eastAsia"/>
        </w:rPr>
        <w:t>负责最终提供的全部技术资料的准确性。</w:t>
      </w:r>
    </w:p>
    <w:p>
      <w:pPr>
        <w:pStyle w:val="10"/>
        <w:rPr>
          <w:rFonts w:hint="eastAsia"/>
        </w:rPr>
      </w:pPr>
      <w:r>
        <w:rPr>
          <w:rFonts w:hint="eastAsia"/>
        </w:rPr>
        <w:t>保证提供的所有服务、工作产品的质量及技术指标完全满足合同要求。</w:t>
      </w:r>
    </w:p>
    <w:p>
      <w:pPr>
        <w:pStyle w:val="3"/>
        <w:rPr>
          <w:rFonts w:hint="eastAsia"/>
        </w:rPr>
      </w:pPr>
      <w:r>
        <w:rPr>
          <w:rFonts w:hint="eastAsia"/>
        </w:rPr>
        <w:t>招标方职责</w:t>
      </w:r>
    </w:p>
    <w:p>
      <w:pPr>
        <w:pStyle w:val="10"/>
      </w:pPr>
      <w:r>
        <w:rPr>
          <w:rFonts w:hint="eastAsia"/>
        </w:rPr>
        <w:t>负责提供与本项目有关的技术资料、参数及图纸。</w:t>
      </w:r>
    </w:p>
    <w:p>
      <w:pPr>
        <w:pStyle w:val="10"/>
        <w:rPr>
          <w:rFonts w:hint="eastAsia"/>
        </w:rPr>
      </w:pPr>
      <w:r>
        <w:rPr>
          <w:rFonts w:hint="eastAsia"/>
        </w:rPr>
        <w:t>确认投标方提供的服务、工作产品的文件资料和技术。</w:t>
      </w:r>
    </w:p>
    <w:p>
      <w:pPr>
        <w:pStyle w:val="10"/>
        <w:rPr>
          <w:rFonts w:hint="eastAsia"/>
        </w:rPr>
      </w:pPr>
      <w:r>
        <w:rPr>
          <w:rFonts w:hint="eastAsia"/>
        </w:rPr>
        <w:t>提供满足招标方开展工作的环境条件。</w:t>
      </w:r>
    </w:p>
    <w:p>
      <w:pPr>
        <w:pStyle w:val="10"/>
      </w:pPr>
      <w:r>
        <w:rPr>
          <w:rFonts w:hint="eastAsia"/>
        </w:rPr>
        <w:t>负责向投标方解释技术规范书中的要求。</w:t>
      </w:r>
    </w:p>
    <w:p>
      <w:pPr>
        <w:pStyle w:val="10"/>
      </w:pPr>
      <w:r>
        <w:rPr>
          <w:rFonts w:hint="eastAsia"/>
        </w:rPr>
        <w:t>配合投标方完成项目工作，并组织验收。</w:t>
      </w:r>
    </w:p>
    <w:p>
      <w:pPr>
        <w:pStyle w:val="10"/>
        <w:rPr>
          <w:rFonts w:hint="eastAsia"/>
        </w:rPr>
      </w:pPr>
      <w:r>
        <w:rPr>
          <w:rFonts w:hint="eastAsia"/>
        </w:rPr>
        <w:t>负责提供招标方办公区域的活动场地。</w:t>
      </w:r>
    </w:p>
    <w:p>
      <w:pPr>
        <w:pStyle w:val="2"/>
        <w:rPr>
          <w:rFonts w:hint="eastAsia"/>
        </w:rPr>
      </w:pPr>
      <w:bookmarkStart w:id="1" w:name="_Toc435093732"/>
      <w:bookmarkStart w:id="2" w:name="_Toc351129172"/>
      <w:r>
        <w:rPr>
          <w:rFonts w:hint="eastAsia"/>
        </w:rPr>
        <w:t>应遵循的主要标准</w:t>
      </w:r>
      <w:bookmarkEnd w:id="1"/>
      <w:bookmarkEnd w:id="2"/>
    </w:p>
    <w:p>
      <w:pPr>
        <w:ind w:firstLine="480" w:firstLineChars="200"/>
        <w:rPr>
          <w:rFonts w:hint="eastAsia"/>
        </w:rPr>
      </w:pPr>
      <w:r>
        <w:rPr>
          <w:rFonts w:hint="eastAsia"/>
        </w:rPr>
        <w:t>投标方提供的所有工作产品，除本规范书中规定的技术参数和要求外，其余均应遵照最新版本的国际电信联盟(ITU)、国际电工委员会标准(IEC)、国际公制(SI)、国际标准化组织（ISO）及国家标准，这是对设备的最低要求。如果报价人有自己的标准或规范经采购人同意方可采用，但原则上均不能低于上述标准的有关规定，特别是这些规定或规程中互相矛盾的地方，应先征得采购人同意后，才能制造。</w:t>
      </w:r>
    </w:p>
    <w:p>
      <w:pPr>
        <w:pStyle w:val="2"/>
        <w:rPr>
          <w:rFonts w:hint="eastAsia"/>
        </w:rPr>
      </w:pPr>
      <w:bookmarkStart w:id="3" w:name="_Toc435093733"/>
      <w:r>
        <w:rPr>
          <w:rFonts w:hint="eastAsia"/>
        </w:rPr>
        <w:t>项目概述</w:t>
      </w:r>
      <w:bookmarkEnd w:id="3"/>
      <w:r>
        <w:rPr>
          <w:rFonts w:hint="eastAsia"/>
          <w:lang w:eastAsia="zh-CN"/>
        </w:rPr>
        <w:t>租赁</w:t>
      </w:r>
    </w:p>
    <w:p>
      <w:pPr>
        <w:ind w:firstLine="420"/>
        <w:rPr>
          <w:rFonts w:hint="eastAsia"/>
          <w:lang w:val="en-US" w:eastAsia="zh-CN"/>
        </w:rPr>
      </w:pPr>
      <w:r>
        <w:rPr>
          <w:rFonts w:hint="eastAsia"/>
          <w:lang w:eastAsia="zh-CN"/>
        </w:rPr>
        <w:t>招标人向投标人租</w:t>
      </w:r>
      <w:r>
        <w:rPr>
          <w:rFonts w:hint="eastAsia"/>
          <w:color w:val="000000"/>
          <w:lang w:eastAsia="zh-CN"/>
        </w:rPr>
        <w:t>赁提供移动电话接入服务。</w:t>
      </w:r>
      <w:r>
        <w:rPr>
          <w:rFonts w:hint="eastAsia"/>
          <w:lang w:eastAsia="zh-CN"/>
        </w:rPr>
        <w:t>投标人</w:t>
      </w:r>
      <w:r>
        <w:rPr>
          <w:rFonts w:hint="eastAsia"/>
        </w:rPr>
        <w:t>收取数据专线</w:t>
      </w:r>
      <w:r>
        <w:rPr>
          <w:rFonts w:hint="eastAsia"/>
          <w:lang w:eastAsia="zh-CN"/>
        </w:rPr>
        <w:t>租赁</w:t>
      </w:r>
      <w:r>
        <w:rPr>
          <w:rFonts w:hint="eastAsia"/>
        </w:rPr>
        <w:t>费用，并根据</w:t>
      </w:r>
      <w:r>
        <w:rPr>
          <w:rFonts w:hint="eastAsia"/>
          <w:lang w:eastAsia="zh-CN"/>
        </w:rPr>
        <w:t>合同</w:t>
      </w:r>
      <w:r>
        <w:rPr>
          <w:rFonts w:hint="eastAsia"/>
        </w:rPr>
        <w:t>约定内容维护相关线路并提供客户服务工作。</w:t>
      </w:r>
      <w:r>
        <w:rPr>
          <w:rFonts w:hint="eastAsia"/>
          <w:lang w:val="en-US" w:eastAsia="zh-CN"/>
        </w:rPr>
        <w:t xml:space="preserve"> </w:t>
      </w:r>
    </w:p>
    <w:p>
      <w:pPr>
        <w:ind w:firstLine="420"/>
        <w:rPr>
          <w:rFonts w:hint="eastAsia"/>
          <w:lang w:val="en-US" w:eastAsia="zh-CN"/>
        </w:rPr>
      </w:pPr>
      <w:r>
        <w:rPr>
          <w:rFonts w:hint="eastAsia"/>
          <w:lang w:val="en-US" w:eastAsia="zh-CN"/>
        </w:rPr>
        <w:t>本项目预估金额不作为最终结算金额的承诺，最终结算金额根据合同约定的每个结算期内实际开通使用的套餐单价及数量据实结算</w:t>
      </w:r>
    </w:p>
    <w:p>
      <w:pPr>
        <w:pStyle w:val="2"/>
        <w:rPr>
          <w:rFonts w:hint="eastAsia"/>
          <w:color w:val="000000"/>
        </w:rPr>
      </w:pPr>
      <w:bookmarkStart w:id="4" w:name="_Toc435093734"/>
      <w:r>
        <w:rPr>
          <w:rFonts w:hint="eastAsia"/>
          <w:color w:val="000000"/>
        </w:rPr>
        <w:t>范围和内容</w:t>
      </w:r>
      <w:bookmarkEnd w:id="4"/>
    </w:p>
    <w:p>
      <w:pPr>
        <w:ind w:firstLine="480" w:firstLineChars="200"/>
        <w:outlineLvl w:val="1"/>
        <w:rPr>
          <w:rFonts w:hint="eastAsia"/>
          <w:color w:val="000000"/>
          <w:lang w:eastAsia="zh-CN"/>
        </w:rPr>
      </w:pPr>
      <w:r>
        <w:rPr>
          <w:rFonts w:hint="eastAsia"/>
          <w:color w:val="000000"/>
          <w:lang w:eastAsia="zh-CN"/>
        </w:rPr>
        <w:t>招标人向投标人租赁办公移动通信号码资源，移动通信号码数量为</w:t>
      </w:r>
      <w:r>
        <w:rPr>
          <w:rFonts w:hint="eastAsia"/>
          <w:color w:val="000000"/>
          <w:lang w:val="en-US" w:eastAsia="zh-CN"/>
        </w:rPr>
        <w:t>20个，</w:t>
      </w:r>
      <w:r>
        <w:rPr>
          <w:rFonts w:hint="eastAsia"/>
          <w:color w:val="000000"/>
          <w:lang w:eastAsia="zh-CN"/>
        </w:rPr>
        <w:t>应用于玉林供电局新增办公类移动通信号码业务，以上号码资源由投标人负责，投标人收取相应租赁费用，并根据合同约定内容维护相关号码并提供客户服务工作。</w:t>
      </w:r>
    </w:p>
    <w:tbl>
      <w:tblPr>
        <w:tblStyle w:val="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2"/>
        <w:gridCol w:w="5100"/>
        <w:gridCol w:w="1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2" w:type="dxa"/>
            <w:noWrap w:val="0"/>
            <w:vAlign w:val="top"/>
          </w:tcPr>
          <w:p>
            <w:pPr>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单</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lang w:eastAsia="zh-CN"/>
              </w:rPr>
              <w:t>位</w:t>
            </w:r>
          </w:p>
        </w:tc>
        <w:tc>
          <w:tcPr>
            <w:tcW w:w="5100" w:type="dxa"/>
            <w:noWrap w:val="0"/>
            <w:vAlign w:val="top"/>
          </w:tcPr>
          <w:p>
            <w:pPr>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内</w:t>
            </w:r>
            <w:r>
              <w:rPr>
                <w:rFonts w:hint="eastAsia" w:ascii="宋体" w:hAnsi="宋体" w:eastAsia="宋体" w:cs="宋体"/>
                <w:sz w:val="24"/>
                <w:szCs w:val="24"/>
                <w:vertAlign w:val="baseline"/>
                <w:lang w:val="en-US" w:eastAsia="zh-CN"/>
              </w:rPr>
              <w:t xml:space="preserve"> </w:t>
            </w:r>
            <w:r>
              <w:rPr>
                <w:rFonts w:hint="eastAsia" w:ascii="宋体" w:hAnsi="宋体" w:eastAsia="宋体" w:cs="宋体"/>
                <w:sz w:val="24"/>
                <w:szCs w:val="24"/>
                <w:vertAlign w:val="baseline"/>
                <w:lang w:eastAsia="zh-CN"/>
              </w:rPr>
              <w:t>容</w:t>
            </w:r>
          </w:p>
        </w:tc>
        <w:tc>
          <w:tcPr>
            <w:tcW w:w="1080" w:type="dxa"/>
            <w:noWrap w:val="0"/>
            <w:vAlign w:val="top"/>
          </w:tcPr>
          <w:p>
            <w:pPr>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6" w:hRule="atLeast"/>
          <w:jc w:val="center"/>
        </w:trPr>
        <w:tc>
          <w:tcPr>
            <w:tcW w:w="2292" w:type="dxa"/>
            <w:noWrap w:val="0"/>
            <w:vAlign w:val="center"/>
          </w:tcPr>
          <w:p>
            <w:pPr>
              <w:jc w:val="center"/>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eastAsia="zh-CN"/>
              </w:rPr>
              <w:t>广西电网有限责任公司玉林供电局</w:t>
            </w:r>
          </w:p>
        </w:tc>
        <w:tc>
          <w:tcPr>
            <w:tcW w:w="5100" w:type="dxa"/>
            <w:noWrap w:val="0"/>
            <w:vAlign w:val="center"/>
          </w:tcPr>
          <w:p>
            <w:pPr>
              <w:rPr>
                <w:rFonts w:hint="default" w:ascii="宋体" w:hAnsi="宋体" w:eastAsia="宋体" w:cs="宋体"/>
                <w:sz w:val="24"/>
                <w:szCs w:val="24"/>
                <w:vertAlign w:val="baseline"/>
                <w:lang w:val="en-US" w:eastAsia="zh-CN"/>
              </w:rPr>
            </w:pPr>
            <w:r>
              <w:rPr>
                <w:rFonts w:hint="eastAsia" w:hAnsi="宋体" w:cs="宋体"/>
                <w:sz w:val="24"/>
                <w:szCs w:val="24"/>
                <w:vertAlign w:val="baseline"/>
                <w:lang w:eastAsia="zh-CN"/>
              </w:rPr>
              <w:t>局本部部分部门、单位</w:t>
            </w:r>
            <w:r>
              <w:rPr>
                <w:rFonts w:hint="eastAsia" w:ascii="宋体" w:hAnsi="宋体" w:eastAsia="宋体" w:cs="宋体"/>
                <w:sz w:val="24"/>
                <w:szCs w:val="24"/>
                <w:vertAlign w:val="baseline"/>
                <w:lang w:eastAsia="zh-CN"/>
              </w:rPr>
              <w:t>值班</w:t>
            </w:r>
            <w:r>
              <w:rPr>
                <w:rFonts w:hint="eastAsia" w:hAnsi="宋体" w:cs="宋体"/>
                <w:sz w:val="24"/>
                <w:szCs w:val="24"/>
                <w:vertAlign w:val="baseline"/>
                <w:lang w:eastAsia="zh-CN"/>
              </w:rPr>
              <w:t>移动通信号码</w:t>
            </w:r>
            <w:r>
              <w:rPr>
                <w:rFonts w:hint="eastAsia" w:hAnsi="宋体" w:cs="宋体"/>
                <w:sz w:val="24"/>
                <w:szCs w:val="24"/>
                <w:vertAlign w:val="baseline"/>
                <w:lang w:val="en-US" w:eastAsia="zh-CN"/>
              </w:rPr>
              <w:t>20</w:t>
            </w:r>
            <w:r>
              <w:rPr>
                <w:rFonts w:hint="eastAsia" w:ascii="宋体" w:hAnsi="宋体" w:eastAsia="宋体" w:cs="宋体"/>
                <w:sz w:val="24"/>
                <w:szCs w:val="24"/>
                <w:vertAlign w:val="baseline"/>
                <w:lang w:val="en-US" w:eastAsia="zh-CN"/>
              </w:rPr>
              <w:t>个</w:t>
            </w:r>
          </w:p>
        </w:tc>
        <w:tc>
          <w:tcPr>
            <w:tcW w:w="1080" w:type="dxa"/>
            <w:noWrap w:val="0"/>
            <w:vAlign w:val="center"/>
          </w:tcPr>
          <w:p>
            <w:pPr>
              <w:jc w:val="center"/>
              <w:rPr>
                <w:rFonts w:hint="eastAsia" w:ascii="宋体" w:hAnsi="宋体" w:eastAsia="宋体" w:cs="宋体"/>
                <w:sz w:val="24"/>
                <w:szCs w:val="24"/>
                <w:vertAlign w:val="baseline"/>
                <w:lang w:val="en-US" w:eastAsia="zh-CN"/>
              </w:rPr>
            </w:pPr>
            <w:r>
              <w:rPr>
                <w:rFonts w:hint="eastAsia"/>
                <w:lang w:val="en-US" w:eastAsia="zh-CN"/>
              </w:rPr>
              <w:t>项目预估金额为49968元</w:t>
            </w:r>
          </w:p>
        </w:tc>
      </w:tr>
    </w:tbl>
    <w:p>
      <w:pPr>
        <w:ind w:firstLine="480" w:firstLineChars="200"/>
        <w:outlineLvl w:val="1"/>
        <w:rPr>
          <w:rFonts w:hint="eastAsia"/>
          <w:color w:val="FF0000"/>
          <w:lang w:eastAsia="zh-CN"/>
        </w:rPr>
      </w:pPr>
    </w:p>
    <w:p>
      <w:pPr>
        <w:pStyle w:val="2"/>
        <w:rPr>
          <w:rFonts w:hint="eastAsia"/>
        </w:rPr>
      </w:pPr>
      <w:bookmarkStart w:id="5" w:name="_Toc435093735"/>
      <w:r>
        <w:rPr>
          <w:rFonts w:hint="eastAsia"/>
        </w:rPr>
        <w:t>总体要求</w:t>
      </w:r>
      <w:bookmarkEnd w:id="5"/>
    </w:p>
    <w:p>
      <w:pPr>
        <w:pStyle w:val="10"/>
        <w:numPr>
          <w:ilvl w:val="2"/>
          <w:numId w:val="0"/>
        </w:numPr>
        <w:rPr>
          <w:rFonts w:hint="eastAsia"/>
        </w:rPr>
      </w:pPr>
      <w:r>
        <w:rPr>
          <w:rFonts w:hint="eastAsia"/>
        </w:rPr>
        <w:t>投标方必须响应并承诺下列要求。</w:t>
      </w:r>
      <w:bookmarkStart w:id="19" w:name="_GoBack"/>
      <w:bookmarkEnd w:id="19"/>
    </w:p>
    <w:p>
      <w:pPr>
        <w:pStyle w:val="10"/>
        <w:rPr>
          <w:rFonts w:hint="eastAsia"/>
        </w:rPr>
      </w:pPr>
      <w:r>
        <w:rPr>
          <w:rFonts w:hint="eastAsia"/>
        </w:rPr>
        <w:t>本规范书指标要求中，凡标有下划线或加“★”的地方均被视为重要的技术指标要求或性能要求。投标方要特别加以注意，必须完全满足这些要求。</w:t>
      </w:r>
    </w:p>
    <w:p>
      <w:pPr>
        <w:pStyle w:val="10"/>
        <w:rPr>
          <w:rFonts w:hint="eastAsia"/>
        </w:rPr>
      </w:pPr>
      <w:r>
        <w:rPr>
          <w:rFonts w:hint="eastAsia"/>
        </w:rPr>
        <w:t>投标方应列出各个单项工作的报价，还应对各个单项工作的不同阶段工作进行划分，并在列出各阶段工作的详细报价。</w:t>
      </w:r>
    </w:p>
    <w:p>
      <w:pPr>
        <w:pStyle w:val="2"/>
        <w:rPr>
          <w:rFonts w:hint="eastAsia"/>
        </w:rPr>
      </w:pPr>
      <w:bookmarkStart w:id="6" w:name="_Toc435093736"/>
      <w:r>
        <w:rPr>
          <w:rFonts w:hint="eastAsia"/>
        </w:rPr>
        <w:t>主要技术要求</w:t>
      </w:r>
      <w:bookmarkEnd w:id="6"/>
    </w:p>
    <w:p>
      <w:pPr>
        <w:rPr>
          <w:rFonts w:hint="eastAsia"/>
        </w:rPr>
      </w:pPr>
      <w:r>
        <w:rPr>
          <w:rFonts w:hint="eastAsia"/>
        </w:rPr>
        <w:t>投标方提供本次维护服务主要包括但不限于以下内容：</w:t>
      </w:r>
    </w:p>
    <w:p>
      <w:pPr>
        <w:pStyle w:val="3"/>
        <w:rPr>
          <w:rFonts w:hint="eastAsia"/>
        </w:rPr>
      </w:pPr>
      <w:r>
        <w:rPr>
          <w:rFonts w:hint="eastAsia"/>
          <w:lang w:eastAsia="zh-CN"/>
        </w:rPr>
        <w:t>服务内容</w:t>
      </w:r>
      <w:r>
        <w:rPr>
          <w:rFonts w:hint="eastAsia"/>
        </w:rPr>
        <w:t>要求</w:t>
      </w:r>
    </w:p>
    <w:p>
      <w:pPr>
        <w:numPr>
          <w:ilvl w:val="0"/>
          <w:numId w:val="3"/>
        </w:numPr>
        <w:rPr>
          <w:rFonts w:hint="eastAsia" w:ascii="宋体" w:hAnsi="宋体"/>
          <w:bCs/>
          <w:sz w:val="24"/>
        </w:rPr>
      </w:pPr>
      <w:bookmarkStart w:id="7" w:name="_Toc300816580"/>
      <w:bookmarkStart w:id="8" w:name="_Toc299720409"/>
      <w:r>
        <w:rPr>
          <w:rFonts w:hint="eastAsia" w:ascii="宋体" w:hAnsi="宋体"/>
          <w:bCs/>
          <w:sz w:val="24"/>
        </w:rPr>
        <w:t>甲方使用乙方的</w:t>
      </w:r>
      <w:r>
        <w:rPr>
          <w:rFonts w:hint="eastAsia" w:hAnsi="宋体"/>
          <w:bCs/>
          <w:color w:val="000000"/>
          <w:sz w:val="24"/>
          <w:lang w:val="en-US" w:eastAsia="zh-CN"/>
        </w:rPr>
        <w:t>移动号码业务</w:t>
      </w:r>
      <w:r>
        <w:rPr>
          <w:rFonts w:hint="eastAsia" w:ascii="宋体" w:hAnsi="宋体"/>
          <w:bCs/>
          <w:color w:val="000000"/>
          <w:sz w:val="24"/>
        </w:rPr>
        <w:t>，实现甲方内部IMS固话用户和</w:t>
      </w:r>
      <w:r>
        <w:rPr>
          <w:rFonts w:hint="eastAsia" w:ascii="宋体" w:hAnsi="宋体"/>
          <w:bCs/>
          <w:sz w:val="24"/>
        </w:rPr>
        <w:t>甲方移动用户之间呼叫。业务使用地点为：</w:t>
      </w:r>
      <w:r>
        <w:rPr>
          <w:rFonts w:hint="eastAsia" w:hAnsi="宋体"/>
          <w:bCs/>
          <w:color w:val="auto"/>
          <w:sz w:val="24"/>
          <w:lang w:val="en-US" w:eastAsia="zh-CN"/>
        </w:rPr>
        <w:t>玉林地区</w:t>
      </w:r>
      <w:r>
        <w:rPr>
          <w:rFonts w:hint="eastAsia" w:ascii="宋体" w:hAnsi="宋体"/>
          <w:bCs/>
          <w:color w:val="auto"/>
          <w:sz w:val="24"/>
          <w:lang w:eastAsia="zh-CN"/>
        </w:rPr>
        <w:t>。</w:t>
      </w:r>
    </w:p>
    <w:p>
      <w:pPr>
        <w:numPr>
          <w:ilvl w:val="0"/>
          <w:numId w:val="3"/>
        </w:numPr>
        <w:rPr>
          <w:rFonts w:hint="eastAsia" w:ascii="宋体" w:hAnsi="宋体"/>
          <w:bCs/>
          <w:sz w:val="24"/>
        </w:rPr>
      </w:pPr>
      <w:r>
        <w:rPr>
          <w:rFonts w:hint="eastAsia" w:ascii="宋体" w:hAnsi="宋体"/>
          <w:bCs/>
          <w:sz w:val="24"/>
        </w:rPr>
        <w:t>乙方为甲方提供良好的通信传输服务和故障维护服务，同时负责配合甲方进行接入设备的维护和调试</w:t>
      </w:r>
      <w:r>
        <w:rPr>
          <w:rFonts w:hint="eastAsia" w:hAnsi="宋体"/>
          <w:bCs/>
          <w:sz w:val="24"/>
          <w:lang w:val="en-US" w:eastAsia="zh-CN"/>
        </w:rPr>
        <w:t>。</w:t>
      </w:r>
    </w:p>
    <w:p>
      <w:pPr>
        <w:numPr>
          <w:ilvl w:val="0"/>
          <w:numId w:val="3"/>
        </w:numPr>
        <w:rPr>
          <w:rFonts w:hint="eastAsia" w:hAnsi="宋体"/>
          <w:bCs/>
          <w:color w:val="000000"/>
          <w:sz w:val="24"/>
          <w:lang w:eastAsia="zh-CN"/>
        </w:rPr>
      </w:pPr>
      <w:r>
        <w:rPr>
          <w:rFonts w:hint="eastAsia" w:ascii="宋体" w:hAnsi="宋体"/>
          <w:bCs/>
          <w:sz w:val="24"/>
        </w:rPr>
        <w:t>每月</w:t>
      </w:r>
      <w:r>
        <w:rPr>
          <w:rFonts w:hint="eastAsia" w:ascii="宋体" w:hAnsi="宋体"/>
          <w:bCs/>
          <w:color w:val="000000"/>
          <w:sz w:val="24"/>
        </w:rPr>
        <w:t>按</w:t>
      </w:r>
      <w:r>
        <w:rPr>
          <w:rFonts w:hint="eastAsia" w:hAnsi="宋体"/>
          <w:bCs/>
          <w:color w:val="000000"/>
          <w:sz w:val="24"/>
          <w:lang w:eastAsia="zh-CN"/>
        </w:rPr>
        <w:t>合同规定</w:t>
      </w:r>
      <w:r>
        <w:rPr>
          <w:rFonts w:hint="eastAsia" w:ascii="宋体" w:hAnsi="宋体"/>
          <w:bCs/>
          <w:color w:val="000000"/>
          <w:sz w:val="24"/>
        </w:rPr>
        <w:t>收费</w:t>
      </w:r>
    </w:p>
    <w:p>
      <w:pPr>
        <w:numPr>
          <w:ilvl w:val="0"/>
          <w:numId w:val="3"/>
        </w:numPr>
        <w:rPr>
          <w:rFonts w:hint="eastAsia" w:hAnsi="宋体"/>
          <w:bCs/>
          <w:sz w:val="24"/>
          <w:lang w:eastAsia="zh-CN"/>
        </w:rPr>
      </w:pPr>
      <w:r>
        <w:rPr>
          <w:rFonts w:hint="eastAsia"/>
        </w:rPr>
        <w:t>★</w:t>
      </w:r>
      <w:r>
        <w:rPr>
          <w:rFonts w:hint="eastAsia" w:hAnsi="宋体"/>
          <w:bCs/>
          <w:sz w:val="24"/>
          <w:lang w:eastAsia="zh-CN"/>
        </w:rPr>
        <w:t>故障恢复时限要求</w:t>
      </w:r>
    </w:p>
    <w:tbl>
      <w:tblPr>
        <w:tblStyle w:val="6"/>
        <w:tblW w:w="0" w:type="auto"/>
        <w:jc w:val="center"/>
        <w:tblLayout w:type="fixed"/>
        <w:tblCellMar>
          <w:top w:w="0" w:type="dxa"/>
          <w:left w:w="108" w:type="dxa"/>
          <w:bottom w:w="0" w:type="dxa"/>
          <w:right w:w="108" w:type="dxa"/>
        </w:tblCellMar>
      </w:tblPr>
      <w:tblGrid>
        <w:gridCol w:w="1410"/>
        <w:gridCol w:w="2040"/>
        <w:gridCol w:w="2006"/>
      </w:tblGrid>
      <w:tr>
        <w:tblPrEx>
          <w:tblCellMar>
            <w:top w:w="0" w:type="dxa"/>
            <w:left w:w="108" w:type="dxa"/>
            <w:bottom w:w="0" w:type="dxa"/>
            <w:right w:w="108" w:type="dxa"/>
          </w:tblCellMar>
        </w:tblPrEx>
        <w:trPr>
          <w:trHeight w:val="285" w:hRule="atLeast"/>
          <w:jc w:val="center"/>
        </w:trPr>
        <w:tc>
          <w:tcPr>
            <w:tcW w:w="1410" w:type="dxa"/>
            <w:tcBorders>
              <w:top w:val="single" w:color="000000" w:sz="12" w:space="0"/>
              <w:left w:val="single" w:color="000000" w:sz="12" w:space="0"/>
              <w:bottom w:val="single" w:color="000000" w:sz="4" w:space="0"/>
              <w:right w:val="single" w:color="000000" w:sz="4" w:space="0"/>
            </w:tcBorders>
            <w:shd w:val="clear" w:color="auto" w:fill="FFFFFF"/>
            <w:noWrap w:val="0"/>
            <w:tcMar>
              <w:top w:w="15" w:type="dxa"/>
              <w:left w:w="15" w:type="dxa"/>
              <w:bottom w:w="15" w:type="dxa"/>
              <w:right w:w="15" w:type="dxa"/>
            </w:tcMar>
            <w:vAlign w:val="center"/>
          </w:tcPr>
          <w:p>
            <w:pPr>
              <w:widowControl/>
              <w:jc w:val="center"/>
              <w:textAlignment w:val="center"/>
              <w:rPr>
                <w:rFonts w:ascii="宋体" w:hAnsi="宋体" w:cs="宋体"/>
                <w:b/>
                <w:kern w:val="0"/>
                <w:szCs w:val="21"/>
              </w:rPr>
            </w:pPr>
            <w:r>
              <w:rPr>
                <w:rFonts w:hint="eastAsia" w:ascii="宋体" w:hAnsi="宋体" w:cs="宋体"/>
                <w:b/>
                <w:kern w:val="0"/>
                <w:szCs w:val="21"/>
              </w:rPr>
              <w:t>故障类别</w:t>
            </w:r>
          </w:p>
        </w:tc>
        <w:tc>
          <w:tcPr>
            <w:tcW w:w="2040" w:type="dxa"/>
            <w:tcBorders>
              <w:top w:val="single" w:color="000000" w:sz="12" w:space="0"/>
              <w:left w:val="single" w:color="000000" w:sz="4" w:space="0"/>
              <w:bottom w:val="single" w:color="000000" w:sz="4" w:space="0"/>
              <w:right w:val="single" w:color="000000" w:sz="4" w:space="0"/>
            </w:tcBorders>
            <w:shd w:val="clear" w:color="auto" w:fill="FFFFFF"/>
            <w:noWrap w:val="0"/>
            <w:tcMar>
              <w:top w:w="15" w:type="dxa"/>
              <w:left w:w="15" w:type="dxa"/>
              <w:bottom w:w="15" w:type="dxa"/>
              <w:right w:w="15" w:type="dxa"/>
            </w:tcMar>
            <w:vAlign w:val="center"/>
          </w:tcPr>
          <w:p>
            <w:pPr>
              <w:widowControl/>
              <w:jc w:val="center"/>
              <w:textAlignment w:val="center"/>
              <w:rPr>
                <w:rFonts w:ascii="宋体" w:hAnsi="宋体" w:cs="宋体"/>
                <w:b/>
                <w:kern w:val="0"/>
                <w:szCs w:val="21"/>
              </w:rPr>
            </w:pPr>
            <w:r>
              <w:rPr>
                <w:rFonts w:hint="eastAsia" w:ascii="宋体" w:hAnsi="宋体" w:cs="宋体"/>
                <w:b/>
                <w:kern w:val="0"/>
                <w:szCs w:val="21"/>
              </w:rPr>
              <w:t>专线类型</w:t>
            </w:r>
          </w:p>
        </w:tc>
        <w:tc>
          <w:tcPr>
            <w:tcW w:w="2006" w:type="dxa"/>
            <w:tcBorders>
              <w:top w:val="single" w:color="000000" w:sz="12" w:space="0"/>
              <w:left w:val="single" w:color="000000" w:sz="4" w:space="0"/>
              <w:bottom w:val="single" w:color="000000" w:sz="4" w:space="0"/>
              <w:right w:val="single" w:color="000000" w:sz="12" w:space="0"/>
            </w:tcBorders>
            <w:shd w:val="clear" w:color="auto" w:fill="FFFFFF"/>
            <w:noWrap w:val="0"/>
            <w:tcMar>
              <w:top w:w="15" w:type="dxa"/>
              <w:left w:w="15" w:type="dxa"/>
              <w:bottom w:w="15" w:type="dxa"/>
              <w:right w:w="15" w:type="dxa"/>
            </w:tcMar>
            <w:vAlign w:val="center"/>
          </w:tcPr>
          <w:p>
            <w:pPr>
              <w:widowControl/>
              <w:jc w:val="center"/>
              <w:textAlignment w:val="center"/>
              <w:rPr>
                <w:rFonts w:hint="eastAsia" w:ascii="宋体" w:hAnsi="宋体" w:eastAsia="宋体" w:cs="宋体"/>
                <w:b/>
                <w:kern w:val="0"/>
                <w:szCs w:val="21"/>
                <w:lang w:eastAsia="zh-CN"/>
              </w:rPr>
            </w:pPr>
            <w:r>
              <w:rPr>
                <w:rFonts w:hint="eastAsia" w:hAnsi="宋体" w:cs="宋体"/>
                <w:b/>
                <w:kern w:val="0"/>
                <w:szCs w:val="21"/>
                <w:lang w:eastAsia="zh-CN"/>
              </w:rPr>
              <w:t>时限</w:t>
            </w:r>
          </w:p>
        </w:tc>
      </w:tr>
      <w:tr>
        <w:tblPrEx>
          <w:tblCellMar>
            <w:top w:w="0" w:type="dxa"/>
            <w:left w:w="108" w:type="dxa"/>
            <w:bottom w:w="0" w:type="dxa"/>
            <w:right w:w="108" w:type="dxa"/>
          </w:tblCellMar>
        </w:tblPrEx>
        <w:trPr>
          <w:trHeight w:val="285" w:hRule="atLeast"/>
          <w:jc w:val="center"/>
        </w:trPr>
        <w:tc>
          <w:tcPr>
            <w:tcW w:w="1410" w:type="dxa"/>
            <w:tcBorders>
              <w:top w:val="single" w:color="000000" w:sz="4" w:space="0"/>
              <w:left w:val="single" w:color="000000" w:sz="12" w:space="0"/>
              <w:bottom w:val="single" w:color="000000" w:sz="4"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cs="宋体"/>
                <w:kern w:val="0"/>
                <w:szCs w:val="21"/>
              </w:rPr>
            </w:pPr>
            <w:r>
              <w:rPr>
                <w:rFonts w:hint="eastAsia" w:ascii="宋体" w:hAnsi="宋体" w:cs="宋体"/>
                <w:kern w:val="0"/>
                <w:szCs w:val="21"/>
              </w:rPr>
              <w:t>业务中断</w:t>
            </w:r>
          </w:p>
        </w:tc>
        <w:tc>
          <w:tcPr>
            <w:tcW w:w="2040" w:type="dxa"/>
            <w:tcBorders>
              <w:top w:val="single" w:color="000000" w:sz="4" w:space="0"/>
              <w:left w:val="single" w:color="000000" w:sz="4" w:space="0"/>
              <w:bottom w:val="single" w:color="000000" w:sz="4" w:space="0"/>
              <w:right w:val="single" w:color="000000" w:sz="4" w:space="0"/>
            </w:tcBorders>
            <w:noWrap w:val="0"/>
            <w:tcMar>
              <w:top w:w="15" w:type="dxa"/>
              <w:left w:w="15" w:type="dxa"/>
              <w:bottom w:w="15" w:type="dxa"/>
              <w:right w:w="15" w:type="dxa"/>
            </w:tcMar>
            <w:vAlign w:val="center"/>
          </w:tcPr>
          <w:p>
            <w:pPr>
              <w:widowControl/>
              <w:jc w:val="both"/>
              <w:textAlignment w:val="center"/>
              <w:rPr>
                <w:rFonts w:hint="eastAsia" w:ascii="宋体" w:hAnsi="宋体" w:eastAsia="宋体" w:cs="宋体"/>
                <w:kern w:val="0"/>
                <w:szCs w:val="21"/>
                <w:lang w:eastAsia="zh-CN"/>
              </w:rPr>
            </w:pPr>
            <w:r>
              <w:rPr>
                <w:rFonts w:hint="eastAsia" w:hAnsi="宋体" w:cs="宋体"/>
                <w:kern w:val="0"/>
                <w:szCs w:val="21"/>
                <w:lang w:eastAsia="zh-CN"/>
              </w:rPr>
              <w:t>影响电话呼叫</w:t>
            </w:r>
          </w:p>
        </w:tc>
        <w:tc>
          <w:tcPr>
            <w:tcW w:w="2006" w:type="dxa"/>
            <w:tcBorders>
              <w:top w:val="single" w:color="000000" w:sz="4" w:space="0"/>
              <w:left w:val="single" w:color="000000" w:sz="4" w:space="0"/>
              <w:bottom w:val="single" w:color="000000" w:sz="4" w:space="0"/>
              <w:right w:val="single" w:color="000000" w:sz="12" w:space="0"/>
            </w:tcBorders>
            <w:noWrap w:val="0"/>
            <w:tcMar>
              <w:top w:w="15" w:type="dxa"/>
              <w:left w:w="15" w:type="dxa"/>
              <w:bottom w:w="15" w:type="dxa"/>
              <w:right w:w="15" w:type="dxa"/>
            </w:tcMar>
            <w:vAlign w:val="center"/>
          </w:tcPr>
          <w:p>
            <w:pPr>
              <w:widowControl/>
              <w:jc w:val="center"/>
              <w:textAlignment w:val="center"/>
              <w:rPr>
                <w:rFonts w:hint="eastAsia" w:ascii="宋体" w:hAnsi="宋体" w:eastAsia="宋体" w:cs="宋体"/>
                <w:kern w:val="0"/>
                <w:szCs w:val="21"/>
                <w:lang w:eastAsia="zh-CN"/>
              </w:rPr>
            </w:pPr>
            <w:r>
              <w:rPr>
                <w:rFonts w:hint="eastAsia" w:hAnsi="宋体" w:cs="宋体"/>
                <w:kern w:val="0"/>
                <w:szCs w:val="21"/>
                <w:lang w:val="en-US" w:eastAsia="zh-CN"/>
              </w:rPr>
              <w:t>4</w:t>
            </w:r>
          </w:p>
        </w:tc>
      </w:tr>
      <w:tr>
        <w:tblPrEx>
          <w:tblCellMar>
            <w:top w:w="0" w:type="dxa"/>
            <w:left w:w="108" w:type="dxa"/>
            <w:bottom w:w="0" w:type="dxa"/>
            <w:right w:w="108" w:type="dxa"/>
          </w:tblCellMar>
        </w:tblPrEx>
        <w:trPr>
          <w:trHeight w:val="285" w:hRule="atLeast"/>
          <w:jc w:val="center"/>
        </w:trPr>
        <w:tc>
          <w:tcPr>
            <w:tcW w:w="1410" w:type="dxa"/>
            <w:tcBorders>
              <w:top w:val="single" w:color="000000" w:sz="4" w:space="0"/>
              <w:left w:val="single" w:color="000000" w:sz="12" w:space="0"/>
              <w:bottom w:val="single" w:color="000000" w:sz="12" w:space="0"/>
              <w:right w:val="single" w:color="000000" w:sz="4" w:space="0"/>
            </w:tcBorders>
            <w:noWrap w:val="0"/>
            <w:tcMar>
              <w:top w:w="15" w:type="dxa"/>
              <w:left w:w="15" w:type="dxa"/>
              <w:bottom w:w="15" w:type="dxa"/>
              <w:right w:w="15" w:type="dxa"/>
            </w:tcMar>
            <w:vAlign w:val="center"/>
          </w:tcPr>
          <w:p>
            <w:pPr>
              <w:widowControl/>
              <w:jc w:val="center"/>
              <w:textAlignment w:val="center"/>
              <w:rPr>
                <w:rFonts w:ascii="宋体" w:hAnsi="宋体" w:cs="宋体"/>
                <w:kern w:val="0"/>
                <w:szCs w:val="21"/>
              </w:rPr>
            </w:pPr>
            <w:r>
              <w:rPr>
                <w:rFonts w:hint="eastAsia" w:ascii="宋体" w:hAnsi="宋体" w:cs="宋体"/>
                <w:kern w:val="0"/>
                <w:szCs w:val="21"/>
              </w:rPr>
              <w:t>一般故障</w:t>
            </w:r>
          </w:p>
        </w:tc>
        <w:tc>
          <w:tcPr>
            <w:tcW w:w="2040" w:type="dxa"/>
            <w:tcBorders>
              <w:top w:val="single" w:color="000000" w:sz="4" w:space="0"/>
              <w:left w:val="single" w:color="000000" w:sz="4" w:space="0"/>
              <w:bottom w:val="single" w:color="000000" w:sz="12" w:space="0"/>
              <w:right w:val="single" w:color="000000" w:sz="4" w:space="0"/>
            </w:tcBorders>
            <w:noWrap w:val="0"/>
            <w:tcMar>
              <w:top w:w="15" w:type="dxa"/>
              <w:left w:w="15" w:type="dxa"/>
              <w:bottom w:w="15" w:type="dxa"/>
              <w:right w:w="15" w:type="dxa"/>
            </w:tcMar>
            <w:vAlign w:val="center"/>
          </w:tcPr>
          <w:p>
            <w:pPr>
              <w:widowControl/>
              <w:jc w:val="both"/>
              <w:textAlignment w:val="center"/>
              <w:rPr>
                <w:rFonts w:hint="eastAsia" w:ascii="宋体" w:hAnsi="宋体" w:eastAsia="宋体" w:cs="宋体"/>
                <w:kern w:val="0"/>
                <w:szCs w:val="21"/>
                <w:lang w:eastAsia="zh-CN"/>
              </w:rPr>
            </w:pPr>
            <w:r>
              <w:rPr>
                <w:rFonts w:hint="eastAsia" w:hAnsi="宋体" w:cs="宋体"/>
                <w:kern w:val="0"/>
                <w:szCs w:val="21"/>
                <w:lang w:eastAsia="zh-CN"/>
              </w:rPr>
              <w:t>不影响电话呼叫</w:t>
            </w:r>
          </w:p>
        </w:tc>
        <w:tc>
          <w:tcPr>
            <w:tcW w:w="2006" w:type="dxa"/>
            <w:tcBorders>
              <w:top w:val="single" w:color="000000" w:sz="4" w:space="0"/>
              <w:left w:val="single" w:color="000000" w:sz="4" w:space="0"/>
              <w:bottom w:val="single" w:color="000000" w:sz="12" w:space="0"/>
              <w:right w:val="single" w:color="000000" w:sz="12" w:space="0"/>
            </w:tcBorders>
            <w:noWrap w:val="0"/>
            <w:tcMar>
              <w:top w:w="15" w:type="dxa"/>
              <w:left w:w="15" w:type="dxa"/>
              <w:bottom w:w="15" w:type="dxa"/>
              <w:right w:w="15" w:type="dxa"/>
            </w:tcMar>
            <w:vAlign w:val="center"/>
          </w:tcPr>
          <w:p>
            <w:pPr>
              <w:widowControl/>
              <w:jc w:val="center"/>
              <w:textAlignment w:val="center"/>
              <w:rPr>
                <w:rFonts w:hint="eastAsia" w:ascii="宋体" w:hAnsi="宋体" w:eastAsia="宋体" w:cs="宋体"/>
                <w:kern w:val="0"/>
                <w:szCs w:val="21"/>
                <w:lang w:eastAsia="zh-CN"/>
              </w:rPr>
            </w:pPr>
            <w:r>
              <w:rPr>
                <w:rFonts w:hint="eastAsia" w:hAnsi="宋体" w:cs="宋体"/>
                <w:kern w:val="0"/>
                <w:szCs w:val="21"/>
                <w:lang w:val="en-US" w:eastAsia="zh-CN"/>
              </w:rPr>
              <w:t>48</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hAnsi="宋体"/>
          <w:bCs/>
          <w:sz w:val="24"/>
          <w:lang w:eastAsia="zh-CN"/>
        </w:rPr>
      </w:pPr>
      <w:r>
        <w:rPr>
          <w:rFonts w:hint="eastAsia" w:ascii="宋体" w:hAnsi="宋体"/>
          <w:bCs/>
          <w:sz w:val="24"/>
        </w:rPr>
        <w:t>注：故障恢复时限指自甲方提出故障投诉时或出现监控告警时起，至甲方线路恢复正常所需要的时间（单位:小时）。</w:t>
      </w:r>
    </w:p>
    <w:bookmarkEnd w:id="7"/>
    <w:bookmarkEnd w:id="8"/>
    <w:p>
      <w:pPr>
        <w:pStyle w:val="2"/>
        <w:rPr>
          <w:rFonts w:hint="eastAsia"/>
        </w:rPr>
      </w:pPr>
      <w:bookmarkStart w:id="9" w:name="_Toc435093737"/>
      <w:bookmarkStart w:id="10" w:name="_Toc351129175"/>
      <w:r>
        <w:rPr>
          <w:rFonts w:hint="eastAsia"/>
        </w:rPr>
        <w:t>其他要求</w:t>
      </w:r>
      <w:bookmarkEnd w:id="9"/>
      <w:bookmarkEnd w:id="10"/>
    </w:p>
    <w:p>
      <w:pPr>
        <w:pStyle w:val="3"/>
        <w:rPr>
          <w:rFonts w:hint="eastAsia"/>
        </w:rPr>
      </w:pPr>
      <w:r>
        <w:rPr>
          <w:rFonts w:hint="eastAsia"/>
        </w:rPr>
        <w:t>项目进度</w:t>
      </w:r>
    </w:p>
    <w:p>
      <w:pPr>
        <w:pStyle w:val="10"/>
        <w:rPr>
          <w:rFonts w:hint="eastAsia"/>
        </w:rPr>
      </w:pPr>
      <w:r>
        <w:rPr>
          <w:rFonts w:hint="eastAsia"/>
        </w:rPr>
        <w:t>投标方必须响应并承诺下列要求：投标方应在建议书中根据招标方要求的服务、工作产品交付日期，提出详细的项目进度表及工作组织安排，合同签订时将在此基础上确定最终进度。投标方应明确对最短可行项目进度的承诺。</w:t>
      </w:r>
    </w:p>
    <w:p>
      <w:pPr>
        <w:pStyle w:val="3"/>
        <w:rPr>
          <w:rFonts w:hint="eastAsia"/>
        </w:rPr>
      </w:pPr>
      <w:r>
        <w:rPr>
          <w:rFonts w:hint="eastAsia"/>
        </w:rPr>
        <w:t>项目联络</w:t>
      </w:r>
    </w:p>
    <w:p>
      <w:pPr>
        <w:pStyle w:val="10"/>
        <w:rPr>
          <w:rFonts w:hint="eastAsia"/>
        </w:rPr>
      </w:pPr>
      <w:r>
        <w:rPr>
          <w:rFonts w:hint="eastAsia"/>
        </w:rPr>
        <w:t>为</w:t>
      </w:r>
      <w:r>
        <w:rPr>
          <w:rFonts w:hint="eastAsia"/>
          <w:lang w:eastAsia="zh-CN"/>
        </w:rPr>
        <w:t>落实业务通道需求、提高服务质量、缩短故障处理时间</w:t>
      </w:r>
      <w:r>
        <w:rPr>
          <w:rFonts w:hint="eastAsia"/>
        </w:rPr>
        <w:t>，便于合同执行，在</w:t>
      </w:r>
      <w:r>
        <w:rPr>
          <w:rFonts w:hint="eastAsia"/>
          <w:lang w:eastAsia="zh-CN"/>
        </w:rPr>
        <w:t>通信租赁期内</w:t>
      </w:r>
      <w:r>
        <w:rPr>
          <w:rFonts w:hint="eastAsia"/>
        </w:rPr>
        <w:t>可根据需要召开联络会。</w:t>
      </w:r>
    </w:p>
    <w:p>
      <w:pPr>
        <w:pStyle w:val="10"/>
        <w:rPr>
          <w:rFonts w:hint="eastAsia"/>
        </w:rPr>
      </w:pPr>
      <w:r>
        <w:rPr>
          <w:rFonts w:hint="eastAsia"/>
        </w:rPr>
        <w:t>联络会的内容如下：</w:t>
      </w:r>
    </w:p>
    <w:p>
      <w:pPr>
        <w:numPr>
          <w:ilvl w:val="0"/>
          <w:numId w:val="4"/>
        </w:numPr>
        <w:tabs>
          <w:tab w:val="left" w:pos="900"/>
          <w:tab w:val="clear" w:pos="420"/>
        </w:tabs>
        <w:ind w:left="480" w:leftChars="200"/>
        <w:rPr>
          <w:rFonts w:hint="eastAsia"/>
        </w:rPr>
      </w:pPr>
      <w:r>
        <w:rPr>
          <w:rFonts w:hint="eastAsia"/>
        </w:rPr>
        <w:t>确认服务、工作产品的性能是否满足规范书要求。</w:t>
      </w:r>
    </w:p>
    <w:p>
      <w:pPr>
        <w:numPr>
          <w:ilvl w:val="0"/>
          <w:numId w:val="4"/>
        </w:numPr>
        <w:tabs>
          <w:tab w:val="left" w:pos="900"/>
          <w:tab w:val="clear" w:pos="420"/>
        </w:tabs>
        <w:ind w:left="480" w:leftChars="200"/>
        <w:rPr>
          <w:rFonts w:hint="eastAsia"/>
        </w:rPr>
      </w:pPr>
      <w:r>
        <w:rPr>
          <w:rFonts w:hint="eastAsia"/>
        </w:rPr>
        <w:t>确认服务、工作产品的实施方案。</w:t>
      </w:r>
    </w:p>
    <w:p>
      <w:pPr>
        <w:numPr>
          <w:ilvl w:val="0"/>
          <w:numId w:val="4"/>
        </w:numPr>
        <w:tabs>
          <w:tab w:val="left" w:pos="900"/>
          <w:tab w:val="clear" w:pos="420"/>
        </w:tabs>
        <w:ind w:left="480" w:leftChars="200"/>
        <w:rPr>
          <w:rFonts w:hint="eastAsia"/>
        </w:rPr>
      </w:pPr>
      <w:r>
        <w:rPr>
          <w:rFonts w:hint="eastAsia"/>
          <w:lang w:eastAsia="zh-CN"/>
        </w:rPr>
        <w:t>确认服务、工作产品双方响应流程</w:t>
      </w:r>
    </w:p>
    <w:p>
      <w:pPr>
        <w:numPr>
          <w:ilvl w:val="0"/>
          <w:numId w:val="4"/>
        </w:numPr>
        <w:tabs>
          <w:tab w:val="left" w:pos="900"/>
          <w:tab w:val="clear" w:pos="420"/>
        </w:tabs>
        <w:ind w:left="480" w:leftChars="200"/>
        <w:rPr>
          <w:rFonts w:hint="eastAsia"/>
        </w:rPr>
      </w:pPr>
      <w:r>
        <w:rPr>
          <w:rFonts w:hint="eastAsia"/>
        </w:rPr>
        <w:t>其他有关事项。</w:t>
      </w:r>
    </w:p>
    <w:p>
      <w:pPr>
        <w:pStyle w:val="3"/>
      </w:pPr>
      <w:r>
        <w:rPr>
          <w:rFonts w:hint="eastAsia"/>
        </w:rPr>
        <w:t>评审与验收</w:t>
      </w:r>
    </w:p>
    <w:p>
      <w:pPr>
        <w:pStyle w:val="10"/>
        <w:rPr>
          <w:rFonts w:hint="eastAsia"/>
        </w:rPr>
      </w:pPr>
      <w:r>
        <w:rPr>
          <w:rFonts w:hint="eastAsia"/>
        </w:rPr>
        <w:t>投标方应负责在项目验收时将项目的全部有关技术文件、资料、测试、验收报告等文档汇集成册交付给招标方。</w:t>
      </w:r>
    </w:p>
    <w:p>
      <w:pPr>
        <w:pStyle w:val="10"/>
        <w:rPr>
          <w:rFonts w:hint="eastAsia"/>
        </w:rPr>
      </w:pPr>
      <w:r>
        <w:t>招标方可根据合同及招标书和招标方的有关规定进行修改和补充, 经双方确认后形成验收文件作为验收依据。验收</w:t>
      </w:r>
      <w:r>
        <w:rPr>
          <w:rFonts w:hint="eastAsia"/>
        </w:rPr>
        <w:t>评审</w:t>
      </w:r>
      <w:r>
        <w:t>合格后</w:t>
      </w:r>
      <w:r>
        <w:rPr>
          <w:rFonts w:hint="eastAsia"/>
        </w:rPr>
        <w:t>30日内，若无问题，经</w:t>
      </w:r>
      <w:r>
        <w:t>双方</w:t>
      </w:r>
      <w:r>
        <w:rPr>
          <w:rFonts w:hint="eastAsia"/>
        </w:rPr>
        <w:t>确认后</w:t>
      </w:r>
      <w:r>
        <w:t>，签署最终验收文件。</w:t>
      </w:r>
    </w:p>
    <w:p>
      <w:pPr>
        <w:pStyle w:val="10"/>
        <w:rPr>
          <w:rFonts w:hint="eastAsia"/>
        </w:rPr>
      </w:pPr>
      <w:r>
        <w:rPr>
          <w:rFonts w:hint="eastAsia"/>
        </w:rPr>
        <w:t>如果在签</w:t>
      </w:r>
      <w:r>
        <w:t>署最终验收文件</w:t>
      </w:r>
      <w:r>
        <w:rPr>
          <w:rFonts w:hint="eastAsia"/>
        </w:rPr>
        <w:t>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3"/>
        <w:rPr>
          <w:rFonts w:hint="eastAsia"/>
        </w:rPr>
      </w:pPr>
      <w:r>
        <w:rPr>
          <w:rFonts w:hint="eastAsia"/>
        </w:rPr>
        <w:t>技术资料和文件</w:t>
      </w:r>
    </w:p>
    <w:p>
      <w:pPr>
        <w:pStyle w:val="10"/>
        <w:rPr>
          <w:rFonts w:hint="eastAsia"/>
        </w:rPr>
      </w:pPr>
      <w:r>
        <w:rPr>
          <w:rFonts w:hint="eastAsia"/>
        </w:rPr>
        <w:t>投标方提供的文件和资料应能满足招标方进行维护和进一步完善的需要。</w:t>
      </w:r>
    </w:p>
    <w:p>
      <w:pPr>
        <w:pStyle w:val="10"/>
        <w:rPr>
          <w:rFonts w:hint="eastAsia"/>
        </w:rPr>
      </w:pPr>
      <w:r>
        <w:rPr>
          <w:rFonts w:hint="eastAsia"/>
        </w:rPr>
        <w:t>提供的图纸应符合标准规格。</w:t>
      </w:r>
    </w:p>
    <w:p>
      <w:pPr>
        <w:pStyle w:val="10"/>
        <w:numPr>
          <w:ilvl w:val="0"/>
          <w:numId w:val="0"/>
        </w:numPr>
        <w:rPr>
          <w:rFonts w:hint="eastAsia"/>
        </w:rPr>
      </w:pPr>
      <w:r>
        <w:br w:type="page"/>
      </w:r>
    </w:p>
    <w:p>
      <w:pPr>
        <w:pStyle w:val="2"/>
        <w:rPr>
          <w:rFonts w:hint="eastAsia"/>
        </w:rPr>
      </w:pPr>
      <w:bookmarkStart w:id="11" w:name="_Toc398114162"/>
      <w:bookmarkStart w:id="12" w:name="_Toc435093738"/>
      <w:bookmarkStart w:id="13" w:name="_Toc137397828"/>
      <w:bookmarkStart w:id="14" w:name="_Toc351129176"/>
      <w:bookmarkStart w:id="15" w:name="_Toc93490580"/>
      <w:bookmarkStart w:id="16" w:name="_Toc93490801"/>
      <w:bookmarkStart w:id="17" w:name="_Toc93490630"/>
      <w:bookmarkStart w:id="18" w:name="_Toc167003829"/>
      <w:r>
        <w:rPr>
          <w:rFonts w:hint="eastAsia"/>
        </w:rPr>
        <w:t>附件</w:t>
      </w:r>
      <w:bookmarkEnd w:id="11"/>
      <w:bookmarkEnd w:id="12"/>
      <w:bookmarkEnd w:id="13"/>
      <w:bookmarkEnd w:id="14"/>
      <w:bookmarkEnd w:id="15"/>
      <w:bookmarkEnd w:id="16"/>
      <w:bookmarkEnd w:id="17"/>
      <w:bookmarkEnd w:id="18"/>
    </w:p>
    <w:p>
      <w:pPr>
        <w:pStyle w:val="3"/>
        <w:rPr>
          <w:rFonts w:hint="eastAsia"/>
        </w:rPr>
      </w:pPr>
      <w:r>
        <w:rPr>
          <w:rFonts w:hint="eastAsia"/>
        </w:rPr>
        <w:t>差异表</w:t>
      </w:r>
    </w:p>
    <w:tbl>
      <w:tblPr>
        <w:tblStyle w:val="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noWrap w:val="0"/>
            <w:vAlign w:val="center"/>
          </w:tcPr>
          <w:p>
            <w:r>
              <w:rPr>
                <w:rFonts w:hint="eastAsia"/>
              </w:rPr>
              <w:t>序号</w:t>
            </w:r>
          </w:p>
        </w:tc>
        <w:tc>
          <w:tcPr>
            <w:tcW w:w="3855" w:type="dxa"/>
            <w:gridSpan w:val="2"/>
            <w:tcBorders>
              <w:top w:val="single" w:color="auto" w:sz="4" w:space="0"/>
              <w:left w:val="single" w:color="auto" w:sz="4" w:space="0"/>
              <w:bottom w:val="single" w:color="auto" w:sz="4" w:space="0"/>
              <w:right w:val="single" w:color="auto" w:sz="4" w:space="0"/>
            </w:tcBorders>
            <w:noWrap w:val="0"/>
            <w:vAlign w:val="center"/>
          </w:tcPr>
          <w:p>
            <w:r>
              <w:rPr>
                <w:rFonts w:hint="eastAsia"/>
              </w:rPr>
              <w:t>招标文件</w:t>
            </w:r>
          </w:p>
        </w:tc>
        <w:tc>
          <w:tcPr>
            <w:tcW w:w="4299" w:type="dxa"/>
            <w:gridSpan w:val="2"/>
            <w:tcBorders>
              <w:top w:val="single" w:color="auto" w:sz="4" w:space="0"/>
              <w:left w:val="single" w:color="auto" w:sz="4" w:space="0"/>
              <w:bottom w:val="single" w:color="auto" w:sz="4" w:space="0"/>
              <w:right w:val="single" w:color="auto" w:sz="4" w:space="0"/>
            </w:tcBorders>
            <w:noWrap w:val="0"/>
            <w:vAlign w:val="center"/>
          </w:tcPr>
          <w:p>
            <w:r>
              <w:rPr>
                <w:rFonts w:hint="eastAsia"/>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noWrap w:val="0"/>
            <w:vAlign w:val="center"/>
          </w:tcPr>
          <w:p/>
        </w:tc>
        <w:tc>
          <w:tcPr>
            <w:tcW w:w="1020" w:type="dxa"/>
            <w:tcBorders>
              <w:top w:val="single" w:color="auto" w:sz="4" w:space="0"/>
              <w:left w:val="single" w:color="auto" w:sz="4" w:space="0"/>
              <w:bottom w:val="single" w:color="auto" w:sz="4" w:space="0"/>
              <w:right w:val="single" w:color="auto" w:sz="4" w:space="0"/>
            </w:tcBorders>
            <w:noWrap w:val="0"/>
            <w:vAlign w:val="center"/>
          </w:tcPr>
          <w:p>
            <w:r>
              <w:rPr>
                <w:rFonts w:hint="eastAsia"/>
              </w:rPr>
              <w:t>条目</w:t>
            </w:r>
          </w:p>
        </w:tc>
        <w:tc>
          <w:tcPr>
            <w:tcW w:w="2835" w:type="dxa"/>
            <w:tcBorders>
              <w:top w:val="single" w:color="auto" w:sz="4" w:space="0"/>
              <w:left w:val="single" w:color="auto" w:sz="4" w:space="0"/>
              <w:bottom w:val="single" w:color="auto" w:sz="4" w:space="0"/>
              <w:right w:val="single" w:color="auto" w:sz="4" w:space="0"/>
            </w:tcBorders>
            <w:noWrap w:val="0"/>
            <w:vAlign w:val="center"/>
          </w:tcPr>
          <w:p>
            <w:r>
              <w:rPr>
                <w:rFonts w:hint="eastAsia"/>
              </w:rPr>
              <w:t>简要内容</w:t>
            </w:r>
          </w:p>
        </w:tc>
        <w:tc>
          <w:tcPr>
            <w:tcW w:w="1605" w:type="dxa"/>
            <w:tcBorders>
              <w:top w:val="single" w:color="auto" w:sz="4" w:space="0"/>
              <w:left w:val="single" w:color="auto" w:sz="4" w:space="0"/>
              <w:bottom w:val="single" w:color="auto" w:sz="4" w:space="0"/>
              <w:right w:val="single" w:color="auto" w:sz="4" w:space="0"/>
            </w:tcBorders>
            <w:noWrap w:val="0"/>
            <w:vAlign w:val="center"/>
          </w:tcPr>
          <w:p>
            <w:r>
              <w:rPr>
                <w:rFonts w:hint="eastAsia"/>
              </w:rPr>
              <w:t>条目</w:t>
            </w:r>
          </w:p>
        </w:tc>
        <w:tc>
          <w:tcPr>
            <w:tcW w:w="2694" w:type="dxa"/>
            <w:tcBorders>
              <w:top w:val="single" w:color="auto" w:sz="4" w:space="0"/>
              <w:left w:val="single" w:color="auto" w:sz="4" w:space="0"/>
              <w:bottom w:val="single" w:color="auto" w:sz="4" w:space="0"/>
              <w:right w:val="single" w:color="auto" w:sz="4" w:space="0"/>
            </w:tcBorders>
            <w:noWrap w:val="0"/>
            <w:vAlign w:val="center"/>
          </w:tcPr>
          <w:p>
            <w:r>
              <w:rPr>
                <w:rFonts w:hint="eastAsia"/>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tc>
        <w:tc>
          <w:tcPr>
            <w:tcW w:w="1020" w:type="dxa"/>
            <w:tcBorders>
              <w:top w:val="single" w:color="auto" w:sz="4" w:space="0"/>
              <w:left w:val="single" w:color="auto" w:sz="4" w:space="0"/>
              <w:bottom w:val="single" w:color="auto" w:sz="4" w:space="0"/>
              <w:right w:val="single" w:color="auto" w:sz="4" w:space="0"/>
            </w:tcBorders>
            <w:noWrap w:val="0"/>
            <w:vAlign w:val="top"/>
          </w:tcPr>
          <w:p/>
        </w:tc>
        <w:tc>
          <w:tcPr>
            <w:tcW w:w="2835" w:type="dxa"/>
            <w:tcBorders>
              <w:top w:val="single" w:color="auto" w:sz="4" w:space="0"/>
              <w:left w:val="single" w:color="auto" w:sz="4" w:space="0"/>
              <w:bottom w:val="single" w:color="auto" w:sz="4" w:space="0"/>
              <w:right w:val="single" w:color="auto" w:sz="4" w:space="0"/>
            </w:tcBorders>
            <w:noWrap w:val="0"/>
            <w:vAlign w:val="top"/>
          </w:tcPr>
          <w:p/>
        </w:tc>
        <w:tc>
          <w:tcPr>
            <w:tcW w:w="1605" w:type="dxa"/>
            <w:tcBorders>
              <w:top w:val="single" w:color="auto" w:sz="4" w:space="0"/>
              <w:left w:val="single" w:color="auto" w:sz="4" w:space="0"/>
              <w:bottom w:val="single" w:color="auto" w:sz="4" w:space="0"/>
              <w:right w:val="single" w:color="auto" w:sz="4" w:space="0"/>
            </w:tcBorders>
            <w:noWrap w:val="0"/>
            <w:vAlign w:val="top"/>
          </w:tcPr>
          <w:p/>
        </w:tc>
        <w:tc>
          <w:tcPr>
            <w:tcW w:w="2694" w:type="dxa"/>
            <w:tcBorders>
              <w:top w:val="single" w:color="auto" w:sz="4" w:space="0"/>
              <w:left w:val="single" w:color="auto" w:sz="4" w:space="0"/>
              <w:bottom w:val="single" w:color="auto" w:sz="4" w:space="0"/>
              <w:right w:val="single" w:color="auto" w:sz="4" w:space="0"/>
            </w:tcBorders>
            <w:noWrap w:val="0"/>
            <w:vAlign w:val="top"/>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noWrap w:val="0"/>
            <w:vAlign w:val="top"/>
          </w:tcPr>
          <w:p/>
        </w:tc>
        <w:tc>
          <w:tcPr>
            <w:tcW w:w="1020" w:type="dxa"/>
            <w:tcBorders>
              <w:top w:val="single" w:color="auto" w:sz="4" w:space="0"/>
              <w:left w:val="single" w:color="auto" w:sz="4" w:space="0"/>
              <w:bottom w:val="single" w:color="auto" w:sz="4" w:space="0"/>
              <w:right w:val="single" w:color="auto" w:sz="4" w:space="0"/>
            </w:tcBorders>
            <w:noWrap w:val="0"/>
            <w:vAlign w:val="top"/>
          </w:tcPr>
          <w:p/>
        </w:tc>
        <w:tc>
          <w:tcPr>
            <w:tcW w:w="2835" w:type="dxa"/>
            <w:tcBorders>
              <w:top w:val="single" w:color="auto" w:sz="4" w:space="0"/>
              <w:left w:val="single" w:color="auto" w:sz="4" w:space="0"/>
              <w:bottom w:val="single" w:color="auto" w:sz="4" w:space="0"/>
              <w:right w:val="single" w:color="auto" w:sz="4" w:space="0"/>
            </w:tcBorders>
            <w:noWrap w:val="0"/>
            <w:vAlign w:val="top"/>
          </w:tcPr>
          <w:p/>
        </w:tc>
        <w:tc>
          <w:tcPr>
            <w:tcW w:w="1605" w:type="dxa"/>
            <w:tcBorders>
              <w:top w:val="single" w:color="auto" w:sz="4" w:space="0"/>
              <w:left w:val="single" w:color="auto" w:sz="4" w:space="0"/>
              <w:bottom w:val="single" w:color="auto" w:sz="4" w:space="0"/>
              <w:right w:val="single" w:color="auto" w:sz="4" w:space="0"/>
            </w:tcBorders>
            <w:noWrap w:val="0"/>
            <w:vAlign w:val="top"/>
          </w:tcPr>
          <w:p/>
        </w:tc>
        <w:tc>
          <w:tcPr>
            <w:tcW w:w="2694" w:type="dxa"/>
            <w:tcBorders>
              <w:top w:val="single" w:color="auto" w:sz="4" w:space="0"/>
              <w:left w:val="single" w:color="auto" w:sz="4" w:space="0"/>
              <w:bottom w:val="single" w:color="auto" w:sz="4" w:space="0"/>
              <w:right w:val="single" w:color="auto" w:sz="4" w:space="0"/>
            </w:tcBorders>
            <w:noWrap w:val="0"/>
            <w:vAlign w:val="top"/>
          </w:tcPr>
          <w:p/>
        </w:tc>
      </w:tr>
    </w:tbl>
    <w:p>
      <w:pPr>
        <w:pStyle w:val="10"/>
        <w:numPr>
          <w:ilvl w:val="0"/>
          <w:numId w:val="0"/>
        </w:numPr>
        <w:rPr>
          <w:rFonts w:hint="eastAsia"/>
        </w:rPr>
      </w:pPr>
    </w:p>
    <w:p/>
    <w:sectPr>
      <w:headerReference r:id="rId8" w:type="default"/>
      <w:footerReference r:id="rId9" w:type="default"/>
      <w:pgSz w:w="11906" w:h="16838"/>
      <w:pgMar w:top="1440" w:right="1797" w:bottom="1440" w:left="1797" w:header="851" w:footer="992" w:gutter="0"/>
      <w:pgBorders w:offsetFrom="page">
        <w:top w:val="none" w:sz="0" w:space="0"/>
        <w:left w:val="none" w:sz="0" w:space="0"/>
        <w:bottom w:val="none" w:sz="0" w:space="0"/>
        <w:right w:val="none" w:sz="0" w:space="0"/>
      </w:pgBorders>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end"/>
    </w:r>
  </w:p>
  <w:p>
    <w:pP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framePr w:wrap="around" w:vAnchor="text" w:hAnchor="margin" w:xAlign="center" w:y="1"/>
    </w:pPr>
    <w:r>
      <w:fldChar w:fldCharType="begin"/>
    </w:r>
    <w:r>
      <w:instrText xml:space="preserve">PAGE  </w:instrText>
    </w:r>
    <w:r>
      <w:fldChar w:fldCharType="separate"/>
    </w:r>
    <w:r>
      <w:t>1</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left"/>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595501A"/>
    <w:multiLevelType w:val="multilevel"/>
    <w:tmpl w:val="0595501A"/>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rPr>
    </w:lvl>
    <w:lvl w:ilvl="2" w:tentative="0">
      <w:start w:val="1"/>
      <w:numFmt w:val="decimal"/>
      <w:pStyle w:val="10"/>
      <w:isLgl/>
      <w:suff w:val="space"/>
      <w:lvlText w:val="%1.%2.%3"/>
      <w:lvlJc w:val="left"/>
      <w:pPr>
        <w:ind w:left="0" w:firstLine="0"/>
      </w:pPr>
      <w:rPr>
        <w:rFonts w:hint="eastAsia"/>
        <w:b w:val="0"/>
        <w:i w:val="0"/>
      </w:rPr>
    </w:lvl>
    <w:lvl w:ilvl="3" w:tentative="0">
      <w:start w:val="1"/>
      <w:numFmt w:val="decimal"/>
      <w:isLgl/>
      <w:suff w:val="space"/>
      <w:lvlText w:val="%1.%2.%3.%4"/>
      <w:lvlJc w:val="left"/>
      <w:pPr>
        <w:ind w:left="0"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3FB714FA"/>
    <w:multiLevelType w:val="multilevel"/>
    <w:tmpl w:val="3FB714F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2">
    <w:nsid w:val="5C500BD8"/>
    <w:multiLevelType w:val="singleLevel"/>
    <w:tmpl w:val="5C500BD8"/>
    <w:lvl w:ilvl="0" w:tentative="0">
      <w:start w:val="1"/>
      <w:numFmt w:val="decimal"/>
      <w:suff w:val="nothing"/>
      <w:lvlText w:val="（%1）"/>
      <w:lvlJc w:val="left"/>
    </w:lvl>
  </w:abstractNum>
  <w:num w:numId="1">
    <w:abstractNumId w:val="0"/>
  </w:num>
  <w:num w:numId="2">
    <w:abstractNumId w:val="0"/>
    <w:lvlOverride w:ilvl="2">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E9B6953"/>
    <w:rsid w:val="000A126F"/>
    <w:rsid w:val="002364B3"/>
    <w:rsid w:val="0038266E"/>
    <w:rsid w:val="004E4B7D"/>
    <w:rsid w:val="00522509"/>
    <w:rsid w:val="00612152"/>
    <w:rsid w:val="0065675D"/>
    <w:rsid w:val="007C0D39"/>
    <w:rsid w:val="009B49A0"/>
    <w:rsid w:val="00D74D34"/>
    <w:rsid w:val="00E72585"/>
    <w:rsid w:val="00ED3346"/>
    <w:rsid w:val="00FB3EFF"/>
    <w:rsid w:val="01025BBE"/>
    <w:rsid w:val="011F7295"/>
    <w:rsid w:val="01340FB4"/>
    <w:rsid w:val="014330DB"/>
    <w:rsid w:val="014732FA"/>
    <w:rsid w:val="01595DA1"/>
    <w:rsid w:val="01611E61"/>
    <w:rsid w:val="01782C67"/>
    <w:rsid w:val="01880C80"/>
    <w:rsid w:val="01966152"/>
    <w:rsid w:val="019F7595"/>
    <w:rsid w:val="01BA5B4F"/>
    <w:rsid w:val="01C96C7F"/>
    <w:rsid w:val="01D212D0"/>
    <w:rsid w:val="01D82980"/>
    <w:rsid w:val="01E26B41"/>
    <w:rsid w:val="01E72E87"/>
    <w:rsid w:val="01EB1EA7"/>
    <w:rsid w:val="01F2224F"/>
    <w:rsid w:val="02110160"/>
    <w:rsid w:val="0213175F"/>
    <w:rsid w:val="021877EE"/>
    <w:rsid w:val="02223EAD"/>
    <w:rsid w:val="0225115A"/>
    <w:rsid w:val="02554E09"/>
    <w:rsid w:val="026B58EC"/>
    <w:rsid w:val="027045A1"/>
    <w:rsid w:val="027146AF"/>
    <w:rsid w:val="0285288F"/>
    <w:rsid w:val="029D736C"/>
    <w:rsid w:val="029E7613"/>
    <w:rsid w:val="029F6135"/>
    <w:rsid w:val="02AE089B"/>
    <w:rsid w:val="02B348C8"/>
    <w:rsid w:val="02B3576A"/>
    <w:rsid w:val="02B826B3"/>
    <w:rsid w:val="02D1215B"/>
    <w:rsid w:val="02D37683"/>
    <w:rsid w:val="02D6638C"/>
    <w:rsid w:val="02D83B15"/>
    <w:rsid w:val="02E44CA1"/>
    <w:rsid w:val="02EF3016"/>
    <w:rsid w:val="02F565E7"/>
    <w:rsid w:val="030678DD"/>
    <w:rsid w:val="0319393F"/>
    <w:rsid w:val="034E1340"/>
    <w:rsid w:val="03620F84"/>
    <w:rsid w:val="03670483"/>
    <w:rsid w:val="036A7A6B"/>
    <w:rsid w:val="03734FEC"/>
    <w:rsid w:val="038241E5"/>
    <w:rsid w:val="038E55DE"/>
    <w:rsid w:val="039406C0"/>
    <w:rsid w:val="039E7808"/>
    <w:rsid w:val="03AB672C"/>
    <w:rsid w:val="03AB6E37"/>
    <w:rsid w:val="03AF050A"/>
    <w:rsid w:val="03CE63C3"/>
    <w:rsid w:val="03D034B2"/>
    <w:rsid w:val="03FE1B1F"/>
    <w:rsid w:val="0419326C"/>
    <w:rsid w:val="042E0535"/>
    <w:rsid w:val="043933F0"/>
    <w:rsid w:val="044A2CA2"/>
    <w:rsid w:val="0459598D"/>
    <w:rsid w:val="0472179D"/>
    <w:rsid w:val="047F0FD9"/>
    <w:rsid w:val="04C21B75"/>
    <w:rsid w:val="04C706C9"/>
    <w:rsid w:val="04CF318F"/>
    <w:rsid w:val="04DB7946"/>
    <w:rsid w:val="04E01A52"/>
    <w:rsid w:val="04E32126"/>
    <w:rsid w:val="04EA394D"/>
    <w:rsid w:val="04EB13EC"/>
    <w:rsid w:val="04F31126"/>
    <w:rsid w:val="04F92FEA"/>
    <w:rsid w:val="05035065"/>
    <w:rsid w:val="05046FEE"/>
    <w:rsid w:val="050F1CCB"/>
    <w:rsid w:val="050F762B"/>
    <w:rsid w:val="05393D93"/>
    <w:rsid w:val="05403C2C"/>
    <w:rsid w:val="054251D5"/>
    <w:rsid w:val="0556039D"/>
    <w:rsid w:val="055F4E53"/>
    <w:rsid w:val="056711CE"/>
    <w:rsid w:val="059411A9"/>
    <w:rsid w:val="05B47F38"/>
    <w:rsid w:val="05BE1292"/>
    <w:rsid w:val="05E43AD1"/>
    <w:rsid w:val="05E611BC"/>
    <w:rsid w:val="05E863EB"/>
    <w:rsid w:val="05EA20E2"/>
    <w:rsid w:val="05EC6BE2"/>
    <w:rsid w:val="06066AF5"/>
    <w:rsid w:val="06493587"/>
    <w:rsid w:val="06497965"/>
    <w:rsid w:val="06517F99"/>
    <w:rsid w:val="065955DB"/>
    <w:rsid w:val="06685594"/>
    <w:rsid w:val="066B393B"/>
    <w:rsid w:val="066E191F"/>
    <w:rsid w:val="068320B2"/>
    <w:rsid w:val="06860E3C"/>
    <w:rsid w:val="068B288F"/>
    <w:rsid w:val="06903D98"/>
    <w:rsid w:val="06B34DD6"/>
    <w:rsid w:val="06B97F21"/>
    <w:rsid w:val="06C47798"/>
    <w:rsid w:val="06C86335"/>
    <w:rsid w:val="06CA7415"/>
    <w:rsid w:val="06D10788"/>
    <w:rsid w:val="06D757F8"/>
    <w:rsid w:val="06DD47DF"/>
    <w:rsid w:val="06F56B6F"/>
    <w:rsid w:val="06FF4EBB"/>
    <w:rsid w:val="071C5D90"/>
    <w:rsid w:val="072A7405"/>
    <w:rsid w:val="074B3FC3"/>
    <w:rsid w:val="074D0817"/>
    <w:rsid w:val="07573DEA"/>
    <w:rsid w:val="07665BEA"/>
    <w:rsid w:val="076811CD"/>
    <w:rsid w:val="077B1C47"/>
    <w:rsid w:val="07813C34"/>
    <w:rsid w:val="079850A4"/>
    <w:rsid w:val="079B5B5B"/>
    <w:rsid w:val="079B7E0E"/>
    <w:rsid w:val="07A8070E"/>
    <w:rsid w:val="07C05F71"/>
    <w:rsid w:val="07E6348A"/>
    <w:rsid w:val="07F068DE"/>
    <w:rsid w:val="08056EDC"/>
    <w:rsid w:val="08187E47"/>
    <w:rsid w:val="083752C4"/>
    <w:rsid w:val="084241EC"/>
    <w:rsid w:val="086D721D"/>
    <w:rsid w:val="0880189F"/>
    <w:rsid w:val="08803C1F"/>
    <w:rsid w:val="088539AE"/>
    <w:rsid w:val="08936A22"/>
    <w:rsid w:val="089741AB"/>
    <w:rsid w:val="08A6431C"/>
    <w:rsid w:val="08AB5EF7"/>
    <w:rsid w:val="08C746D4"/>
    <w:rsid w:val="08EF5190"/>
    <w:rsid w:val="08F013BE"/>
    <w:rsid w:val="08F54AA9"/>
    <w:rsid w:val="09142184"/>
    <w:rsid w:val="09180DAB"/>
    <w:rsid w:val="092341A7"/>
    <w:rsid w:val="09320750"/>
    <w:rsid w:val="09340C24"/>
    <w:rsid w:val="09395CD3"/>
    <w:rsid w:val="09546654"/>
    <w:rsid w:val="095A62AC"/>
    <w:rsid w:val="09731392"/>
    <w:rsid w:val="097317A2"/>
    <w:rsid w:val="09811192"/>
    <w:rsid w:val="09812A33"/>
    <w:rsid w:val="098B1BAB"/>
    <w:rsid w:val="09960B40"/>
    <w:rsid w:val="099647CB"/>
    <w:rsid w:val="09A67545"/>
    <w:rsid w:val="09BF3A65"/>
    <w:rsid w:val="09E0797D"/>
    <w:rsid w:val="09EB3B6D"/>
    <w:rsid w:val="09F9102B"/>
    <w:rsid w:val="0A0F54C7"/>
    <w:rsid w:val="0A13538F"/>
    <w:rsid w:val="0A212E11"/>
    <w:rsid w:val="0A217B1E"/>
    <w:rsid w:val="0A34233C"/>
    <w:rsid w:val="0A4C0EC7"/>
    <w:rsid w:val="0A610F4A"/>
    <w:rsid w:val="0A630FEC"/>
    <w:rsid w:val="0A7A0234"/>
    <w:rsid w:val="0A882357"/>
    <w:rsid w:val="0A982663"/>
    <w:rsid w:val="0A9B49D9"/>
    <w:rsid w:val="0A9D144F"/>
    <w:rsid w:val="0AA468CA"/>
    <w:rsid w:val="0AA90E72"/>
    <w:rsid w:val="0AB0269A"/>
    <w:rsid w:val="0AB32C58"/>
    <w:rsid w:val="0AC5695C"/>
    <w:rsid w:val="0AD64DBA"/>
    <w:rsid w:val="0ADD5097"/>
    <w:rsid w:val="0AEE4517"/>
    <w:rsid w:val="0AF33D53"/>
    <w:rsid w:val="0B0B6E38"/>
    <w:rsid w:val="0B20792E"/>
    <w:rsid w:val="0B2B10DE"/>
    <w:rsid w:val="0B6D3A2C"/>
    <w:rsid w:val="0B6F0545"/>
    <w:rsid w:val="0B730024"/>
    <w:rsid w:val="0B853094"/>
    <w:rsid w:val="0BA11EF1"/>
    <w:rsid w:val="0BA27945"/>
    <w:rsid w:val="0BA81F5D"/>
    <w:rsid w:val="0BBA55E1"/>
    <w:rsid w:val="0BC22EDA"/>
    <w:rsid w:val="0BC87C43"/>
    <w:rsid w:val="0BD97273"/>
    <w:rsid w:val="0BDE2ABA"/>
    <w:rsid w:val="0BF40EEF"/>
    <w:rsid w:val="0C136867"/>
    <w:rsid w:val="0C366E08"/>
    <w:rsid w:val="0C443C1F"/>
    <w:rsid w:val="0C50104D"/>
    <w:rsid w:val="0C5015D1"/>
    <w:rsid w:val="0C5C4E5F"/>
    <w:rsid w:val="0C5D5CA5"/>
    <w:rsid w:val="0C6A4FA3"/>
    <w:rsid w:val="0C6D7CD8"/>
    <w:rsid w:val="0C701E02"/>
    <w:rsid w:val="0CA2263F"/>
    <w:rsid w:val="0CCC7D83"/>
    <w:rsid w:val="0CF45151"/>
    <w:rsid w:val="0CF5480C"/>
    <w:rsid w:val="0CF8189D"/>
    <w:rsid w:val="0D071964"/>
    <w:rsid w:val="0D265CDE"/>
    <w:rsid w:val="0D342F74"/>
    <w:rsid w:val="0D3A43B1"/>
    <w:rsid w:val="0D4D6AA6"/>
    <w:rsid w:val="0D52615E"/>
    <w:rsid w:val="0D53553D"/>
    <w:rsid w:val="0D535D37"/>
    <w:rsid w:val="0D5653DD"/>
    <w:rsid w:val="0D607FBB"/>
    <w:rsid w:val="0D6D25FF"/>
    <w:rsid w:val="0D792CDB"/>
    <w:rsid w:val="0DB84D65"/>
    <w:rsid w:val="0DC60314"/>
    <w:rsid w:val="0DD67F5C"/>
    <w:rsid w:val="0DE34679"/>
    <w:rsid w:val="0DEB3406"/>
    <w:rsid w:val="0E281A61"/>
    <w:rsid w:val="0E350DEA"/>
    <w:rsid w:val="0E3A071D"/>
    <w:rsid w:val="0E3D1CBF"/>
    <w:rsid w:val="0E4D3700"/>
    <w:rsid w:val="0E63292E"/>
    <w:rsid w:val="0E643C43"/>
    <w:rsid w:val="0E7B689F"/>
    <w:rsid w:val="0E8D2A91"/>
    <w:rsid w:val="0EA27BC7"/>
    <w:rsid w:val="0EB91A5D"/>
    <w:rsid w:val="0EC61B88"/>
    <w:rsid w:val="0ECD6D1B"/>
    <w:rsid w:val="0ECE446C"/>
    <w:rsid w:val="0ED12F4A"/>
    <w:rsid w:val="0EDA3E12"/>
    <w:rsid w:val="0EE63616"/>
    <w:rsid w:val="0EF904EF"/>
    <w:rsid w:val="0EFF7791"/>
    <w:rsid w:val="0F031850"/>
    <w:rsid w:val="0F146E24"/>
    <w:rsid w:val="0F275F68"/>
    <w:rsid w:val="0F2B1F70"/>
    <w:rsid w:val="0F3565C8"/>
    <w:rsid w:val="0F384F12"/>
    <w:rsid w:val="0F4E652C"/>
    <w:rsid w:val="0F5D16E2"/>
    <w:rsid w:val="0F5F4AC1"/>
    <w:rsid w:val="0F6C34C5"/>
    <w:rsid w:val="0F760890"/>
    <w:rsid w:val="0F982300"/>
    <w:rsid w:val="0F994305"/>
    <w:rsid w:val="0F9A4583"/>
    <w:rsid w:val="0F9C46A1"/>
    <w:rsid w:val="0FBC35F4"/>
    <w:rsid w:val="0FC85999"/>
    <w:rsid w:val="0FCA5458"/>
    <w:rsid w:val="0FD36F5E"/>
    <w:rsid w:val="0FF25F43"/>
    <w:rsid w:val="0FF84368"/>
    <w:rsid w:val="100264EA"/>
    <w:rsid w:val="101F6B17"/>
    <w:rsid w:val="102B3964"/>
    <w:rsid w:val="103F6F36"/>
    <w:rsid w:val="10413DD1"/>
    <w:rsid w:val="10470F9D"/>
    <w:rsid w:val="106055F9"/>
    <w:rsid w:val="106377F3"/>
    <w:rsid w:val="107A1556"/>
    <w:rsid w:val="107C11A4"/>
    <w:rsid w:val="108D0061"/>
    <w:rsid w:val="10941F10"/>
    <w:rsid w:val="109C3465"/>
    <w:rsid w:val="10C07885"/>
    <w:rsid w:val="10DC0676"/>
    <w:rsid w:val="10DD7B3D"/>
    <w:rsid w:val="10DF2300"/>
    <w:rsid w:val="10F20482"/>
    <w:rsid w:val="10F264BF"/>
    <w:rsid w:val="1105574A"/>
    <w:rsid w:val="110D2B3C"/>
    <w:rsid w:val="11191B50"/>
    <w:rsid w:val="1122763F"/>
    <w:rsid w:val="11466684"/>
    <w:rsid w:val="1152546B"/>
    <w:rsid w:val="115C32A2"/>
    <w:rsid w:val="118A357C"/>
    <w:rsid w:val="118B4D88"/>
    <w:rsid w:val="11995EF1"/>
    <w:rsid w:val="11AA60AD"/>
    <w:rsid w:val="11B23A89"/>
    <w:rsid w:val="11C00965"/>
    <w:rsid w:val="11D51F46"/>
    <w:rsid w:val="11DB4EA1"/>
    <w:rsid w:val="11FB716A"/>
    <w:rsid w:val="120838F0"/>
    <w:rsid w:val="12165507"/>
    <w:rsid w:val="12341796"/>
    <w:rsid w:val="12347C74"/>
    <w:rsid w:val="12427A5D"/>
    <w:rsid w:val="12514593"/>
    <w:rsid w:val="12580240"/>
    <w:rsid w:val="125D3D7D"/>
    <w:rsid w:val="125E086E"/>
    <w:rsid w:val="125E7E5C"/>
    <w:rsid w:val="1268410C"/>
    <w:rsid w:val="126D3912"/>
    <w:rsid w:val="12730C0A"/>
    <w:rsid w:val="127472E9"/>
    <w:rsid w:val="12933DE9"/>
    <w:rsid w:val="12C02923"/>
    <w:rsid w:val="12DC7686"/>
    <w:rsid w:val="12DE2FEC"/>
    <w:rsid w:val="12E772CE"/>
    <w:rsid w:val="12EC669E"/>
    <w:rsid w:val="12ED3D60"/>
    <w:rsid w:val="12FD4334"/>
    <w:rsid w:val="13024D4A"/>
    <w:rsid w:val="13061BF4"/>
    <w:rsid w:val="13230226"/>
    <w:rsid w:val="133E0A4D"/>
    <w:rsid w:val="133F02C9"/>
    <w:rsid w:val="13504541"/>
    <w:rsid w:val="13513C16"/>
    <w:rsid w:val="135C3B32"/>
    <w:rsid w:val="135D09AF"/>
    <w:rsid w:val="136B228D"/>
    <w:rsid w:val="136B48EA"/>
    <w:rsid w:val="137F6B52"/>
    <w:rsid w:val="13843EA7"/>
    <w:rsid w:val="13855FA0"/>
    <w:rsid w:val="138F479C"/>
    <w:rsid w:val="13961F88"/>
    <w:rsid w:val="13975B47"/>
    <w:rsid w:val="139D543E"/>
    <w:rsid w:val="13A6470C"/>
    <w:rsid w:val="13C426A8"/>
    <w:rsid w:val="13D51E18"/>
    <w:rsid w:val="13DB3C4F"/>
    <w:rsid w:val="13E42B09"/>
    <w:rsid w:val="13F2414D"/>
    <w:rsid w:val="13FC5A17"/>
    <w:rsid w:val="141132F9"/>
    <w:rsid w:val="14136598"/>
    <w:rsid w:val="142466B7"/>
    <w:rsid w:val="14401C22"/>
    <w:rsid w:val="146E213F"/>
    <w:rsid w:val="148B5407"/>
    <w:rsid w:val="1497334E"/>
    <w:rsid w:val="149A0DCE"/>
    <w:rsid w:val="149C48E5"/>
    <w:rsid w:val="14B53A70"/>
    <w:rsid w:val="14BA604F"/>
    <w:rsid w:val="14CC061D"/>
    <w:rsid w:val="14DB6E67"/>
    <w:rsid w:val="14DF5122"/>
    <w:rsid w:val="14EB258E"/>
    <w:rsid w:val="14FC1631"/>
    <w:rsid w:val="14FC169F"/>
    <w:rsid w:val="14FF0BE2"/>
    <w:rsid w:val="15241B29"/>
    <w:rsid w:val="152C0115"/>
    <w:rsid w:val="15317A8E"/>
    <w:rsid w:val="15371C50"/>
    <w:rsid w:val="153A09A0"/>
    <w:rsid w:val="154F2E60"/>
    <w:rsid w:val="15500DBA"/>
    <w:rsid w:val="15565451"/>
    <w:rsid w:val="15633DB4"/>
    <w:rsid w:val="156A6C94"/>
    <w:rsid w:val="158424AF"/>
    <w:rsid w:val="158F07E9"/>
    <w:rsid w:val="15A02AED"/>
    <w:rsid w:val="15C630ED"/>
    <w:rsid w:val="15F2144A"/>
    <w:rsid w:val="16182B96"/>
    <w:rsid w:val="16297C49"/>
    <w:rsid w:val="162B2E92"/>
    <w:rsid w:val="163A6F13"/>
    <w:rsid w:val="16510F8D"/>
    <w:rsid w:val="16567EBC"/>
    <w:rsid w:val="165B0C74"/>
    <w:rsid w:val="166012E9"/>
    <w:rsid w:val="16606BCF"/>
    <w:rsid w:val="16894615"/>
    <w:rsid w:val="16904C21"/>
    <w:rsid w:val="169B76B4"/>
    <w:rsid w:val="16A40133"/>
    <w:rsid w:val="16B3118E"/>
    <w:rsid w:val="16BB5E6A"/>
    <w:rsid w:val="16CD0D32"/>
    <w:rsid w:val="16EA6979"/>
    <w:rsid w:val="16FA79C6"/>
    <w:rsid w:val="16FB77C0"/>
    <w:rsid w:val="17150A35"/>
    <w:rsid w:val="17380969"/>
    <w:rsid w:val="17387FFD"/>
    <w:rsid w:val="174671C7"/>
    <w:rsid w:val="174D2CDE"/>
    <w:rsid w:val="177C4B16"/>
    <w:rsid w:val="177E5045"/>
    <w:rsid w:val="178A7960"/>
    <w:rsid w:val="179C5E68"/>
    <w:rsid w:val="17D96F83"/>
    <w:rsid w:val="17DB150B"/>
    <w:rsid w:val="17DF659B"/>
    <w:rsid w:val="17F04266"/>
    <w:rsid w:val="17FA4D95"/>
    <w:rsid w:val="17FE4FCF"/>
    <w:rsid w:val="18010AA8"/>
    <w:rsid w:val="18037619"/>
    <w:rsid w:val="18074059"/>
    <w:rsid w:val="18096097"/>
    <w:rsid w:val="181230FE"/>
    <w:rsid w:val="18146CF5"/>
    <w:rsid w:val="181D7363"/>
    <w:rsid w:val="181E4A18"/>
    <w:rsid w:val="18244C49"/>
    <w:rsid w:val="182D4BF7"/>
    <w:rsid w:val="182E4A4A"/>
    <w:rsid w:val="18476782"/>
    <w:rsid w:val="184C1684"/>
    <w:rsid w:val="185D5D7B"/>
    <w:rsid w:val="186169C9"/>
    <w:rsid w:val="18745CFD"/>
    <w:rsid w:val="18832AC8"/>
    <w:rsid w:val="18B17611"/>
    <w:rsid w:val="18B56B22"/>
    <w:rsid w:val="18BE22C3"/>
    <w:rsid w:val="18C65760"/>
    <w:rsid w:val="18D6550B"/>
    <w:rsid w:val="18DB0A5A"/>
    <w:rsid w:val="18F12363"/>
    <w:rsid w:val="19236001"/>
    <w:rsid w:val="19263E6A"/>
    <w:rsid w:val="19327E62"/>
    <w:rsid w:val="193D77B8"/>
    <w:rsid w:val="196108E0"/>
    <w:rsid w:val="19717F6B"/>
    <w:rsid w:val="19734498"/>
    <w:rsid w:val="19794F0A"/>
    <w:rsid w:val="198743D0"/>
    <w:rsid w:val="1987579B"/>
    <w:rsid w:val="198F35DF"/>
    <w:rsid w:val="19907644"/>
    <w:rsid w:val="1992066D"/>
    <w:rsid w:val="19AA6A5E"/>
    <w:rsid w:val="19BD0772"/>
    <w:rsid w:val="19BF0F89"/>
    <w:rsid w:val="19CA71DE"/>
    <w:rsid w:val="19CD4622"/>
    <w:rsid w:val="19F53D2F"/>
    <w:rsid w:val="1A127686"/>
    <w:rsid w:val="1A3627C1"/>
    <w:rsid w:val="1A3E4AA5"/>
    <w:rsid w:val="1A405656"/>
    <w:rsid w:val="1A626943"/>
    <w:rsid w:val="1A691795"/>
    <w:rsid w:val="1A6A2B0C"/>
    <w:rsid w:val="1A6D7209"/>
    <w:rsid w:val="1A8255F7"/>
    <w:rsid w:val="1A9315F7"/>
    <w:rsid w:val="1A9C2F58"/>
    <w:rsid w:val="1AB36E38"/>
    <w:rsid w:val="1ABF7FFA"/>
    <w:rsid w:val="1AC07027"/>
    <w:rsid w:val="1AC33052"/>
    <w:rsid w:val="1AE34D7B"/>
    <w:rsid w:val="1AEA0C97"/>
    <w:rsid w:val="1AFA149D"/>
    <w:rsid w:val="1AFF0C51"/>
    <w:rsid w:val="1AFF7559"/>
    <w:rsid w:val="1B0503F9"/>
    <w:rsid w:val="1B0D5FBF"/>
    <w:rsid w:val="1B246C9D"/>
    <w:rsid w:val="1B34455B"/>
    <w:rsid w:val="1B414FBF"/>
    <w:rsid w:val="1B4F3834"/>
    <w:rsid w:val="1B571C3A"/>
    <w:rsid w:val="1B7012BE"/>
    <w:rsid w:val="1B9405E4"/>
    <w:rsid w:val="1B943073"/>
    <w:rsid w:val="1BAD0B11"/>
    <w:rsid w:val="1BB952B4"/>
    <w:rsid w:val="1BC71279"/>
    <w:rsid w:val="1C033EF1"/>
    <w:rsid w:val="1C154A86"/>
    <w:rsid w:val="1C2812B6"/>
    <w:rsid w:val="1C2F709E"/>
    <w:rsid w:val="1C4424F5"/>
    <w:rsid w:val="1C623EB9"/>
    <w:rsid w:val="1C626C5F"/>
    <w:rsid w:val="1C6F5C7B"/>
    <w:rsid w:val="1C7C6085"/>
    <w:rsid w:val="1CA229A8"/>
    <w:rsid w:val="1CAD5842"/>
    <w:rsid w:val="1CBF3A0F"/>
    <w:rsid w:val="1CCC39BF"/>
    <w:rsid w:val="1CEE4227"/>
    <w:rsid w:val="1CF1197A"/>
    <w:rsid w:val="1CF93875"/>
    <w:rsid w:val="1D0562C8"/>
    <w:rsid w:val="1D0F7842"/>
    <w:rsid w:val="1D232B61"/>
    <w:rsid w:val="1D3D280D"/>
    <w:rsid w:val="1D400B57"/>
    <w:rsid w:val="1D573CBB"/>
    <w:rsid w:val="1D5D50B2"/>
    <w:rsid w:val="1D7119BF"/>
    <w:rsid w:val="1D720FA1"/>
    <w:rsid w:val="1D760FDD"/>
    <w:rsid w:val="1D7C08B6"/>
    <w:rsid w:val="1D894529"/>
    <w:rsid w:val="1D9200D7"/>
    <w:rsid w:val="1DB72131"/>
    <w:rsid w:val="1DBB4D4A"/>
    <w:rsid w:val="1DBE4989"/>
    <w:rsid w:val="1DC22294"/>
    <w:rsid w:val="1DCA1761"/>
    <w:rsid w:val="1DD311C8"/>
    <w:rsid w:val="1DDA18EC"/>
    <w:rsid w:val="1DE61938"/>
    <w:rsid w:val="1DE70E5E"/>
    <w:rsid w:val="1DE7177D"/>
    <w:rsid w:val="1DF13D7E"/>
    <w:rsid w:val="1DFF7592"/>
    <w:rsid w:val="1E0A4AF4"/>
    <w:rsid w:val="1E203F5F"/>
    <w:rsid w:val="1E211B20"/>
    <w:rsid w:val="1E281A37"/>
    <w:rsid w:val="1E4E7962"/>
    <w:rsid w:val="1E60044C"/>
    <w:rsid w:val="1E767EF7"/>
    <w:rsid w:val="1E791488"/>
    <w:rsid w:val="1E7F1088"/>
    <w:rsid w:val="1E864C7D"/>
    <w:rsid w:val="1E922D9F"/>
    <w:rsid w:val="1E942ACB"/>
    <w:rsid w:val="1E9B05E2"/>
    <w:rsid w:val="1EA274BE"/>
    <w:rsid w:val="1EC964D6"/>
    <w:rsid w:val="1ED22680"/>
    <w:rsid w:val="1ED518AC"/>
    <w:rsid w:val="1EDA4652"/>
    <w:rsid w:val="1EE03EFF"/>
    <w:rsid w:val="1EE07CCC"/>
    <w:rsid w:val="1EF67C99"/>
    <w:rsid w:val="1F031623"/>
    <w:rsid w:val="1F12165A"/>
    <w:rsid w:val="1F256B7B"/>
    <w:rsid w:val="1F310CF5"/>
    <w:rsid w:val="1F497692"/>
    <w:rsid w:val="1F4D452E"/>
    <w:rsid w:val="1F542B5A"/>
    <w:rsid w:val="1F677526"/>
    <w:rsid w:val="1F781829"/>
    <w:rsid w:val="1F7922BF"/>
    <w:rsid w:val="1F8C02D5"/>
    <w:rsid w:val="1F9C75B8"/>
    <w:rsid w:val="1FBE23A1"/>
    <w:rsid w:val="1FC12D05"/>
    <w:rsid w:val="1FC23C24"/>
    <w:rsid w:val="1FC965E6"/>
    <w:rsid w:val="1FCC2FBE"/>
    <w:rsid w:val="1FD02B40"/>
    <w:rsid w:val="1FDE0C79"/>
    <w:rsid w:val="1FE94BBA"/>
    <w:rsid w:val="20015645"/>
    <w:rsid w:val="20052FB9"/>
    <w:rsid w:val="20100688"/>
    <w:rsid w:val="202E40B2"/>
    <w:rsid w:val="202F7FA6"/>
    <w:rsid w:val="20392FDF"/>
    <w:rsid w:val="203A257A"/>
    <w:rsid w:val="204E67A6"/>
    <w:rsid w:val="207C6042"/>
    <w:rsid w:val="20A50CD7"/>
    <w:rsid w:val="20A85253"/>
    <w:rsid w:val="20D50436"/>
    <w:rsid w:val="20F16BE9"/>
    <w:rsid w:val="20FD2978"/>
    <w:rsid w:val="2103337C"/>
    <w:rsid w:val="210E4230"/>
    <w:rsid w:val="21486451"/>
    <w:rsid w:val="21497EE6"/>
    <w:rsid w:val="215867C2"/>
    <w:rsid w:val="215C31DF"/>
    <w:rsid w:val="21637C51"/>
    <w:rsid w:val="217418F4"/>
    <w:rsid w:val="217C6737"/>
    <w:rsid w:val="2181456D"/>
    <w:rsid w:val="21820646"/>
    <w:rsid w:val="21871319"/>
    <w:rsid w:val="21993462"/>
    <w:rsid w:val="21A20055"/>
    <w:rsid w:val="21AC3107"/>
    <w:rsid w:val="21D920F6"/>
    <w:rsid w:val="21E26CBB"/>
    <w:rsid w:val="21E33014"/>
    <w:rsid w:val="21E42E04"/>
    <w:rsid w:val="21ED6CAB"/>
    <w:rsid w:val="21F013D8"/>
    <w:rsid w:val="21F36B72"/>
    <w:rsid w:val="21FA4C40"/>
    <w:rsid w:val="22077673"/>
    <w:rsid w:val="220B240D"/>
    <w:rsid w:val="22135A5E"/>
    <w:rsid w:val="22232732"/>
    <w:rsid w:val="222A29F2"/>
    <w:rsid w:val="223A4DF8"/>
    <w:rsid w:val="223D4EFD"/>
    <w:rsid w:val="22413883"/>
    <w:rsid w:val="22903AEA"/>
    <w:rsid w:val="22952416"/>
    <w:rsid w:val="22A2372E"/>
    <w:rsid w:val="22A4687E"/>
    <w:rsid w:val="22CA3768"/>
    <w:rsid w:val="22D16D85"/>
    <w:rsid w:val="230C6483"/>
    <w:rsid w:val="23203247"/>
    <w:rsid w:val="23290A67"/>
    <w:rsid w:val="232A6103"/>
    <w:rsid w:val="232C14DD"/>
    <w:rsid w:val="234165D1"/>
    <w:rsid w:val="234E74B8"/>
    <w:rsid w:val="23547505"/>
    <w:rsid w:val="235978A6"/>
    <w:rsid w:val="236E1D54"/>
    <w:rsid w:val="2392300D"/>
    <w:rsid w:val="23A65E7B"/>
    <w:rsid w:val="23A9649F"/>
    <w:rsid w:val="23AC62E2"/>
    <w:rsid w:val="23B40FC1"/>
    <w:rsid w:val="23C43BD9"/>
    <w:rsid w:val="23C608D2"/>
    <w:rsid w:val="23DC040A"/>
    <w:rsid w:val="23E47AEA"/>
    <w:rsid w:val="23F634EF"/>
    <w:rsid w:val="23FA1FDF"/>
    <w:rsid w:val="240058D3"/>
    <w:rsid w:val="240857E0"/>
    <w:rsid w:val="24393392"/>
    <w:rsid w:val="24530A4A"/>
    <w:rsid w:val="24672161"/>
    <w:rsid w:val="246760B8"/>
    <w:rsid w:val="246E6CD8"/>
    <w:rsid w:val="24805C6F"/>
    <w:rsid w:val="24827C7B"/>
    <w:rsid w:val="248B0AFB"/>
    <w:rsid w:val="248D08D7"/>
    <w:rsid w:val="248F125A"/>
    <w:rsid w:val="24A34A0F"/>
    <w:rsid w:val="24BB1ECD"/>
    <w:rsid w:val="24D0702C"/>
    <w:rsid w:val="24D33230"/>
    <w:rsid w:val="24E026A1"/>
    <w:rsid w:val="24EB3121"/>
    <w:rsid w:val="24EB481E"/>
    <w:rsid w:val="24F60D99"/>
    <w:rsid w:val="24FC20E4"/>
    <w:rsid w:val="25216CD1"/>
    <w:rsid w:val="252670ED"/>
    <w:rsid w:val="252A44F2"/>
    <w:rsid w:val="25631538"/>
    <w:rsid w:val="256505F2"/>
    <w:rsid w:val="258E16A1"/>
    <w:rsid w:val="25931406"/>
    <w:rsid w:val="25B10243"/>
    <w:rsid w:val="25BC1A70"/>
    <w:rsid w:val="25BF59F8"/>
    <w:rsid w:val="25C55474"/>
    <w:rsid w:val="25CC4811"/>
    <w:rsid w:val="25E551DF"/>
    <w:rsid w:val="25F00F33"/>
    <w:rsid w:val="260312B6"/>
    <w:rsid w:val="261B7480"/>
    <w:rsid w:val="26265886"/>
    <w:rsid w:val="26381887"/>
    <w:rsid w:val="2641068D"/>
    <w:rsid w:val="26460C99"/>
    <w:rsid w:val="26475722"/>
    <w:rsid w:val="26573855"/>
    <w:rsid w:val="26692784"/>
    <w:rsid w:val="266B0FD1"/>
    <w:rsid w:val="266C0849"/>
    <w:rsid w:val="266C4EB9"/>
    <w:rsid w:val="266E2F1B"/>
    <w:rsid w:val="266F0EF3"/>
    <w:rsid w:val="268828FB"/>
    <w:rsid w:val="26933C68"/>
    <w:rsid w:val="26A2397F"/>
    <w:rsid w:val="26A62865"/>
    <w:rsid w:val="26B75360"/>
    <w:rsid w:val="26C467AB"/>
    <w:rsid w:val="26D86364"/>
    <w:rsid w:val="26EB1684"/>
    <w:rsid w:val="26FE0799"/>
    <w:rsid w:val="271671AE"/>
    <w:rsid w:val="271F05EC"/>
    <w:rsid w:val="2727268A"/>
    <w:rsid w:val="2746021E"/>
    <w:rsid w:val="274C04D5"/>
    <w:rsid w:val="27517030"/>
    <w:rsid w:val="275F5C16"/>
    <w:rsid w:val="278228E2"/>
    <w:rsid w:val="2791769A"/>
    <w:rsid w:val="27B54955"/>
    <w:rsid w:val="27D97D18"/>
    <w:rsid w:val="27EB1B42"/>
    <w:rsid w:val="280E1575"/>
    <w:rsid w:val="281056DA"/>
    <w:rsid w:val="28267A74"/>
    <w:rsid w:val="28281333"/>
    <w:rsid w:val="283D3735"/>
    <w:rsid w:val="284613D3"/>
    <w:rsid w:val="284C0DBF"/>
    <w:rsid w:val="284F4CCA"/>
    <w:rsid w:val="2876487E"/>
    <w:rsid w:val="289721CC"/>
    <w:rsid w:val="28AA39E8"/>
    <w:rsid w:val="28AB7E23"/>
    <w:rsid w:val="28B62812"/>
    <w:rsid w:val="28B87328"/>
    <w:rsid w:val="28C86662"/>
    <w:rsid w:val="28D029EC"/>
    <w:rsid w:val="28D710D4"/>
    <w:rsid w:val="28D821EC"/>
    <w:rsid w:val="28E013E5"/>
    <w:rsid w:val="28E64C74"/>
    <w:rsid w:val="28FF116C"/>
    <w:rsid w:val="29310B3A"/>
    <w:rsid w:val="293D7169"/>
    <w:rsid w:val="293E70D7"/>
    <w:rsid w:val="29477597"/>
    <w:rsid w:val="29693B08"/>
    <w:rsid w:val="297F4761"/>
    <w:rsid w:val="298C4CB3"/>
    <w:rsid w:val="29936ADE"/>
    <w:rsid w:val="299C7C55"/>
    <w:rsid w:val="29A21734"/>
    <w:rsid w:val="29AC6525"/>
    <w:rsid w:val="29BB4BEF"/>
    <w:rsid w:val="29C303EA"/>
    <w:rsid w:val="29CC05B9"/>
    <w:rsid w:val="29DF5686"/>
    <w:rsid w:val="29E028F4"/>
    <w:rsid w:val="29E76696"/>
    <w:rsid w:val="29F94480"/>
    <w:rsid w:val="29FB0462"/>
    <w:rsid w:val="2A263DB0"/>
    <w:rsid w:val="2A3F5C8E"/>
    <w:rsid w:val="2A454CD8"/>
    <w:rsid w:val="2A462038"/>
    <w:rsid w:val="2A49255D"/>
    <w:rsid w:val="2A5A7D1A"/>
    <w:rsid w:val="2A675AB2"/>
    <w:rsid w:val="2A6A7F35"/>
    <w:rsid w:val="2A7E644D"/>
    <w:rsid w:val="2AA1123E"/>
    <w:rsid w:val="2AAB6507"/>
    <w:rsid w:val="2ACA21C9"/>
    <w:rsid w:val="2ACF3F46"/>
    <w:rsid w:val="2AD80EE4"/>
    <w:rsid w:val="2AF83488"/>
    <w:rsid w:val="2B0277FE"/>
    <w:rsid w:val="2B2039C1"/>
    <w:rsid w:val="2B211FAB"/>
    <w:rsid w:val="2B324C1A"/>
    <w:rsid w:val="2B3D5A5C"/>
    <w:rsid w:val="2B5911D4"/>
    <w:rsid w:val="2B6270F0"/>
    <w:rsid w:val="2B6F6D2F"/>
    <w:rsid w:val="2B734325"/>
    <w:rsid w:val="2B7A271F"/>
    <w:rsid w:val="2B7F3812"/>
    <w:rsid w:val="2B9E3199"/>
    <w:rsid w:val="2BA74437"/>
    <w:rsid w:val="2BB76F75"/>
    <w:rsid w:val="2BB9364C"/>
    <w:rsid w:val="2BBB44E3"/>
    <w:rsid w:val="2BCA705B"/>
    <w:rsid w:val="2BD66120"/>
    <w:rsid w:val="2C0674CA"/>
    <w:rsid w:val="2C0F118C"/>
    <w:rsid w:val="2C112DD7"/>
    <w:rsid w:val="2C1E2BEA"/>
    <w:rsid w:val="2C224E76"/>
    <w:rsid w:val="2C2B4843"/>
    <w:rsid w:val="2C307730"/>
    <w:rsid w:val="2C3C1D87"/>
    <w:rsid w:val="2C48684D"/>
    <w:rsid w:val="2C5B2459"/>
    <w:rsid w:val="2C5E4AA9"/>
    <w:rsid w:val="2C7E0BC0"/>
    <w:rsid w:val="2C7E1F45"/>
    <w:rsid w:val="2C8B7210"/>
    <w:rsid w:val="2C8D4ED7"/>
    <w:rsid w:val="2C9C5293"/>
    <w:rsid w:val="2CA41129"/>
    <w:rsid w:val="2CA66E8B"/>
    <w:rsid w:val="2CB07C71"/>
    <w:rsid w:val="2CB76957"/>
    <w:rsid w:val="2CCD6301"/>
    <w:rsid w:val="2CD2087F"/>
    <w:rsid w:val="2CDA6278"/>
    <w:rsid w:val="2CDB168A"/>
    <w:rsid w:val="2CFC08AD"/>
    <w:rsid w:val="2D037E9E"/>
    <w:rsid w:val="2D064692"/>
    <w:rsid w:val="2D107472"/>
    <w:rsid w:val="2D1A1B80"/>
    <w:rsid w:val="2D1A6BB2"/>
    <w:rsid w:val="2D205228"/>
    <w:rsid w:val="2D2373D7"/>
    <w:rsid w:val="2D532240"/>
    <w:rsid w:val="2D5A26C1"/>
    <w:rsid w:val="2D7B70F2"/>
    <w:rsid w:val="2D865531"/>
    <w:rsid w:val="2D8E0644"/>
    <w:rsid w:val="2D9A0087"/>
    <w:rsid w:val="2DAB20F0"/>
    <w:rsid w:val="2DAE1EE0"/>
    <w:rsid w:val="2DB216A2"/>
    <w:rsid w:val="2DB570E4"/>
    <w:rsid w:val="2DC04AF6"/>
    <w:rsid w:val="2DC4139D"/>
    <w:rsid w:val="2DE57A0C"/>
    <w:rsid w:val="2DE860A7"/>
    <w:rsid w:val="2DF27413"/>
    <w:rsid w:val="2DF71550"/>
    <w:rsid w:val="2E0A0193"/>
    <w:rsid w:val="2E2910A8"/>
    <w:rsid w:val="2E36503E"/>
    <w:rsid w:val="2E586C4D"/>
    <w:rsid w:val="2E5E057B"/>
    <w:rsid w:val="2E676730"/>
    <w:rsid w:val="2E6B1092"/>
    <w:rsid w:val="2E6D6EA4"/>
    <w:rsid w:val="2E6F1DD6"/>
    <w:rsid w:val="2E7473FA"/>
    <w:rsid w:val="2E7702B7"/>
    <w:rsid w:val="2E834725"/>
    <w:rsid w:val="2E902B33"/>
    <w:rsid w:val="2E931689"/>
    <w:rsid w:val="2E961EB2"/>
    <w:rsid w:val="2EAE4706"/>
    <w:rsid w:val="2ED12014"/>
    <w:rsid w:val="2EE33693"/>
    <w:rsid w:val="2EF5389F"/>
    <w:rsid w:val="2F0F63A1"/>
    <w:rsid w:val="2F103E64"/>
    <w:rsid w:val="2F180ADD"/>
    <w:rsid w:val="2F305726"/>
    <w:rsid w:val="2F401AB3"/>
    <w:rsid w:val="2F4C6BC0"/>
    <w:rsid w:val="2F6C71D2"/>
    <w:rsid w:val="2F7A2A1B"/>
    <w:rsid w:val="2F8121A3"/>
    <w:rsid w:val="2F8D1663"/>
    <w:rsid w:val="2FB7708B"/>
    <w:rsid w:val="2FBD4E17"/>
    <w:rsid w:val="2FDC6BC0"/>
    <w:rsid w:val="2FDE3BE6"/>
    <w:rsid w:val="2FE55892"/>
    <w:rsid w:val="30006926"/>
    <w:rsid w:val="30047716"/>
    <w:rsid w:val="30142C3D"/>
    <w:rsid w:val="301854C7"/>
    <w:rsid w:val="301A093B"/>
    <w:rsid w:val="301E2D80"/>
    <w:rsid w:val="3039642A"/>
    <w:rsid w:val="303D78B3"/>
    <w:rsid w:val="304B3BCD"/>
    <w:rsid w:val="306407F7"/>
    <w:rsid w:val="306806EC"/>
    <w:rsid w:val="30765568"/>
    <w:rsid w:val="307F0189"/>
    <w:rsid w:val="3086767A"/>
    <w:rsid w:val="30874590"/>
    <w:rsid w:val="308A767C"/>
    <w:rsid w:val="309628FA"/>
    <w:rsid w:val="30A23310"/>
    <w:rsid w:val="30B12B3E"/>
    <w:rsid w:val="30E05DB7"/>
    <w:rsid w:val="30FE7148"/>
    <w:rsid w:val="310439BF"/>
    <w:rsid w:val="311233CA"/>
    <w:rsid w:val="311A26DD"/>
    <w:rsid w:val="312266A8"/>
    <w:rsid w:val="312638F4"/>
    <w:rsid w:val="312A3BE5"/>
    <w:rsid w:val="312D2C69"/>
    <w:rsid w:val="31384276"/>
    <w:rsid w:val="313C6A96"/>
    <w:rsid w:val="313F055B"/>
    <w:rsid w:val="31427BA5"/>
    <w:rsid w:val="314B4976"/>
    <w:rsid w:val="31537462"/>
    <w:rsid w:val="3157219A"/>
    <w:rsid w:val="31582064"/>
    <w:rsid w:val="3184730D"/>
    <w:rsid w:val="318A660D"/>
    <w:rsid w:val="318B37DC"/>
    <w:rsid w:val="3190086A"/>
    <w:rsid w:val="31A42987"/>
    <w:rsid w:val="31AC5953"/>
    <w:rsid w:val="31C7079A"/>
    <w:rsid w:val="31CA3B15"/>
    <w:rsid w:val="31CC06B2"/>
    <w:rsid w:val="31CF55C7"/>
    <w:rsid w:val="31D6412E"/>
    <w:rsid w:val="31E32E98"/>
    <w:rsid w:val="31E61CC9"/>
    <w:rsid w:val="31FB7B00"/>
    <w:rsid w:val="31FD1052"/>
    <w:rsid w:val="320C1C66"/>
    <w:rsid w:val="323C2EE2"/>
    <w:rsid w:val="325078C3"/>
    <w:rsid w:val="3254566A"/>
    <w:rsid w:val="325F6D49"/>
    <w:rsid w:val="32670E7E"/>
    <w:rsid w:val="32AB2033"/>
    <w:rsid w:val="32B10BB4"/>
    <w:rsid w:val="32B73B4E"/>
    <w:rsid w:val="32BA1118"/>
    <w:rsid w:val="32E75F9D"/>
    <w:rsid w:val="32FE78CD"/>
    <w:rsid w:val="33055267"/>
    <w:rsid w:val="334077D6"/>
    <w:rsid w:val="33514A65"/>
    <w:rsid w:val="33783188"/>
    <w:rsid w:val="33813E1B"/>
    <w:rsid w:val="338A2CD3"/>
    <w:rsid w:val="33A84A82"/>
    <w:rsid w:val="33AB32FB"/>
    <w:rsid w:val="33AF743B"/>
    <w:rsid w:val="33B363A4"/>
    <w:rsid w:val="33C55B79"/>
    <w:rsid w:val="33CB6571"/>
    <w:rsid w:val="33D07886"/>
    <w:rsid w:val="33DF31F3"/>
    <w:rsid w:val="33EA00C8"/>
    <w:rsid w:val="33F36F04"/>
    <w:rsid w:val="33F92FF0"/>
    <w:rsid w:val="33FB42C9"/>
    <w:rsid w:val="3415409D"/>
    <w:rsid w:val="34182669"/>
    <w:rsid w:val="341A46EF"/>
    <w:rsid w:val="341B57BD"/>
    <w:rsid w:val="3429480E"/>
    <w:rsid w:val="342C6398"/>
    <w:rsid w:val="34311BBC"/>
    <w:rsid w:val="343E6C73"/>
    <w:rsid w:val="345441AA"/>
    <w:rsid w:val="345B309A"/>
    <w:rsid w:val="34710F42"/>
    <w:rsid w:val="347504FB"/>
    <w:rsid w:val="34762233"/>
    <w:rsid w:val="34A80DD8"/>
    <w:rsid w:val="34AC00AC"/>
    <w:rsid w:val="34B81D13"/>
    <w:rsid w:val="34C50941"/>
    <w:rsid w:val="34DE2B65"/>
    <w:rsid w:val="34E212BB"/>
    <w:rsid w:val="34FD5221"/>
    <w:rsid w:val="34FF1008"/>
    <w:rsid w:val="350431E4"/>
    <w:rsid w:val="3506157E"/>
    <w:rsid w:val="350F586B"/>
    <w:rsid w:val="351B03FD"/>
    <w:rsid w:val="35327105"/>
    <w:rsid w:val="35327C60"/>
    <w:rsid w:val="353553CE"/>
    <w:rsid w:val="3546454C"/>
    <w:rsid w:val="354B3A0E"/>
    <w:rsid w:val="358126B3"/>
    <w:rsid w:val="3587373E"/>
    <w:rsid w:val="35950B7B"/>
    <w:rsid w:val="35C61628"/>
    <w:rsid w:val="35C64BD6"/>
    <w:rsid w:val="35D81675"/>
    <w:rsid w:val="35DE3D90"/>
    <w:rsid w:val="35DE3EDC"/>
    <w:rsid w:val="35E8068B"/>
    <w:rsid w:val="35EF020C"/>
    <w:rsid w:val="35F557CA"/>
    <w:rsid w:val="360C38A1"/>
    <w:rsid w:val="362C5657"/>
    <w:rsid w:val="362F2E54"/>
    <w:rsid w:val="36327B96"/>
    <w:rsid w:val="3640722D"/>
    <w:rsid w:val="3655762A"/>
    <w:rsid w:val="365D1CFB"/>
    <w:rsid w:val="366D09C8"/>
    <w:rsid w:val="366E1A24"/>
    <w:rsid w:val="368027B9"/>
    <w:rsid w:val="36803608"/>
    <w:rsid w:val="368A19C8"/>
    <w:rsid w:val="369A6338"/>
    <w:rsid w:val="369C4E87"/>
    <w:rsid w:val="36C1704B"/>
    <w:rsid w:val="36DB6EBF"/>
    <w:rsid w:val="36E37B65"/>
    <w:rsid w:val="36E72EFE"/>
    <w:rsid w:val="36F43543"/>
    <w:rsid w:val="36FD22C9"/>
    <w:rsid w:val="3704091F"/>
    <w:rsid w:val="370E3110"/>
    <w:rsid w:val="37124524"/>
    <w:rsid w:val="371D07D6"/>
    <w:rsid w:val="371F6467"/>
    <w:rsid w:val="37340823"/>
    <w:rsid w:val="374E19E6"/>
    <w:rsid w:val="374F352C"/>
    <w:rsid w:val="37513217"/>
    <w:rsid w:val="37722A51"/>
    <w:rsid w:val="3785542A"/>
    <w:rsid w:val="37A10224"/>
    <w:rsid w:val="37CA78C3"/>
    <w:rsid w:val="37D219F5"/>
    <w:rsid w:val="37D4189C"/>
    <w:rsid w:val="37FB47BC"/>
    <w:rsid w:val="37FB620F"/>
    <w:rsid w:val="38010CF1"/>
    <w:rsid w:val="3807398C"/>
    <w:rsid w:val="38197504"/>
    <w:rsid w:val="382001E4"/>
    <w:rsid w:val="38255868"/>
    <w:rsid w:val="382E2B70"/>
    <w:rsid w:val="385A15F7"/>
    <w:rsid w:val="3860281B"/>
    <w:rsid w:val="38622A27"/>
    <w:rsid w:val="38681AAC"/>
    <w:rsid w:val="38744EAA"/>
    <w:rsid w:val="3874600D"/>
    <w:rsid w:val="387A53EC"/>
    <w:rsid w:val="389B06D1"/>
    <w:rsid w:val="389D0CB7"/>
    <w:rsid w:val="38A15E18"/>
    <w:rsid w:val="38A52DC2"/>
    <w:rsid w:val="38C5135C"/>
    <w:rsid w:val="38C62F31"/>
    <w:rsid w:val="38C63E31"/>
    <w:rsid w:val="38DA0183"/>
    <w:rsid w:val="38DB5A89"/>
    <w:rsid w:val="38E33C94"/>
    <w:rsid w:val="38E41217"/>
    <w:rsid w:val="38F222E7"/>
    <w:rsid w:val="390072A7"/>
    <w:rsid w:val="39095C27"/>
    <w:rsid w:val="392B471B"/>
    <w:rsid w:val="39377153"/>
    <w:rsid w:val="3959135D"/>
    <w:rsid w:val="395C149B"/>
    <w:rsid w:val="3994027E"/>
    <w:rsid w:val="399A034C"/>
    <w:rsid w:val="39A85282"/>
    <w:rsid w:val="39D71FDD"/>
    <w:rsid w:val="39F419F5"/>
    <w:rsid w:val="3A370BE1"/>
    <w:rsid w:val="3A3A522E"/>
    <w:rsid w:val="3A58514F"/>
    <w:rsid w:val="3A705F48"/>
    <w:rsid w:val="3A7332B3"/>
    <w:rsid w:val="3A7D6D00"/>
    <w:rsid w:val="3A84077D"/>
    <w:rsid w:val="3A8E0663"/>
    <w:rsid w:val="3A8F272C"/>
    <w:rsid w:val="3AAF6E28"/>
    <w:rsid w:val="3AD4074A"/>
    <w:rsid w:val="3AD60CB5"/>
    <w:rsid w:val="3AE854CD"/>
    <w:rsid w:val="3AF04727"/>
    <w:rsid w:val="3B183BC5"/>
    <w:rsid w:val="3B27493B"/>
    <w:rsid w:val="3B5A5DE7"/>
    <w:rsid w:val="3B630E57"/>
    <w:rsid w:val="3B6834F9"/>
    <w:rsid w:val="3B6A410F"/>
    <w:rsid w:val="3B6A5901"/>
    <w:rsid w:val="3B6B0CB2"/>
    <w:rsid w:val="3B795FAB"/>
    <w:rsid w:val="3B7F7B7B"/>
    <w:rsid w:val="3B8D65EF"/>
    <w:rsid w:val="3BB85A02"/>
    <w:rsid w:val="3BCB1A25"/>
    <w:rsid w:val="3BCE0A3F"/>
    <w:rsid w:val="3BEA5F66"/>
    <w:rsid w:val="3BFD2A2D"/>
    <w:rsid w:val="3BFE7B13"/>
    <w:rsid w:val="3C0A15CC"/>
    <w:rsid w:val="3C2C7542"/>
    <w:rsid w:val="3C2D2EF0"/>
    <w:rsid w:val="3C2E74AD"/>
    <w:rsid w:val="3C3B23AD"/>
    <w:rsid w:val="3C5552E7"/>
    <w:rsid w:val="3C5C72EF"/>
    <w:rsid w:val="3C5F14F6"/>
    <w:rsid w:val="3C6F1CF2"/>
    <w:rsid w:val="3C922165"/>
    <w:rsid w:val="3C982A91"/>
    <w:rsid w:val="3C9A59E0"/>
    <w:rsid w:val="3C9B2E5B"/>
    <w:rsid w:val="3C9C1527"/>
    <w:rsid w:val="3CAA4737"/>
    <w:rsid w:val="3CB06817"/>
    <w:rsid w:val="3CB2505C"/>
    <w:rsid w:val="3CB47CD1"/>
    <w:rsid w:val="3CB95F6F"/>
    <w:rsid w:val="3CD137CC"/>
    <w:rsid w:val="3CE34E49"/>
    <w:rsid w:val="3CF71A54"/>
    <w:rsid w:val="3CF74149"/>
    <w:rsid w:val="3CFC363A"/>
    <w:rsid w:val="3CFD0978"/>
    <w:rsid w:val="3D0B50BE"/>
    <w:rsid w:val="3D0D2D86"/>
    <w:rsid w:val="3D135DDE"/>
    <w:rsid w:val="3D2277D3"/>
    <w:rsid w:val="3D246BBA"/>
    <w:rsid w:val="3D2516D4"/>
    <w:rsid w:val="3D4A58D3"/>
    <w:rsid w:val="3D4C1DE6"/>
    <w:rsid w:val="3D5157B5"/>
    <w:rsid w:val="3D52093E"/>
    <w:rsid w:val="3D571977"/>
    <w:rsid w:val="3D6622B7"/>
    <w:rsid w:val="3D894330"/>
    <w:rsid w:val="3D8A1B49"/>
    <w:rsid w:val="3D90319D"/>
    <w:rsid w:val="3DA61154"/>
    <w:rsid w:val="3DA76198"/>
    <w:rsid w:val="3DB17BFD"/>
    <w:rsid w:val="3DB37915"/>
    <w:rsid w:val="3DB94F14"/>
    <w:rsid w:val="3DBD7257"/>
    <w:rsid w:val="3DBF7A9E"/>
    <w:rsid w:val="3DD27332"/>
    <w:rsid w:val="3DD429EA"/>
    <w:rsid w:val="3DE313AA"/>
    <w:rsid w:val="3DEC5E60"/>
    <w:rsid w:val="3DF77BA7"/>
    <w:rsid w:val="3E007E9A"/>
    <w:rsid w:val="3E115056"/>
    <w:rsid w:val="3E126E7F"/>
    <w:rsid w:val="3E16058D"/>
    <w:rsid w:val="3E3C3FD7"/>
    <w:rsid w:val="3E3E2B6E"/>
    <w:rsid w:val="3E4B2231"/>
    <w:rsid w:val="3E503FFB"/>
    <w:rsid w:val="3E5F37B6"/>
    <w:rsid w:val="3E63596A"/>
    <w:rsid w:val="3E645798"/>
    <w:rsid w:val="3E654151"/>
    <w:rsid w:val="3E676D4F"/>
    <w:rsid w:val="3E777F0C"/>
    <w:rsid w:val="3E793139"/>
    <w:rsid w:val="3E7D5DEE"/>
    <w:rsid w:val="3E84238A"/>
    <w:rsid w:val="3EAA0088"/>
    <w:rsid w:val="3EB26E7C"/>
    <w:rsid w:val="3EB50744"/>
    <w:rsid w:val="3ECB5751"/>
    <w:rsid w:val="3EDC7349"/>
    <w:rsid w:val="3EDD18ED"/>
    <w:rsid w:val="3EEC5300"/>
    <w:rsid w:val="3F070790"/>
    <w:rsid w:val="3F0A3490"/>
    <w:rsid w:val="3F2A2ACC"/>
    <w:rsid w:val="3F3E1663"/>
    <w:rsid w:val="3F4079CC"/>
    <w:rsid w:val="3F476D45"/>
    <w:rsid w:val="3F501F97"/>
    <w:rsid w:val="3F884451"/>
    <w:rsid w:val="3F8F3565"/>
    <w:rsid w:val="3FA23E29"/>
    <w:rsid w:val="3FA41F8C"/>
    <w:rsid w:val="3FBD670F"/>
    <w:rsid w:val="3FCF6EC0"/>
    <w:rsid w:val="3FD17178"/>
    <w:rsid w:val="3FE201D1"/>
    <w:rsid w:val="3FE37619"/>
    <w:rsid w:val="3FF903A7"/>
    <w:rsid w:val="3FFA397E"/>
    <w:rsid w:val="40033737"/>
    <w:rsid w:val="401123BF"/>
    <w:rsid w:val="40161181"/>
    <w:rsid w:val="40165382"/>
    <w:rsid w:val="401A49A0"/>
    <w:rsid w:val="401F765E"/>
    <w:rsid w:val="403F12D1"/>
    <w:rsid w:val="40632481"/>
    <w:rsid w:val="40677A1E"/>
    <w:rsid w:val="40693A4F"/>
    <w:rsid w:val="40853EC6"/>
    <w:rsid w:val="408560B8"/>
    <w:rsid w:val="40B711BD"/>
    <w:rsid w:val="40BB002A"/>
    <w:rsid w:val="40C37D15"/>
    <w:rsid w:val="40C53710"/>
    <w:rsid w:val="40E41986"/>
    <w:rsid w:val="40F633C6"/>
    <w:rsid w:val="410A1390"/>
    <w:rsid w:val="4136045A"/>
    <w:rsid w:val="4141012D"/>
    <w:rsid w:val="41534BBC"/>
    <w:rsid w:val="41565877"/>
    <w:rsid w:val="41624B6B"/>
    <w:rsid w:val="41636731"/>
    <w:rsid w:val="41644149"/>
    <w:rsid w:val="416B7304"/>
    <w:rsid w:val="41731201"/>
    <w:rsid w:val="41902CF5"/>
    <w:rsid w:val="41963A7A"/>
    <w:rsid w:val="41A11727"/>
    <w:rsid w:val="41B6100E"/>
    <w:rsid w:val="41CF49E5"/>
    <w:rsid w:val="41DF4CDC"/>
    <w:rsid w:val="41E00870"/>
    <w:rsid w:val="41F03163"/>
    <w:rsid w:val="42057811"/>
    <w:rsid w:val="42061626"/>
    <w:rsid w:val="420E1D6F"/>
    <w:rsid w:val="421E73CD"/>
    <w:rsid w:val="4263334B"/>
    <w:rsid w:val="42701DCD"/>
    <w:rsid w:val="427211D7"/>
    <w:rsid w:val="42730287"/>
    <w:rsid w:val="42895C4F"/>
    <w:rsid w:val="428E7E6D"/>
    <w:rsid w:val="428F4836"/>
    <w:rsid w:val="42BC022A"/>
    <w:rsid w:val="42D12604"/>
    <w:rsid w:val="42EB6A64"/>
    <w:rsid w:val="42EE528D"/>
    <w:rsid w:val="42F01266"/>
    <w:rsid w:val="43054D44"/>
    <w:rsid w:val="43155E6D"/>
    <w:rsid w:val="4316035C"/>
    <w:rsid w:val="43344682"/>
    <w:rsid w:val="43372578"/>
    <w:rsid w:val="433E3FD0"/>
    <w:rsid w:val="434E7F26"/>
    <w:rsid w:val="434F47FD"/>
    <w:rsid w:val="43602811"/>
    <w:rsid w:val="436B2E25"/>
    <w:rsid w:val="436C7B49"/>
    <w:rsid w:val="437909C6"/>
    <w:rsid w:val="438305CE"/>
    <w:rsid w:val="43835125"/>
    <w:rsid w:val="439F255A"/>
    <w:rsid w:val="43C60265"/>
    <w:rsid w:val="43CA1B59"/>
    <w:rsid w:val="43D34586"/>
    <w:rsid w:val="43E0609D"/>
    <w:rsid w:val="43E76EFF"/>
    <w:rsid w:val="43EF466F"/>
    <w:rsid w:val="43F05907"/>
    <w:rsid w:val="43F71BF5"/>
    <w:rsid w:val="43FC3C3E"/>
    <w:rsid w:val="441827AB"/>
    <w:rsid w:val="441A2BEA"/>
    <w:rsid w:val="442D2604"/>
    <w:rsid w:val="443104AC"/>
    <w:rsid w:val="44321208"/>
    <w:rsid w:val="44374EAF"/>
    <w:rsid w:val="44396B3B"/>
    <w:rsid w:val="444227FB"/>
    <w:rsid w:val="44480908"/>
    <w:rsid w:val="444A5B70"/>
    <w:rsid w:val="444B166D"/>
    <w:rsid w:val="44567104"/>
    <w:rsid w:val="446258CF"/>
    <w:rsid w:val="44667A51"/>
    <w:rsid w:val="44705E02"/>
    <w:rsid w:val="447F3E3A"/>
    <w:rsid w:val="44901C35"/>
    <w:rsid w:val="449532E5"/>
    <w:rsid w:val="449C5E2A"/>
    <w:rsid w:val="44B15D4E"/>
    <w:rsid w:val="44E22510"/>
    <w:rsid w:val="44FB4265"/>
    <w:rsid w:val="450013D6"/>
    <w:rsid w:val="450567B8"/>
    <w:rsid w:val="45143963"/>
    <w:rsid w:val="451C5275"/>
    <w:rsid w:val="45461C8D"/>
    <w:rsid w:val="457104F3"/>
    <w:rsid w:val="45837040"/>
    <w:rsid w:val="458F3207"/>
    <w:rsid w:val="45905A94"/>
    <w:rsid w:val="459B16C3"/>
    <w:rsid w:val="45AB771B"/>
    <w:rsid w:val="45B65B33"/>
    <w:rsid w:val="45BA268D"/>
    <w:rsid w:val="45C544D2"/>
    <w:rsid w:val="45F84F22"/>
    <w:rsid w:val="45F8689F"/>
    <w:rsid w:val="460F0CA6"/>
    <w:rsid w:val="461638A5"/>
    <w:rsid w:val="463B2F2D"/>
    <w:rsid w:val="463B7D4E"/>
    <w:rsid w:val="464353A0"/>
    <w:rsid w:val="46474AF2"/>
    <w:rsid w:val="465A56CD"/>
    <w:rsid w:val="465B3AEE"/>
    <w:rsid w:val="465F483F"/>
    <w:rsid w:val="466F126D"/>
    <w:rsid w:val="467C4BD5"/>
    <w:rsid w:val="46827312"/>
    <w:rsid w:val="468508EB"/>
    <w:rsid w:val="46A33A54"/>
    <w:rsid w:val="46AD7B21"/>
    <w:rsid w:val="46C77950"/>
    <w:rsid w:val="46D6194F"/>
    <w:rsid w:val="46D946B3"/>
    <w:rsid w:val="46E81ABD"/>
    <w:rsid w:val="46F623EA"/>
    <w:rsid w:val="46F8548D"/>
    <w:rsid w:val="470E649C"/>
    <w:rsid w:val="4726150F"/>
    <w:rsid w:val="472812E1"/>
    <w:rsid w:val="4736550E"/>
    <w:rsid w:val="474919D7"/>
    <w:rsid w:val="475E50A0"/>
    <w:rsid w:val="47713FCB"/>
    <w:rsid w:val="47767650"/>
    <w:rsid w:val="47792797"/>
    <w:rsid w:val="47A23D53"/>
    <w:rsid w:val="47BB3AA9"/>
    <w:rsid w:val="47BC7016"/>
    <w:rsid w:val="47C01881"/>
    <w:rsid w:val="47C13F54"/>
    <w:rsid w:val="47C647E3"/>
    <w:rsid w:val="47D001FD"/>
    <w:rsid w:val="47D0516E"/>
    <w:rsid w:val="47D45E55"/>
    <w:rsid w:val="47D96758"/>
    <w:rsid w:val="47DE619B"/>
    <w:rsid w:val="47E0441C"/>
    <w:rsid w:val="47ED432C"/>
    <w:rsid w:val="47F26052"/>
    <w:rsid w:val="47FB3D37"/>
    <w:rsid w:val="480B3A6C"/>
    <w:rsid w:val="481559D5"/>
    <w:rsid w:val="48171EAE"/>
    <w:rsid w:val="482D7AD2"/>
    <w:rsid w:val="483943EA"/>
    <w:rsid w:val="484A46CF"/>
    <w:rsid w:val="48832F68"/>
    <w:rsid w:val="48842050"/>
    <w:rsid w:val="488C64BB"/>
    <w:rsid w:val="48993AB7"/>
    <w:rsid w:val="48A5501D"/>
    <w:rsid w:val="48D227AD"/>
    <w:rsid w:val="48D27197"/>
    <w:rsid w:val="49007642"/>
    <w:rsid w:val="49042F9D"/>
    <w:rsid w:val="491E7D90"/>
    <w:rsid w:val="491F4296"/>
    <w:rsid w:val="492966AE"/>
    <w:rsid w:val="493E0541"/>
    <w:rsid w:val="4951648C"/>
    <w:rsid w:val="495E361F"/>
    <w:rsid w:val="496C16E4"/>
    <w:rsid w:val="496D29E5"/>
    <w:rsid w:val="49702E8A"/>
    <w:rsid w:val="4977236F"/>
    <w:rsid w:val="498456E2"/>
    <w:rsid w:val="498B4179"/>
    <w:rsid w:val="498F263A"/>
    <w:rsid w:val="49A12FC0"/>
    <w:rsid w:val="49A66B9D"/>
    <w:rsid w:val="49AA2768"/>
    <w:rsid w:val="49CA2833"/>
    <w:rsid w:val="49DB7CE6"/>
    <w:rsid w:val="49E2105A"/>
    <w:rsid w:val="49E74747"/>
    <w:rsid w:val="49FA3FC9"/>
    <w:rsid w:val="4A052699"/>
    <w:rsid w:val="4A434DFA"/>
    <w:rsid w:val="4A4A3B7C"/>
    <w:rsid w:val="4A4F2FA3"/>
    <w:rsid w:val="4A5A1BC5"/>
    <w:rsid w:val="4A5A74C2"/>
    <w:rsid w:val="4A682968"/>
    <w:rsid w:val="4A771B23"/>
    <w:rsid w:val="4A8420DF"/>
    <w:rsid w:val="4A8A2A90"/>
    <w:rsid w:val="4A936107"/>
    <w:rsid w:val="4AB43E55"/>
    <w:rsid w:val="4AB81B19"/>
    <w:rsid w:val="4AC24F05"/>
    <w:rsid w:val="4ACB5057"/>
    <w:rsid w:val="4ACC1540"/>
    <w:rsid w:val="4ACE7E17"/>
    <w:rsid w:val="4ADA4F07"/>
    <w:rsid w:val="4ADE6684"/>
    <w:rsid w:val="4AE56B8D"/>
    <w:rsid w:val="4AEE744E"/>
    <w:rsid w:val="4AF866E4"/>
    <w:rsid w:val="4B027A04"/>
    <w:rsid w:val="4B0755D9"/>
    <w:rsid w:val="4B0A2DEA"/>
    <w:rsid w:val="4B0B4A79"/>
    <w:rsid w:val="4B236C4A"/>
    <w:rsid w:val="4B2C3D4F"/>
    <w:rsid w:val="4B32651F"/>
    <w:rsid w:val="4B5D4C87"/>
    <w:rsid w:val="4B6116D4"/>
    <w:rsid w:val="4B6A0A03"/>
    <w:rsid w:val="4B8076E8"/>
    <w:rsid w:val="4B8D28F2"/>
    <w:rsid w:val="4B94610E"/>
    <w:rsid w:val="4B9E7242"/>
    <w:rsid w:val="4BA76324"/>
    <w:rsid w:val="4BA810CF"/>
    <w:rsid w:val="4BBD275F"/>
    <w:rsid w:val="4BC002DE"/>
    <w:rsid w:val="4BC0650D"/>
    <w:rsid w:val="4BE611BF"/>
    <w:rsid w:val="4BF13768"/>
    <w:rsid w:val="4C10172A"/>
    <w:rsid w:val="4C194D2D"/>
    <w:rsid w:val="4C196145"/>
    <w:rsid w:val="4C5E4146"/>
    <w:rsid w:val="4C644A91"/>
    <w:rsid w:val="4C732C27"/>
    <w:rsid w:val="4C7845FA"/>
    <w:rsid w:val="4C8A1D78"/>
    <w:rsid w:val="4C8A740F"/>
    <w:rsid w:val="4C9E7516"/>
    <w:rsid w:val="4CA06109"/>
    <w:rsid w:val="4CAA5AE0"/>
    <w:rsid w:val="4CAD2ED0"/>
    <w:rsid w:val="4CB25A8D"/>
    <w:rsid w:val="4CC53A0A"/>
    <w:rsid w:val="4CE37F9E"/>
    <w:rsid w:val="4CE7596E"/>
    <w:rsid w:val="4CEE63D4"/>
    <w:rsid w:val="4CF60623"/>
    <w:rsid w:val="4CF84674"/>
    <w:rsid w:val="4D0020CA"/>
    <w:rsid w:val="4D151661"/>
    <w:rsid w:val="4D17345C"/>
    <w:rsid w:val="4D3330EB"/>
    <w:rsid w:val="4D341FD9"/>
    <w:rsid w:val="4D526393"/>
    <w:rsid w:val="4D611D91"/>
    <w:rsid w:val="4D652DC0"/>
    <w:rsid w:val="4D671849"/>
    <w:rsid w:val="4D6955EE"/>
    <w:rsid w:val="4D745CB5"/>
    <w:rsid w:val="4D75345F"/>
    <w:rsid w:val="4D837126"/>
    <w:rsid w:val="4D8B511B"/>
    <w:rsid w:val="4DC4575A"/>
    <w:rsid w:val="4DD64FE6"/>
    <w:rsid w:val="4DEC7F24"/>
    <w:rsid w:val="4E240C46"/>
    <w:rsid w:val="4E314AC8"/>
    <w:rsid w:val="4E382795"/>
    <w:rsid w:val="4E4A0DD2"/>
    <w:rsid w:val="4E4A2DAE"/>
    <w:rsid w:val="4E5D5049"/>
    <w:rsid w:val="4E892F1E"/>
    <w:rsid w:val="4E986834"/>
    <w:rsid w:val="4E9D106F"/>
    <w:rsid w:val="4EA634DE"/>
    <w:rsid w:val="4EAE25C7"/>
    <w:rsid w:val="4EB87684"/>
    <w:rsid w:val="4ED3642F"/>
    <w:rsid w:val="4ED75A32"/>
    <w:rsid w:val="4EE13F9B"/>
    <w:rsid w:val="4EE449DB"/>
    <w:rsid w:val="4F3311A3"/>
    <w:rsid w:val="4F3342AB"/>
    <w:rsid w:val="4F3A70AC"/>
    <w:rsid w:val="4F4274CC"/>
    <w:rsid w:val="4F433297"/>
    <w:rsid w:val="4F4A48F1"/>
    <w:rsid w:val="4F655111"/>
    <w:rsid w:val="4F792DFF"/>
    <w:rsid w:val="4F862771"/>
    <w:rsid w:val="4FE514FE"/>
    <w:rsid w:val="4FE8464B"/>
    <w:rsid w:val="4FF841AF"/>
    <w:rsid w:val="4FFC18E1"/>
    <w:rsid w:val="500243F7"/>
    <w:rsid w:val="50107AD6"/>
    <w:rsid w:val="50120ADB"/>
    <w:rsid w:val="50123707"/>
    <w:rsid w:val="501E2736"/>
    <w:rsid w:val="503A041C"/>
    <w:rsid w:val="504F74E9"/>
    <w:rsid w:val="505654FA"/>
    <w:rsid w:val="5058479E"/>
    <w:rsid w:val="507E41E3"/>
    <w:rsid w:val="50C5469F"/>
    <w:rsid w:val="50C75179"/>
    <w:rsid w:val="50CB6638"/>
    <w:rsid w:val="50D45950"/>
    <w:rsid w:val="50F0290E"/>
    <w:rsid w:val="50F31830"/>
    <w:rsid w:val="50F95B98"/>
    <w:rsid w:val="51017EFC"/>
    <w:rsid w:val="510D3F62"/>
    <w:rsid w:val="51114555"/>
    <w:rsid w:val="51147FE5"/>
    <w:rsid w:val="5119424A"/>
    <w:rsid w:val="51222A9E"/>
    <w:rsid w:val="514D6748"/>
    <w:rsid w:val="51521076"/>
    <w:rsid w:val="515412D2"/>
    <w:rsid w:val="516E57F9"/>
    <w:rsid w:val="51736390"/>
    <w:rsid w:val="51745763"/>
    <w:rsid w:val="51942294"/>
    <w:rsid w:val="51A44D94"/>
    <w:rsid w:val="51BE4C55"/>
    <w:rsid w:val="52050F13"/>
    <w:rsid w:val="521861CE"/>
    <w:rsid w:val="521A03D0"/>
    <w:rsid w:val="5247373F"/>
    <w:rsid w:val="525B43E7"/>
    <w:rsid w:val="526340B9"/>
    <w:rsid w:val="527C14FB"/>
    <w:rsid w:val="52864557"/>
    <w:rsid w:val="528A520E"/>
    <w:rsid w:val="528F6BC1"/>
    <w:rsid w:val="52980FC9"/>
    <w:rsid w:val="52A35B57"/>
    <w:rsid w:val="52B16F5C"/>
    <w:rsid w:val="52CB1230"/>
    <w:rsid w:val="52CE1D48"/>
    <w:rsid w:val="52CE66B0"/>
    <w:rsid w:val="52E35471"/>
    <w:rsid w:val="52F81BEC"/>
    <w:rsid w:val="53072C88"/>
    <w:rsid w:val="53127BCA"/>
    <w:rsid w:val="53131DB0"/>
    <w:rsid w:val="532F1A99"/>
    <w:rsid w:val="5343405C"/>
    <w:rsid w:val="535C78FC"/>
    <w:rsid w:val="535D0F86"/>
    <w:rsid w:val="535E6D4A"/>
    <w:rsid w:val="536F6104"/>
    <w:rsid w:val="53703FCE"/>
    <w:rsid w:val="537F20D8"/>
    <w:rsid w:val="53887B5D"/>
    <w:rsid w:val="538A7A02"/>
    <w:rsid w:val="538F2A46"/>
    <w:rsid w:val="539352F2"/>
    <w:rsid w:val="53941D46"/>
    <w:rsid w:val="539B7AE1"/>
    <w:rsid w:val="53A133D4"/>
    <w:rsid w:val="53AD58E6"/>
    <w:rsid w:val="53EA2B74"/>
    <w:rsid w:val="53F108B5"/>
    <w:rsid w:val="53FE08D6"/>
    <w:rsid w:val="54107246"/>
    <w:rsid w:val="54224B0B"/>
    <w:rsid w:val="542A6E72"/>
    <w:rsid w:val="542B1D32"/>
    <w:rsid w:val="54381170"/>
    <w:rsid w:val="54490862"/>
    <w:rsid w:val="545258BE"/>
    <w:rsid w:val="545B0088"/>
    <w:rsid w:val="54791636"/>
    <w:rsid w:val="54902236"/>
    <w:rsid w:val="54B671D5"/>
    <w:rsid w:val="54B74F7B"/>
    <w:rsid w:val="54C17724"/>
    <w:rsid w:val="54D32540"/>
    <w:rsid w:val="54DF1541"/>
    <w:rsid w:val="54E038AD"/>
    <w:rsid w:val="54E84DCB"/>
    <w:rsid w:val="54FA7A48"/>
    <w:rsid w:val="550C5CED"/>
    <w:rsid w:val="552026B0"/>
    <w:rsid w:val="55215F5A"/>
    <w:rsid w:val="55283AFA"/>
    <w:rsid w:val="552944F2"/>
    <w:rsid w:val="55342E28"/>
    <w:rsid w:val="55367BD4"/>
    <w:rsid w:val="554358E4"/>
    <w:rsid w:val="55557084"/>
    <w:rsid w:val="55577B7F"/>
    <w:rsid w:val="55646467"/>
    <w:rsid w:val="557729E1"/>
    <w:rsid w:val="5587364C"/>
    <w:rsid w:val="5588473F"/>
    <w:rsid w:val="558C0B67"/>
    <w:rsid w:val="559269F7"/>
    <w:rsid w:val="5598591B"/>
    <w:rsid w:val="559900F2"/>
    <w:rsid w:val="559C342B"/>
    <w:rsid w:val="55A33321"/>
    <w:rsid w:val="55A67780"/>
    <w:rsid w:val="55AF4FB0"/>
    <w:rsid w:val="55C42248"/>
    <w:rsid w:val="55C60E9C"/>
    <w:rsid w:val="55D4635E"/>
    <w:rsid w:val="55D544A7"/>
    <w:rsid w:val="55E7027C"/>
    <w:rsid w:val="55FD2F6F"/>
    <w:rsid w:val="55FD49F0"/>
    <w:rsid w:val="56043AA6"/>
    <w:rsid w:val="56113DBB"/>
    <w:rsid w:val="562115BC"/>
    <w:rsid w:val="56344337"/>
    <w:rsid w:val="563920FE"/>
    <w:rsid w:val="56430FC4"/>
    <w:rsid w:val="56442877"/>
    <w:rsid w:val="564D3BA1"/>
    <w:rsid w:val="56543D16"/>
    <w:rsid w:val="56751A2F"/>
    <w:rsid w:val="567D5125"/>
    <w:rsid w:val="56895415"/>
    <w:rsid w:val="5697486A"/>
    <w:rsid w:val="569A6A2E"/>
    <w:rsid w:val="56AE3D33"/>
    <w:rsid w:val="56B360CD"/>
    <w:rsid w:val="56C234B4"/>
    <w:rsid w:val="56CA1BE4"/>
    <w:rsid w:val="56CC4D0F"/>
    <w:rsid w:val="56D12348"/>
    <w:rsid w:val="56D81F7F"/>
    <w:rsid w:val="56EE2A70"/>
    <w:rsid w:val="56FC67D9"/>
    <w:rsid w:val="57315B7B"/>
    <w:rsid w:val="57327511"/>
    <w:rsid w:val="57490667"/>
    <w:rsid w:val="576114D4"/>
    <w:rsid w:val="577033D0"/>
    <w:rsid w:val="577F1FB1"/>
    <w:rsid w:val="57837AF8"/>
    <w:rsid w:val="57845FB9"/>
    <w:rsid w:val="578C759A"/>
    <w:rsid w:val="57B912B0"/>
    <w:rsid w:val="57B93A25"/>
    <w:rsid w:val="57C273B4"/>
    <w:rsid w:val="57C411CC"/>
    <w:rsid w:val="57D80F3A"/>
    <w:rsid w:val="57FA3806"/>
    <w:rsid w:val="580E6766"/>
    <w:rsid w:val="581063CC"/>
    <w:rsid w:val="58126726"/>
    <w:rsid w:val="581B5F7A"/>
    <w:rsid w:val="58202F74"/>
    <w:rsid w:val="583C3013"/>
    <w:rsid w:val="5853578F"/>
    <w:rsid w:val="58697E33"/>
    <w:rsid w:val="588270F5"/>
    <w:rsid w:val="588301FA"/>
    <w:rsid w:val="588E0AA3"/>
    <w:rsid w:val="58905062"/>
    <w:rsid w:val="58991A35"/>
    <w:rsid w:val="58B35E8D"/>
    <w:rsid w:val="58DA38B3"/>
    <w:rsid w:val="59136660"/>
    <w:rsid w:val="59440392"/>
    <w:rsid w:val="59593EF5"/>
    <w:rsid w:val="596D662A"/>
    <w:rsid w:val="59717755"/>
    <w:rsid w:val="597E0019"/>
    <w:rsid w:val="599E0B55"/>
    <w:rsid w:val="59A11E8D"/>
    <w:rsid w:val="59AB60BB"/>
    <w:rsid w:val="59C135F8"/>
    <w:rsid w:val="59DF35B5"/>
    <w:rsid w:val="59E21D1B"/>
    <w:rsid w:val="59E252AB"/>
    <w:rsid w:val="59FD520C"/>
    <w:rsid w:val="5A036F49"/>
    <w:rsid w:val="5A0F77B2"/>
    <w:rsid w:val="5A2D3F4B"/>
    <w:rsid w:val="5A4079A6"/>
    <w:rsid w:val="5A450EC6"/>
    <w:rsid w:val="5A4909EE"/>
    <w:rsid w:val="5A4A3CD1"/>
    <w:rsid w:val="5A591678"/>
    <w:rsid w:val="5A5A6468"/>
    <w:rsid w:val="5A5E06F0"/>
    <w:rsid w:val="5A674C5E"/>
    <w:rsid w:val="5A786941"/>
    <w:rsid w:val="5A905A34"/>
    <w:rsid w:val="5A915F5A"/>
    <w:rsid w:val="5A9356CC"/>
    <w:rsid w:val="5A9430C7"/>
    <w:rsid w:val="5AC05587"/>
    <w:rsid w:val="5AC67D11"/>
    <w:rsid w:val="5ADC7744"/>
    <w:rsid w:val="5AFB658F"/>
    <w:rsid w:val="5B01554C"/>
    <w:rsid w:val="5B050CB1"/>
    <w:rsid w:val="5B0B37A0"/>
    <w:rsid w:val="5B132537"/>
    <w:rsid w:val="5B381278"/>
    <w:rsid w:val="5B4602A7"/>
    <w:rsid w:val="5B53300A"/>
    <w:rsid w:val="5B550836"/>
    <w:rsid w:val="5B8139AF"/>
    <w:rsid w:val="5B824DD7"/>
    <w:rsid w:val="5B8876D3"/>
    <w:rsid w:val="5B8C041E"/>
    <w:rsid w:val="5B8F1F00"/>
    <w:rsid w:val="5B930650"/>
    <w:rsid w:val="5B9774F3"/>
    <w:rsid w:val="5BA901EB"/>
    <w:rsid w:val="5BAE3E5C"/>
    <w:rsid w:val="5BB5161E"/>
    <w:rsid w:val="5BDD7B63"/>
    <w:rsid w:val="5BF07248"/>
    <w:rsid w:val="5BF72C25"/>
    <w:rsid w:val="5C0411A2"/>
    <w:rsid w:val="5C0A7944"/>
    <w:rsid w:val="5C0E73F4"/>
    <w:rsid w:val="5C196C9E"/>
    <w:rsid w:val="5C2817C2"/>
    <w:rsid w:val="5C2E0487"/>
    <w:rsid w:val="5C362BA4"/>
    <w:rsid w:val="5C37074B"/>
    <w:rsid w:val="5C54043C"/>
    <w:rsid w:val="5C7341D7"/>
    <w:rsid w:val="5C7A6F0F"/>
    <w:rsid w:val="5C7D17CB"/>
    <w:rsid w:val="5C9D4F58"/>
    <w:rsid w:val="5CA73931"/>
    <w:rsid w:val="5CBA5D74"/>
    <w:rsid w:val="5CC27522"/>
    <w:rsid w:val="5CC33FB6"/>
    <w:rsid w:val="5CC92DEA"/>
    <w:rsid w:val="5CC97939"/>
    <w:rsid w:val="5CCB1B01"/>
    <w:rsid w:val="5CF87142"/>
    <w:rsid w:val="5CFB4A5B"/>
    <w:rsid w:val="5D0A75A0"/>
    <w:rsid w:val="5D154426"/>
    <w:rsid w:val="5D2B38FE"/>
    <w:rsid w:val="5D2E7837"/>
    <w:rsid w:val="5D346CA8"/>
    <w:rsid w:val="5D3B3546"/>
    <w:rsid w:val="5D3E14BE"/>
    <w:rsid w:val="5D417A33"/>
    <w:rsid w:val="5D4C7D5B"/>
    <w:rsid w:val="5D5C714D"/>
    <w:rsid w:val="5D5F0F61"/>
    <w:rsid w:val="5D6C70DD"/>
    <w:rsid w:val="5D864399"/>
    <w:rsid w:val="5D8E1BA6"/>
    <w:rsid w:val="5D8F4EB8"/>
    <w:rsid w:val="5DAE7993"/>
    <w:rsid w:val="5DB52504"/>
    <w:rsid w:val="5DB97F5C"/>
    <w:rsid w:val="5DC74860"/>
    <w:rsid w:val="5DE21846"/>
    <w:rsid w:val="5DF017F9"/>
    <w:rsid w:val="5DF04017"/>
    <w:rsid w:val="5E2B7FA6"/>
    <w:rsid w:val="5E394BF5"/>
    <w:rsid w:val="5E3E672A"/>
    <w:rsid w:val="5E574CD0"/>
    <w:rsid w:val="5E583259"/>
    <w:rsid w:val="5E6249EA"/>
    <w:rsid w:val="5E7A2B68"/>
    <w:rsid w:val="5E7D3DF2"/>
    <w:rsid w:val="5E7E3EDC"/>
    <w:rsid w:val="5E871712"/>
    <w:rsid w:val="5E8F7DC2"/>
    <w:rsid w:val="5E975B1E"/>
    <w:rsid w:val="5E9E3D71"/>
    <w:rsid w:val="5EBB1F04"/>
    <w:rsid w:val="5EC0138D"/>
    <w:rsid w:val="5EDA66F9"/>
    <w:rsid w:val="5EDE6800"/>
    <w:rsid w:val="5EE51B31"/>
    <w:rsid w:val="5EE53EF6"/>
    <w:rsid w:val="5EF165D3"/>
    <w:rsid w:val="5EF203A3"/>
    <w:rsid w:val="5EF36E6F"/>
    <w:rsid w:val="5F073867"/>
    <w:rsid w:val="5F145384"/>
    <w:rsid w:val="5F1C4F5D"/>
    <w:rsid w:val="5F2C22F1"/>
    <w:rsid w:val="5F3A6B0B"/>
    <w:rsid w:val="5F3A6EF0"/>
    <w:rsid w:val="5F4154DE"/>
    <w:rsid w:val="5F4D57FF"/>
    <w:rsid w:val="5F7248FB"/>
    <w:rsid w:val="5F7A15A4"/>
    <w:rsid w:val="5F8C6AEF"/>
    <w:rsid w:val="5F9A1BC7"/>
    <w:rsid w:val="5FB42579"/>
    <w:rsid w:val="5FB55467"/>
    <w:rsid w:val="5FBC7360"/>
    <w:rsid w:val="5FBE6C26"/>
    <w:rsid w:val="5FC47BF0"/>
    <w:rsid w:val="5FE83412"/>
    <w:rsid w:val="5FED3166"/>
    <w:rsid w:val="6002345A"/>
    <w:rsid w:val="601C54A2"/>
    <w:rsid w:val="601E21EB"/>
    <w:rsid w:val="60255798"/>
    <w:rsid w:val="60386BD4"/>
    <w:rsid w:val="604234E9"/>
    <w:rsid w:val="605F4050"/>
    <w:rsid w:val="606543C1"/>
    <w:rsid w:val="60704968"/>
    <w:rsid w:val="60746DA7"/>
    <w:rsid w:val="6087557F"/>
    <w:rsid w:val="608E33B1"/>
    <w:rsid w:val="608F0B1E"/>
    <w:rsid w:val="60925814"/>
    <w:rsid w:val="60DD6FEC"/>
    <w:rsid w:val="60E9219C"/>
    <w:rsid w:val="60E978C4"/>
    <w:rsid w:val="61116DC9"/>
    <w:rsid w:val="611C0199"/>
    <w:rsid w:val="612C1738"/>
    <w:rsid w:val="61343779"/>
    <w:rsid w:val="61406061"/>
    <w:rsid w:val="614476C3"/>
    <w:rsid w:val="61495B92"/>
    <w:rsid w:val="61500C24"/>
    <w:rsid w:val="61550E52"/>
    <w:rsid w:val="61960AEF"/>
    <w:rsid w:val="61A00EDE"/>
    <w:rsid w:val="61B40328"/>
    <w:rsid w:val="61CE0708"/>
    <w:rsid w:val="61D901D0"/>
    <w:rsid w:val="61ED7FA7"/>
    <w:rsid w:val="62137F12"/>
    <w:rsid w:val="621B482A"/>
    <w:rsid w:val="622C2B22"/>
    <w:rsid w:val="622E1AF6"/>
    <w:rsid w:val="62343B1A"/>
    <w:rsid w:val="62366854"/>
    <w:rsid w:val="623B3538"/>
    <w:rsid w:val="62854B11"/>
    <w:rsid w:val="628B5125"/>
    <w:rsid w:val="629316D1"/>
    <w:rsid w:val="629C0E99"/>
    <w:rsid w:val="62D65A76"/>
    <w:rsid w:val="62E02BF2"/>
    <w:rsid w:val="62E06F6A"/>
    <w:rsid w:val="62E130C7"/>
    <w:rsid w:val="62E2331D"/>
    <w:rsid w:val="62EB4442"/>
    <w:rsid w:val="62F03A1C"/>
    <w:rsid w:val="62F251FB"/>
    <w:rsid w:val="630708DD"/>
    <w:rsid w:val="630C001B"/>
    <w:rsid w:val="630D2B42"/>
    <w:rsid w:val="630D73EF"/>
    <w:rsid w:val="631228C6"/>
    <w:rsid w:val="63132607"/>
    <w:rsid w:val="63207B02"/>
    <w:rsid w:val="63301828"/>
    <w:rsid w:val="63364AB9"/>
    <w:rsid w:val="633C1A20"/>
    <w:rsid w:val="634147C9"/>
    <w:rsid w:val="63433645"/>
    <w:rsid w:val="63487B44"/>
    <w:rsid w:val="6352031C"/>
    <w:rsid w:val="63726E78"/>
    <w:rsid w:val="639C4360"/>
    <w:rsid w:val="63B519B5"/>
    <w:rsid w:val="63BB31BD"/>
    <w:rsid w:val="63BF148B"/>
    <w:rsid w:val="63D027F2"/>
    <w:rsid w:val="63E5170D"/>
    <w:rsid w:val="640B63EA"/>
    <w:rsid w:val="641A130C"/>
    <w:rsid w:val="642335C3"/>
    <w:rsid w:val="64291CA5"/>
    <w:rsid w:val="64337587"/>
    <w:rsid w:val="64346D40"/>
    <w:rsid w:val="64350410"/>
    <w:rsid w:val="64436AD9"/>
    <w:rsid w:val="64662945"/>
    <w:rsid w:val="646F79C1"/>
    <w:rsid w:val="648C0CBD"/>
    <w:rsid w:val="64961BD8"/>
    <w:rsid w:val="64965B61"/>
    <w:rsid w:val="64974A31"/>
    <w:rsid w:val="64B33573"/>
    <w:rsid w:val="64B93296"/>
    <w:rsid w:val="64BD1669"/>
    <w:rsid w:val="64BD41CB"/>
    <w:rsid w:val="64D066FB"/>
    <w:rsid w:val="64EB7DDD"/>
    <w:rsid w:val="64F30C14"/>
    <w:rsid w:val="64FF6659"/>
    <w:rsid w:val="65073B33"/>
    <w:rsid w:val="65190A58"/>
    <w:rsid w:val="65263F64"/>
    <w:rsid w:val="65293851"/>
    <w:rsid w:val="654F2360"/>
    <w:rsid w:val="655A28CF"/>
    <w:rsid w:val="655A6587"/>
    <w:rsid w:val="65702A76"/>
    <w:rsid w:val="65710181"/>
    <w:rsid w:val="657435E3"/>
    <w:rsid w:val="657840CC"/>
    <w:rsid w:val="658540DC"/>
    <w:rsid w:val="658E7EE7"/>
    <w:rsid w:val="65A414A2"/>
    <w:rsid w:val="65D053A3"/>
    <w:rsid w:val="65D632F4"/>
    <w:rsid w:val="65F35D6C"/>
    <w:rsid w:val="6604699B"/>
    <w:rsid w:val="66173C87"/>
    <w:rsid w:val="66250AC3"/>
    <w:rsid w:val="662567B0"/>
    <w:rsid w:val="66290B87"/>
    <w:rsid w:val="663C7674"/>
    <w:rsid w:val="665052AA"/>
    <w:rsid w:val="66523348"/>
    <w:rsid w:val="665433B0"/>
    <w:rsid w:val="666A0EE6"/>
    <w:rsid w:val="668D2161"/>
    <w:rsid w:val="668E0757"/>
    <w:rsid w:val="66B26245"/>
    <w:rsid w:val="66B50716"/>
    <w:rsid w:val="66C01426"/>
    <w:rsid w:val="66C105F2"/>
    <w:rsid w:val="66CB3854"/>
    <w:rsid w:val="66CE7C4E"/>
    <w:rsid w:val="66E55BA5"/>
    <w:rsid w:val="66F32C4A"/>
    <w:rsid w:val="66F41892"/>
    <w:rsid w:val="67127D49"/>
    <w:rsid w:val="671F7A61"/>
    <w:rsid w:val="676F334D"/>
    <w:rsid w:val="677721C6"/>
    <w:rsid w:val="67796E64"/>
    <w:rsid w:val="67991BBC"/>
    <w:rsid w:val="67AA6551"/>
    <w:rsid w:val="67BC3022"/>
    <w:rsid w:val="67C942EC"/>
    <w:rsid w:val="67D12EFA"/>
    <w:rsid w:val="67F84ADC"/>
    <w:rsid w:val="67FA4134"/>
    <w:rsid w:val="67FB775F"/>
    <w:rsid w:val="6834372E"/>
    <w:rsid w:val="6834565F"/>
    <w:rsid w:val="683B43A1"/>
    <w:rsid w:val="68405A41"/>
    <w:rsid w:val="684C6C00"/>
    <w:rsid w:val="685A6F75"/>
    <w:rsid w:val="68931367"/>
    <w:rsid w:val="689513B1"/>
    <w:rsid w:val="68BC090B"/>
    <w:rsid w:val="68D06834"/>
    <w:rsid w:val="68D5201D"/>
    <w:rsid w:val="68D62629"/>
    <w:rsid w:val="68E72A0D"/>
    <w:rsid w:val="68E96DBB"/>
    <w:rsid w:val="68E97B82"/>
    <w:rsid w:val="68F019DE"/>
    <w:rsid w:val="69003B50"/>
    <w:rsid w:val="69132F67"/>
    <w:rsid w:val="69180D67"/>
    <w:rsid w:val="692618C1"/>
    <w:rsid w:val="692F7ABC"/>
    <w:rsid w:val="6934488C"/>
    <w:rsid w:val="694E00B7"/>
    <w:rsid w:val="695738B2"/>
    <w:rsid w:val="696B302B"/>
    <w:rsid w:val="69707F81"/>
    <w:rsid w:val="697E7E55"/>
    <w:rsid w:val="69863C9F"/>
    <w:rsid w:val="69915079"/>
    <w:rsid w:val="699524F3"/>
    <w:rsid w:val="699B5F26"/>
    <w:rsid w:val="69A07118"/>
    <w:rsid w:val="69A31314"/>
    <w:rsid w:val="69B423AC"/>
    <w:rsid w:val="69B92F89"/>
    <w:rsid w:val="69C30578"/>
    <w:rsid w:val="69E3541B"/>
    <w:rsid w:val="6A1855AA"/>
    <w:rsid w:val="6A206F1A"/>
    <w:rsid w:val="6A795EB5"/>
    <w:rsid w:val="6A917F7F"/>
    <w:rsid w:val="6AB724BC"/>
    <w:rsid w:val="6AD413B3"/>
    <w:rsid w:val="6AE9198B"/>
    <w:rsid w:val="6AFB5FC4"/>
    <w:rsid w:val="6B030D9A"/>
    <w:rsid w:val="6B033EEF"/>
    <w:rsid w:val="6B115732"/>
    <w:rsid w:val="6B151DB4"/>
    <w:rsid w:val="6B1718BD"/>
    <w:rsid w:val="6B1944BE"/>
    <w:rsid w:val="6B1F1C48"/>
    <w:rsid w:val="6B2436ED"/>
    <w:rsid w:val="6B25283B"/>
    <w:rsid w:val="6B31177C"/>
    <w:rsid w:val="6B3751E1"/>
    <w:rsid w:val="6B564CDE"/>
    <w:rsid w:val="6B576C23"/>
    <w:rsid w:val="6B6261A6"/>
    <w:rsid w:val="6B6F309F"/>
    <w:rsid w:val="6B733CEB"/>
    <w:rsid w:val="6B7F1E5E"/>
    <w:rsid w:val="6B890F7D"/>
    <w:rsid w:val="6B995489"/>
    <w:rsid w:val="6BA00734"/>
    <w:rsid w:val="6BA06C74"/>
    <w:rsid w:val="6BDC28D7"/>
    <w:rsid w:val="6BE32793"/>
    <w:rsid w:val="6BE36C12"/>
    <w:rsid w:val="6BF13212"/>
    <w:rsid w:val="6BF700D8"/>
    <w:rsid w:val="6BFB0016"/>
    <w:rsid w:val="6C0366E5"/>
    <w:rsid w:val="6C1818AA"/>
    <w:rsid w:val="6C197B06"/>
    <w:rsid w:val="6C1C056D"/>
    <w:rsid w:val="6C2B148D"/>
    <w:rsid w:val="6C453CBE"/>
    <w:rsid w:val="6C4656C0"/>
    <w:rsid w:val="6C584052"/>
    <w:rsid w:val="6C5D13A2"/>
    <w:rsid w:val="6C5D511D"/>
    <w:rsid w:val="6C635663"/>
    <w:rsid w:val="6C7612DB"/>
    <w:rsid w:val="6C8B04EF"/>
    <w:rsid w:val="6C98426E"/>
    <w:rsid w:val="6CA31170"/>
    <w:rsid w:val="6CC644C8"/>
    <w:rsid w:val="6CCF4BC5"/>
    <w:rsid w:val="6CD94D3A"/>
    <w:rsid w:val="6CE16A04"/>
    <w:rsid w:val="6CE7346E"/>
    <w:rsid w:val="6CEC3236"/>
    <w:rsid w:val="6CF45A0D"/>
    <w:rsid w:val="6D017959"/>
    <w:rsid w:val="6D042A9E"/>
    <w:rsid w:val="6D2856A3"/>
    <w:rsid w:val="6D29333B"/>
    <w:rsid w:val="6D2A1E22"/>
    <w:rsid w:val="6D651C46"/>
    <w:rsid w:val="6D761BED"/>
    <w:rsid w:val="6D915F03"/>
    <w:rsid w:val="6D9B1855"/>
    <w:rsid w:val="6D9B31DD"/>
    <w:rsid w:val="6DBC39E8"/>
    <w:rsid w:val="6DCB4D45"/>
    <w:rsid w:val="6DD023FE"/>
    <w:rsid w:val="6DD20E7D"/>
    <w:rsid w:val="6DE400F2"/>
    <w:rsid w:val="6E1747B9"/>
    <w:rsid w:val="6E311FD7"/>
    <w:rsid w:val="6E3B33FE"/>
    <w:rsid w:val="6E3C4AD0"/>
    <w:rsid w:val="6E454580"/>
    <w:rsid w:val="6E5465D3"/>
    <w:rsid w:val="6E5637F7"/>
    <w:rsid w:val="6E5C1E03"/>
    <w:rsid w:val="6E7C44B2"/>
    <w:rsid w:val="6E8307A0"/>
    <w:rsid w:val="6E9A08F7"/>
    <w:rsid w:val="6E9B6953"/>
    <w:rsid w:val="6EB122C3"/>
    <w:rsid w:val="6EB13138"/>
    <w:rsid w:val="6EB30309"/>
    <w:rsid w:val="6EB30B6E"/>
    <w:rsid w:val="6ED21E35"/>
    <w:rsid w:val="6EE6569F"/>
    <w:rsid w:val="6EFB5CF0"/>
    <w:rsid w:val="6F0A031E"/>
    <w:rsid w:val="6F196359"/>
    <w:rsid w:val="6F1E576C"/>
    <w:rsid w:val="6F1F0187"/>
    <w:rsid w:val="6F203284"/>
    <w:rsid w:val="6F2B524B"/>
    <w:rsid w:val="6F3B12DE"/>
    <w:rsid w:val="6F3B33AF"/>
    <w:rsid w:val="6F4B0C43"/>
    <w:rsid w:val="6F6433B4"/>
    <w:rsid w:val="6F656825"/>
    <w:rsid w:val="6F8043B7"/>
    <w:rsid w:val="6F874A79"/>
    <w:rsid w:val="6F8953B8"/>
    <w:rsid w:val="6F9911E6"/>
    <w:rsid w:val="6FB973F2"/>
    <w:rsid w:val="6FCD1613"/>
    <w:rsid w:val="6FD66B53"/>
    <w:rsid w:val="6FD841AB"/>
    <w:rsid w:val="6FDC54B4"/>
    <w:rsid w:val="6FE0062C"/>
    <w:rsid w:val="6FE12145"/>
    <w:rsid w:val="6FF34C9F"/>
    <w:rsid w:val="70245DD2"/>
    <w:rsid w:val="70261164"/>
    <w:rsid w:val="703B70C4"/>
    <w:rsid w:val="704D66DD"/>
    <w:rsid w:val="70703652"/>
    <w:rsid w:val="70777D7C"/>
    <w:rsid w:val="70795B6B"/>
    <w:rsid w:val="70896F07"/>
    <w:rsid w:val="708A3F83"/>
    <w:rsid w:val="70992CEB"/>
    <w:rsid w:val="70D9492F"/>
    <w:rsid w:val="70DE3900"/>
    <w:rsid w:val="70EB4EE4"/>
    <w:rsid w:val="71243410"/>
    <w:rsid w:val="71476E62"/>
    <w:rsid w:val="716C6C21"/>
    <w:rsid w:val="718679BC"/>
    <w:rsid w:val="718A6E57"/>
    <w:rsid w:val="719E59CA"/>
    <w:rsid w:val="71AB500D"/>
    <w:rsid w:val="71AB52CF"/>
    <w:rsid w:val="71B56C93"/>
    <w:rsid w:val="71C633E4"/>
    <w:rsid w:val="71D17801"/>
    <w:rsid w:val="71D54919"/>
    <w:rsid w:val="71E02218"/>
    <w:rsid w:val="71E06408"/>
    <w:rsid w:val="71FC297C"/>
    <w:rsid w:val="7206434A"/>
    <w:rsid w:val="7218748F"/>
    <w:rsid w:val="723A392D"/>
    <w:rsid w:val="723B377A"/>
    <w:rsid w:val="723F3B66"/>
    <w:rsid w:val="724975E0"/>
    <w:rsid w:val="7253390E"/>
    <w:rsid w:val="725A6EB5"/>
    <w:rsid w:val="72637718"/>
    <w:rsid w:val="72954DE2"/>
    <w:rsid w:val="729C0830"/>
    <w:rsid w:val="729C4B89"/>
    <w:rsid w:val="72B16C6B"/>
    <w:rsid w:val="72CC1835"/>
    <w:rsid w:val="72D548A9"/>
    <w:rsid w:val="72D64758"/>
    <w:rsid w:val="72D7724E"/>
    <w:rsid w:val="72E249A1"/>
    <w:rsid w:val="72F13866"/>
    <w:rsid w:val="72F14094"/>
    <w:rsid w:val="72FB6460"/>
    <w:rsid w:val="72FE3AA0"/>
    <w:rsid w:val="7313470B"/>
    <w:rsid w:val="73440694"/>
    <w:rsid w:val="734551F3"/>
    <w:rsid w:val="734A6A09"/>
    <w:rsid w:val="734F16E0"/>
    <w:rsid w:val="73586C55"/>
    <w:rsid w:val="736456B0"/>
    <w:rsid w:val="736D7667"/>
    <w:rsid w:val="73813BFC"/>
    <w:rsid w:val="738D70A8"/>
    <w:rsid w:val="73A40666"/>
    <w:rsid w:val="73FD0558"/>
    <w:rsid w:val="74013F24"/>
    <w:rsid w:val="74054DEA"/>
    <w:rsid w:val="740D50AB"/>
    <w:rsid w:val="740E071A"/>
    <w:rsid w:val="7420033F"/>
    <w:rsid w:val="74223FC5"/>
    <w:rsid w:val="743531C6"/>
    <w:rsid w:val="743B3433"/>
    <w:rsid w:val="745C2B12"/>
    <w:rsid w:val="74754D92"/>
    <w:rsid w:val="74786FE9"/>
    <w:rsid w:val="74806912"/>
    <w:rsid w:val="74A1592D"/>
    <w:rsid w:val="74A96B8F"/>
    <w:rsid w:val="74CB0AC9"/>
    <w:rsid w:val="74D84845"/>
    <w:rsid w:val="74EF73FA"/>
    <w:rsid w:val="74FD2DD2"/>
    <w:rsid w:val="75156D02"/>
    <w:rsid w:val="7526588A"/>
    <w:rsid w:val="75277D0D"/>
    <w:rsid w:val="753A4242"/>
    <w:rsid w:val="753A776F"/>
    <w:rsid w:val="754F12E2"/>
    <w:rsid w:val="75636320"/>
    <w:rsid w:val="758E0472"/>
    <w:rsid w:val="75A45E37"/>
    <w:rsid w:val="75A51771"/>
    <w:rsid w:val="75AE003D"/>
    <w:rsid w:val="75B436F2"/>
    <w:rsid w:val="75BB3A7C"/>
    <w:rsid w:val="75DC2F9B"/>
    <w:rsid w:val="75EC70BD"/>
    <w:rsid w:val="760409CF"/>
    <w:rsid w:val="76086A4E"/>
    <w:rsid w:val="761D14DE"/>
    <w:rsid w:val="76236746"/>
    <w:rsid w:val="762A7420"/>
    <w:rsid w:val="76321A8B"/>
    <w:rsid w:val="763673C2"/>
    <w:rsid w:val="764C02D3"/>
    <w:rsid w:val="76665EF5"/>
    <w:rsid w:val="766E3EED"/>
    <w:rsid w:val="768B2618"/>
    <w:rsid w:val="769C268C"/>
    <w:rsid w:val="76B613A9"/>
    <w:rsid w:val="76D13D97"/>
    <w:rsid w:val="76D82745"/>
    <w:rsid w:val="76EA6CCB"/>
    <w:rsid w:val="76EE68C5"/>
    <w:rsid w:val="76F55CF1"/>
    <w:rsid w:val="77070645"/>
    <w:rsid w:val="7728048F"/>
    <w:rsid w:val="7753389F"/>
    <w:rsid w:val="775A7EBA"/>
    <w:rsid w:val="77740854"/>
    <w:rsid w:val="77747CA4"/>
    <w:rsid w:val="777D2054"/>
    <w:rsid w:val="779D2EDF"/>
    <w:rsid w:val="77B66911"/>
    <w:rsid w:val="77C61796"/>
    <w:rsid w:val="77EA30B9"/>
    <w:rsid w:val="77F66C32"/>
    <w:rsid w:val="77F94EA1"/>
    <w:rsid w:val="78135BBE"/>
    <w:rsid w:val="781650CB"/>
    <w:rsid w:val="7824586E"/>
    <w:rsid w:val="782567E8"/>
    <w:rsid w:val="78371043"/>
    <w:rsid w:val="78463114"/>
    <w:rsid w:val="786041C3"/>
    <w:rsid w:val="78642AEC"/>
    <w:rsid w:val="787D532D"/>
    <w:rsid w:val="787E37F9"/>
    <w:rsid w:val="78955503"/>
    <w:rsid w:val="78967486"/>
    <w:rsid w:val="78980F0C"/>
    <w:rsid w:val="78990EEA"/>
    <w:rsid w:val="78B061DA"/>
    <w:rsid w:val="78B17472"/>
    <w:rsid w:val="78C01941"/>
    <w:rsid w:val="78C35F27"/>
    <w:rsid w:val="78C723B3"/>
    <w:rsid w:val="78C776E2"/>
    <w:rsid w:val="78D95F23"/>
    <w:rsid w:val="78E45364"/>
    <w:rsid w:val="78F450D1"/>
    <w:rsid w:val="791430E6"/>
    <w:rsid w:val="791C4118"/>
    <w:rsid w:val="794A4752"/>
    <w:rsid w:val="794F0B9B"/>
    <w:rsid w:val="796023BB"/>
    <w:rsid w:val="797A459B"/>
    <w:rsid w:val="799D48EF"/>
    <w:rsid w:val="79B046ED"/>
    <w:rsid w:val="79B46C53"/>
    <w:rsid w:val="79B808C1"/>
    <w:rsid w:val="79C57C14"/>
    <w:rsid w:val="79F04255"/>
    <w:rsid w:val="79F143AE"/>
    <w:rsid w:val="7A056112"/>
    <w:rsid w:val="7A063224"/>
    <w:rsid w:val="7A175D10"/>
    <w:rsid w:val="7A1C062C"/>
    <w:rsid w:val="7A2659AE"/>
    <w:rsid w:val="7A47691A"/>
    <w:rsid w:val="7A657C83"/>
    <w:rsid w:val="7A913CBB"/>
    <w:rsid w:val="7A9E4A2B"/>
    <w:rsid w:val="7AAB7236"/>
    <w:rsid w:val="7ABB5551"/>
    <w:rsid w:val="7ABC0952"/>
    <w:rsid w:val="7AE1715C"/>
    <w:rsid w:val="7AE4090F"/>
    <w:rsid w:val="7AF12D6F"/>
    <w:rsid w:val="7B232C58"/>
    <w:rsid w:val="7B3D0156"/>
    <w:rsid w:val="7B4B7D52"/>
    <w:rsid w:val="7B4D57F4"/>
    <w:rsid w:val="7B707380"/>
    <w:rsid w:val="7B723E7B"/>
    <w:rsid w:val="7B7B67FD"/>
    <w:rsid w:val="7B7E72ED"/>
    <w:rsid w:val="7B8B55AD"/>
    <w:rsid w:val="7B9212D6"/>
    <w:rsid w:val="7B92353F"/>
    <w:rsid w:val="7BA43B46"/>
    <w:rsid w:val="7BBB724B"/>
    <w:rsid w:val="7BD40C38"/>
    <w:rsid w:val="7BD42A01"/>
    <w:rsid w:val="7BEB77B5"/>
    <w:rsid w:val="7BEE32D3"/>
    <w:rsid w:val="7BEF0A01"/>
    <w:rsid w:val="7BF5367D"/>
    <w:rsid w:val="7BF95236"/>
    <w:rsid w:val="7C03481E"/>
    <w:rsid w:val="7C0610EE"/>
    <w:rsid w:val="7C175D6D"/>
    <w:rsid w:val="7C195495"/>
    <w:rsid w:val="7C244216"/>
    <w:rsid w:val="7C56229A"/>
    <w:rsid w:val="7C6A6DAE"/>
    <w:rsid w:val="7C6D245C"/>
    <w:rsid w:val="7C7C77AA"/>
    <w:rsid w:val="7C8C61FC"/>
    <w:rsid w:val="7C901DFC"/>
    <w:rsid w:val="7C9343FB"/>
    <w:rsid w:val="7C9559D6"/>
    <w:rsid w:val="7C964533"/>
    <w:rsid w:val="7CA55142"/>
    <w:rsid w:val="7CAD0502"/>
    <w:rsid w:val="7CB83484"/>
    <w:rsid w:val="7CBA3D4A"/>
    <w:rsid w:val="7CD8534B"/>
    <w:rsid w:val="7CDF6DEA"/>
    <w:rsid w:val="7CE3518E"/>
    <w:rsid w:val="7CE67191"/>
    <w:rsid w:val="7D01376B"/>
    <w:rsid w:val="7D061A22"/>
    <w:rsid w:val="7D067A9D"/>
    <w:rsid w:val="7D0E0047"/>
    <w:rsid w:val="7D1612E3"/>
    <w:rsid w:val="7D174DBA"/>
    <w:rsid w:val="7D18776D"/>
    <w:rsid w:val="7D196593"/>
    <w:rsid w:val="7D212BBB"/>
    <w:rsid w:val="7D2D7152"/>
    <w:rsid w:val="7D602D20"/>
    <w:rsid w:val="7D855A7C"/>
    <w:rsid w:val="7D8F6A97"/>
    <w:rsid w:val="7D911D31"/>
    <w:rsid w:val="7D915404"/>
    <w:rsid w:val="7D9B4906"/>
    <w:rsid w:val="7DA90F5F"/>
    <w:rsid w:val="7DB74AEE"/>
    <w:rsid w:val="7DD02BE8"/>
    <w:rsid w:val="7DD200C0"/>
    <w:rsid w:val="7DDC433E"/>
    <w:rsid w:val="7DDE325D"/>
    <w:rsid w:val="7DE22E7A"/>
    <w:rsid w:val="7DEE41FB"/>
    <w:rsid w:val="7DF00C4D"/>
    <w:rsid w:val="7DF34F9A"/>
    <w:rsid w:val="7E176334"/>
    <w:rsid w:val="7E1873FC"/>
    <w:rsid w:val="7E1A44F3"/>
    <w:rsid w:val="7E302108"/>
    <w:rsid w:val="7E3854B1"/>
    <w:rsid w:val="7E3E61C0"/>
    <w:rsid w:val="7E42310B"/>
    <w:rsid w:val="7E47478B"/>
    <w:rsid w:val="7E5756AE"/>
    <w:rsid w:val="7E5D16E6"/>
    <w:rsid w:val="7E6815A9"/>
    <w:rsid w:val="7E6D3090"/>
    <w:rsid w:val="7E744FA1"/>
    <w:rsid w:val="7E7A53B6"/>
    <w:rsid w:val="7E7A59D4"/>
    <w:rsid w:val="7E801CCB"/>
    <w:rsid w:val="7E825F38"/>
    <w:rsid w:val="7EAC7AD5"/>
    <w:rsid w:val="7EC70DFB"/>
    <w:rsid w:val="7ED275A6"/>
    <w:rsid w:val="7EE17BA5"/>
    <w:rsid w:val="7EF404E5"/>
    <w:rsid w:val="7F006465"/>
    <w:rsid w:val="7F1D04BB"/>
    <w:rsid w:val="7F1F49F5"/>
    <w:rsid w:val="7F2A2EF8"/>
    <w:rsid w:val="7F323367"/>
    <w:rsid w:val="7F387E39"/>
    <w:rsid w:val="7F3D6043"/>
    <w:rsid w:val="7F447135"/>
    <w:rsid w:val="7F591F64"/>
    <w:rsid w:val="7F615E19"/>
    <w:rsid w:val="7F646FAC"/>
    <w:rsid w:val="7F77488D"/>
    <w:rsid w:val="7F910D39"/>
    <w:rsid w:val="7F9B1226"/>
    <w:rsid w:val="7FAA4757"/>
    <w:rsid w:val="7FAD55AD"/>
    <w:rsid w:val="7FB343DE"/>
    <w:rsid w:val="7FC406B3"/>
    <w:rsid w:val="7FC443DF"/>
    <w:rsid w:val="7FCB3829"/>
    <w:rsid w:val="7FDD56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1"/>
    <w:basedOn w:val="1"/>
    <w:next w:val="1"/>
    <w:qFormat/>
    <w:uiPriority w:val="9"/>
    <w:pPr>
      <w:keepNext/>
      <w:keepLines/>
      <w:numPr>
        <w:ilvl w:val="0"/>
        <w:numId w:val="1"/>
      </w:numPr>
      <w:outlineLvl w:val="0"/>
    </w:pPr>
    <w:rPr>
      <w:b/>
      <w:bCs/>
      <w:kern w:val="44"/>
      <w:szCs w:val="44"/>
    </w:rPr>
  </w:style>
  <w:style w:type="paragraph" w:styleId="3">
    <w:name w:val="heading 2"/>
    <w:basedOn w:val="1"/>
    <w:next w:val="1"/>
    <w:qFormat/>
    <w:uiPriority w:val="0"/>
    <w:pPr>
      <w:keepNext/>
      <w:keepLines/>
      <w:numPr>
        <w:ilvl w:val="1"/>
        <w:numId w:val="1"/>
      </w:numPr>
      <w:outlineLvl w:val="1"/>
    </w:pPr>
    <w:rPr>
      <w:rFonts w:hAnsi="Arial"/>
      <w:b/>
      <w:bCs/>
      <w:szCs w:val="32"/>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4">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5">
    <w:name w:val="toc 1"/>
    <w:basedOn w:val="1"/>
    <w:next w:val="1"/>
    <w:qFormat/>
    <w:uiPriority w:val="39"/>
    <w:pPr>
      <w:tabs>
        <w:tab w:val="right" w:leader="dot" w:pos="8296"/>
      </w:tabs>
    </w:pPr>
  </w:style>
  <w:style w:type="table" w:styleId="7">
    <w:name w:val="Table Grid"/>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
    <w:name w:val="Hyperlink"/>
    <w:unhideWhenUsed/>
    <w:qFormat/>
    <w:uiPriority w:val="99"/>
    <w:rPr>
      <w:color w:val="0000FF"/>
      <w:u w:val="single"/>
    </w:rPr>
  </w:style>
  <w:style w:type="paragraph" w:customStyle="1" w:styleId="10">
    <w:name w:val="样式1"/>
    <w:basedOn w:val="1"/>
    <w:qFormat/>
    <w:uiPriority w:val="0"/>
    <w:pPr>
      <w:numPr>
        <w:ilvl w:val="2"/>
        <w:numId w:val="1"/>
      </w:numPr>
    </w:p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theme" Target="theme/theme1.xml"/><Relationship Id="rId1"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2025-03-26T09:12:00Z</dcterms:created>
  <dc:creator>陈振坤</dc:creator>
  <cp:lastModifiedBy>苏梅岚</cp:lastModifiedBy>
  <dcterms:modified xsi:type="dcterms:W3CDTF">2026-01-20T01:24:45Z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D02659BD24314E2583B414BF25D0ACF1</vt:lpwstr>
  </property>
</Properties>
</file>