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南网审计中心昆明驻点2026年度周转房租赁服务零星采购项目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4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>
      <w:pPr>
        <w:jc w:val="center"/>
        <w:rPr>
          <w:rFonts w:hint="default" w:ascii="宋体" w:hAnsi="宋体" w:eastAsia="宋体" w:cs="宋体"/>
          <w:b/>
          <w:bCs/>
          <w:sz w:val="28"/>
          <w:szCs w:val="32"/>
          <w:lang w:val="en-US"/>
        </w:rPr>
      </w:pPr>
      <w:r>
        <w:rPr>
          <w:rFonts w:hint="eastAsia" w:ascii="宋体" w:hAnsi="宋体" w:cs="宋体"/>
          <w:b/>
          <w:bCs/>
          <w:sz w:val="28"/>
          <w:szCs w:val="32"/>
          <w:lang w:val="en-US" w:eastAsia="zh-CN"/>
        </w:rPr>
        <w:t>报价表</w:t>
      </w:r>
    </w:p>
    <w:tbl>
      <w:tblPr>
        <w:tblStyle w:val="6"/>
        <w:tblW w:w="498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22"/>
        <w:gridCol w:w="1464"/>
        <w:gridCol w:w="2358"/>
        <w:gridCol w:w="23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1364" w:type="pct"/>
            <w:vAlign w:val="center"/>
          </w:tcPr>
          <w:p>
            <w:pPr>
              <w:pStyle w:val="8"/>
              <w:spacing w:before="164"/>
              <w:ind w:left="403"/>
              <w:jc w:val="both"/>
              <w:rPr>
                <w:sz w:val="21"/>
              </w:rPr>
            </w:pPr>
            <w:r>
              <w:rPr>
                <w:sz w:val="21"/>
              </w:rPr>
              <w:t>房型</w:t>
            </w:r>
          </w:p>
        </w:tc>
        <w:tc>
          <w:tcPr>
            <w:tcW w:w="860" w:type="pct"/>
            <w:vAlign w:val="center"/>
          </w:tcPr>
          <w:p>
            <w:pPr>
              <w:pStyle w:val="8"/>
              <w:spacing w:line="278" w:lineRule="auto"/>
              <w:ind w:right="-15"/>
              <w:jc w:val="center"/>
              <w:rPr>
                <w:sz w:val="21"/>
              </w:rPr>
            </w:pPr>
            <w:r>
              <w:rPr>
                <w:sz w:val="21"/>
              </w:rPr>
              <w:t>房型预估</w:t>
            </w:r>
            <w:r>
              <w:rPr>
                <w:spacing w:val="-12"/>
                <w:sz w:val="21"/>
              </w:rPr>
              <w:t>数量</w:t>
            </w:r>
            <w:r>
              <w:rPr>
                <w:sz w:val="21"/>
              </w:rPr>
              <w:t>（间</w:t>
            </w:r>
            <w:r>
              <w:rPr>
                <w:spacing w:val="-12"/>
                <w:sz w:val="21"/>
              </w:rPr>
              <w:t>）</w:t>
            </w:r>
          </w:p>
        </w:tc>
        <w:tc>
          <w:tcPr>
            <w:tcW w:w="1385" w:type="pct"/>
            <w:vAlign w:val="center"/>
          </w:tcPr>
          <w:p>
            <w:pPr>
              <w:pStyle w:val="8"/>
              <w:spacing w:line="278" w:lineRule="auto"/>
              <w:ind w:left="152" w:right="140"/>
              <w:jc w:val="center"/>
              <w:rPr>
                <w:sz w:val="21"/>
              </w:rPr>
            </w:pPr>
            <w:r>
              <w:rPr>
                <w:sz w:val="21"/>
              </w:rPr>
              <w:t>最高限价</w:t>
            </w:r>
            <w:r>
              <w:rPr>
                <w:rFonts w:hint="eastAsia"/>
                <w:sz w:val="21"/>
                <w:lang w:eastAsia="zh-CN"/>
              </w:rPr>
              <w:t>（</w:t>
            </w:r>
            <w:r>
              <w:rPr>
                <w:rFonts w:hint="eastAsia"/>
                <w:sz w:val="21"/>
                <w:lang w:val="en-US" w:eastAsia="zh-CN"/>
              </w:rPr>
              <w:t>2间合计</w:t>
            </w:r>
            <w:r>
              <w:rPr>
                <w:rFonts w:hint="eastAsia"/>
                <w:sz w:val="21"/>
                <w:lang w:eastAsia="zh-CN"/>
              </w:rPr>
              <w:t>）</w:t>
            </w:r>
            <w:r>
              <w:rPr>
                <w:sz w:val="21"/>
              </w:rPr>
              <w:t>（含税/元）</w:t>
            </w:r>
          </w:p>
        </w:tc>
        <w:tc>
          <w:tcPr>
            <w:tcW w:w="1388" w:type="pct"/>
            <w:vAlign w:val="center"/>
          </w:tcPr>
          <w:p>
            <w:pPr>
              <w:pStyle w:val="8"/>
              <w:spacing w:before="52" w:line="278" w:lineRule="auto"/>
              <w:ind w:left="112" w:right="102"/>
              <w:jc w:val="center"/>
              <w:rPr>
                <w:sz w:val="21"/>
              </w:rPr>
            </w:pPr>
            <w:r>
              <w:rPr>
                <w:sz w:val="21"/>
              </w:rPr>
              <w:t>报价</w:t>
            </w:r>
            <w:r>
              <w:rPr>
                <w:rFonts w:hint="eastAsia"/>
                <w:sz w:val="21"/>
                <w:lang w:eastAsia="zh-CN"/>
              </w:rPr>
              <w:t>（</w:t>
            </w:r>
            <w:r>
              <w:rPr>
                <w:rFonts w:hint="eastAsia"/>
                <w:sz w:val="21"/>
                <w:lang w:val="en-US" w:eastAsia="zh-CN"/>
              </w:rPr>
              <w:t>2间合计</w:t>
            </w:r>
            <w:r>
              <w:rPr>
                <w:rFonts w:hint="eastAsia"/>
                <w:sz w:val="21"/>
                <w:lang w:eastAsia="zh-CN"/>
              </w:rPr>
              <w:t>）</w:t>
            </w:r>
            <w:r>
              <w:rPr>
                <w:sz w:val="21"/>
              </w:rPr>
              <w:t>（含税/元，四舍五入取整数）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</w:trPr>
        <w:tc>
          <w:tcPr>
            <w:tcW w:w="1364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right="0" w:firstLine="0"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w:t>标准间公</w:t>
            </w:r>
            <w:r>
              <w:rPr>
                <w:spacing w:val="0"/>
                <w:sz w:val="21"/>
              </w:rPr>
              <w:t>寓</w:t>
            </w:r>
            <w:r>
              <w:rPr>
                <w:rFonts w:hint="default"/>
                <w:sz w:val="21"/>
                <w:lang w:eastAsia="zh-CN"/>
              </w:rPr>
              <w:t>（</w:t>
            </w:r>
            <w:r>
              <w:rPr>
                <w:sz w:val="21"/>
              </w:rPr>
              <w:t>带基本</w:t>
            </w:r>
            <w:r>
              <w:rPr>
                <w:spacing w:val="0"/>
                <w:sz w:val="21"/>
              </w:rPr>
              <w:t>家</w:t>
            </w:r>
            <w:r>
              <w:rPr>
                <w:rFonts w:hint="eastAsia"/>
                <w:spacing w:val="0"/>
                <w:sz w:val="21"/>
                <w:lang w:val="en-US" w:eastAsia="zh-CN"/>
              </w:rPr>
              <w:t>具</w:t>
            </w:r>
            <w:r>
              <w:rPr>
                <w:spacing w:val="0"/>
                <w:sz w:val="21"/>
              </w:rPr>
              <w:t>家电</w:t>
            </w:r>
            <w:r>
              <w:rPr>
                <w:rFonts w:hint="eastAsia"/>
                <w:spacing w:val="0"/>
                <w:sz w:val="21"/>
                <w:lang w:eastAsia="zh-CN"/>
              </w:rPr>
              <w:t>，</w:t>
            </w:r>
            <w:r>
              <w:rPr>
                <w:sz w:val="21"/>
              </w:rPr>
              <w:t>可拎包入住）</w:t>
            </w:r>
          </w:p>
        </w:tc>
        <w:tc>
          <w:tcPr>
            <w:tcW w:w="860" w:type="pct"/>
            <w:vAlign w:val="center"/>
          </w:tcPr>
          <w:p>
            <w:pPr>
              <w:pStyle w:val="8"/>
              <w:ind w:left="444" w:right="434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2</w:t>
            </w:r>
          </w:p>
        </w:tc>
        <w:tc>
          <w:tcPr>
            <w:tcW w:w="1385" w:type="pct"/>
            <w:vAlign w:val="center"/>
          </w:tcPr>
          <w:p>
            <w:pPr>
              <w:pStyle w:val="8"/>
              <w:ind w:left="415"/>
              <w:jc w:val="both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48000</w:t>
            </w:r>
          </w:p>
        </w:tc>
        <w:tc>
          <w:tcPr>
            <w:tcW w:w="1388" w:type="pct"/>
            <w:vAlign w:val="center"/>
          </w:tcPr>
          <w:p>
            <w:pPr>
              <w:pStyle w:val="8"/>
              <w:jc w:val="both"/>
              <w:rPr>
                <w:rFonts w:ascii="Times New Roman"/>
                <w:sz w:val="20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spacing w:val="0"/>
          <w:sz w:val="21"/>
        </w:rPr>
      </w:pPr>
      <w:r>
        <w:rPr>
          <w:rFonts w:hint="eastAsia"/>
          <w:spacing w:val="0"/>
          <w:sz w:val="21"/>
          <w:lang w:val="en-US" w:eastAsia="zh-CN"/>
        </w:rPr>
        <w:t>注</w:t>
      </w:r>
      <w:r>
        <w:rPr>
          <w:spacing w:val="0"/>
          <w:sz w:val="21"/>
        </w:rPr>
        <w:t>：</w:t>
      </w:r>
    </w:p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102" w:rightChars="0"/>
        <w:jc w:val="left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</w:rPr>
        <w:t>一、报价说明</w:t>
      </w:r>
    </w:p>
    <w:p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1.报价包含房屋租金、中介费、物业管理费、公共区域管理费及维修费等费用，但不包水、电、燃气等类似费用。报价为2套周转房价格，每半年结算1次。报价为含税价。</w:t>
      </w:r>
    </w:p>
    <w:p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2.投标人应提供使用面积40-50平方米的房间2套，每套不少于1室1厅1卫，具备独立厨房。</w:t>
      </w:r>
    </w:p>
    <w:p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3.报价房型需带基本家具家电，可拎包入住，租期12个月。</w:t>
      </w:r>
    </w:p>
    <w:p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4.房源距离：投标人应提供办公驻点（云南省昆明市盘龙区白塔路201号）附近约3公里范围内的房屋供招标人选择。上述距离非直线距离，参考地图软件步行导航路径，四舍五入；此外，房源应</w:t>
      </w:r>
      <w:bookmarkStart w:id="0" w:name="_GoBack"/>
      <w:bookmarkEnd w:id="0"/>
      <w:r>
        <w:rPr>
          <w:rFonts w:hint="eastAsia"/>
          <w:spacing w:val="0"/>
          <w:sz w:val="21"/>
          <w:lang w:val="en-US" w:eastAsia="zh-CN"/>
        </w:rPr>
        <w:t>集中。</w:t>
      </w:r>
    </w:p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102" w:rightChars="0"/>
        <w:jc w:val="left"/>
        <w:textAlignment w:val="auto"/>
        <w:rPr>
          <w:rFonts w:hint="eastAsia" w:eastAsia="宋体"/>
        </w:rPr>
      </w:pPr>
      <w:r>
        <w:rPr>
          <w:rFonts w:hint="eastAsia" w:eastAsia="宋体"/>
          <w:lang w:val="en-US" w:eastAsia="zh-CN"/>
        </w:rPr>
        <w:t>二、</w:t>
      </w:r>
      <w:r>
        <w:rPr>
          <w:rFonts w:hint="eastAsia" w:eastAsia="宋体"/>
        </w:rPr>
        <w:t>家具家电配置清单</w:t>
      </w:r>
    </w:p>
    <w:tbl>
      <w:tblPr>
        <w:tblStyle w:val="6"/>
        <w:tblpPr w:leftFromText="180" w:rightFromText="180" w:vertAnchor="text" w:horzAnchor="page" w:tblpX="1917" w:tblpY="65"/>
        <w:tblOverlap w:val="never"/>
        <w:tblW w:w="4997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738"/>
        <w:gridCol w:w="984"/>
        <w:gridCol w:w="2254"/>
        <w:gridCol w:w="1116"/>
        <w:gridCol w:w="1569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种类</w:t>
            </w: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配置物品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7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家电</w:t>
            </w: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沙发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床（含床垫）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桌（含椅）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衣柜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电冰箱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洗衣机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热水器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ind w:left="0" w:leftChars="0" w:firstLine="0" w:firstLineChars="0"/>
      </w:pPr>
    </w:p>
    <w:p>
      <w:pPr>
        <w:pStyle w:val="2"/>
        <w:rPr>
          <w:rFonts w:hint="eastAsia"/>
          <w:spacing w:val="0"/>
          <w:sz w:val="21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spacing w:after="0" w:line="240" w:lineRule="exact"/>
        <w:ind w:firstLine="5460" w:firstLineChars="26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月   日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/>
    <w:sectPr>
      <w:pgSz w:w="11906" w:h="16838"/>
      <w:pgMar w:top="1440" w:right="157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362305"/>
    <w:rsid w:val="001B7E99"/>
    <w:rsid w:val="00387AAF"/>
    <w:rsid w:val="01F764EE"/>
    <w:rsid w:val="01FA1920"/>
    <w:rsid w:val="02931926"/>
    <w:rsid w:val="03D42759"/>
    <w:rsid w:val="04910A8F"/>
    <w:rsid w:val="05825A6B"/>
    <w:rsid w:val="06850DFB"/>
    <w:rsid w:val="0703223F"/>
    <w:rsid w:val="076972DE"/>
    <w:rsid w:val="079A2C9B"/>
    <w:rsid w:val="07B91870"/>
    <w:rsid w:val="07C174A2"/>
    <w:rsid w:val="07D11794"/>
    <w:rsid w:val="08F56110"/>
    <w:rsid w:val="095A0ED7"/>
    <w:rsid w:val="0A2E1A66"/>
    <w:rsid w:val="0A907C96"/>
    <w:rsid w:val="0AED7736"/>
    <w:rsid w:val="0B312322"/>
    <w:rsid w:val="0BB13B74"/>
    <w:rsid w:val="0BCD17B8"/>
    <w:rsid w:val="0C101BEF"/>
    <w:rsid w:val="0C5A280A"/>
    <w:rsid w:val="0C8457F2"/>
    <w:rsid w:val="0D2477A8"/>
    <w:rsid w:val="0D576B0D"/>
    <w:rsid w:val="0DAC22D5"/>
    <w:rsid w:val="0E765120"/>
    <w:rsid w:val="0E92055A"/>
    <w:rsid w:val="0EB5467F"/>
    <w:rsid w:val="0EE46A49"/>
    <w:rsid w:val="0FE659B6"/>
    <w:rsid w:val="100321FF"/>
    <w:rsid w:val="10534540"/>
    <w:rsid w:val="11047D58"/>
    <w:rsid w:val="113B3C1D"/>
    <w:rsid w:val="12CB34ED"/>
    <w:rsid w:val="132A0777"/>
    <w:rsid w:val="147F63B2"/>
    <w:rsid w:val="15F27C9D"/>
    <w:rsid w:val="166E0F66"/>
    <w:rsid w:val="168644A7"/>
    <w:rsid w:val="168C7384"/>
    <w:rsid w:val="17300FC2"/>
    <w:rsid w:val="199C44AC"/>
    <w:rsid w:val="1A421837"/>
    <w:rsid w:val="1ADA6BB8"/>
    <w:rsid w:val="1AE15686"/>
    <w:rsid w:val="1B1D41D3"/>
    <w:rsid w:val="1B66664C"/>
    <w:rsid w:val="1D4B3941"/>
    <w:rsid w:val="1E983ED6"/>
    <w:rsid w:val="1EE03331"/>
    <w:rsid w:val="1F145F74"/>
    <w:rsid w:val="1F200F57"/>
    <w:rsid w:val="1FBB416C"/>
    <w:rsid w:val="1FC63B22"/>
    <w:rsid w:val="203613DE"/>
    <w:rsid w:val="20B77755"/>
    <w:rsid w:val="20BC7E69"/>
    <w:rsid w:val="212E7887"/>
    <w:rsid w:val="22931160"/>
    <w:rsid w:val="24714A22"/>
    <w:rsid w:val="25210BC2"/>
    <w:rsid w:val="254F2043"/>
    <w:rsid w:val="25AF1621"/>
    <w:rsid w:val="25CF76B4"/>
    <w:rsid w:val="264C3C07"/>
    <w:rsid w:val="26DA212B"/>
    <w:rsid w:val="281B45C5"/>
    <w:rsid w:val="28F84208"/>
    <w:rsid w:val="2A1D0E62"/>
    <w:rsid w:val="2A992C79"/>
    <w:rsid w:val="2BA7029E"/>
    <w:rsid w:val="2BBF68E6"/>
    <w:rsid w:val="2C7C3463"/>
    <w:rsid w:val="2CD96C25"/>
    <w:rsid w:val="2CDC5B9A"/>
    <w:rsid w:val="2D3E72D7"/>
    <w:rsid w:val="2D74220D"/>
    <w:rsid w:val="2DA6798D"/>
    <w:rsid w:val="2EE63C6A"/>
    <w:rsid w:val="2F465C08"/>
    <w:rsid w:val="3013680B"/>
    <w:rsid w:val="30B5177F"/>
    <w:rsid w:val="31754BB3"/>
    <w:rsid w:val="31996CC8"/>
    <w:rsid w:val="323520D2"/>
    <w:rsid w:val="32A54B05"/>
    <w:rsid w:val="339E51F3"/>
    <w:rsid w:val="34190321"/>
    <w:rsid w:val="34B4131C"/>
    <w:rsid w:val="34E00EA2"/>
    <w:rsid w:val="34E85BD3"/>
    <w:rsid w:val="36AF6430"/>
    <w:rsid w:val="36B00574"/>
    <w:rsid w:val="37295803"/>
    <w:rsid w:val="37D460A1"/>
    <w:rsid w:val="389D028F"/>
    <w:rsid w:val="390655CF"/>
    <w:rsid w:val="398D6A6C"/>
    <w:rsid w:val="3A553481"/>
    <w:rsid w:val="3AB66D9F"/>
    <w:rsid w:val="3ADF6199"/>
    <w:rsid w:val="3B052434"/>
    <w:rsid w:val="3C2413F4"/>
    <w:rsid w:val="3C5C5B73"/>
    <w:rsid w:val="3D192E1A"/>
    <w:rsid w:val="3D460533"/>
    <w:rsid w:val="3D790E93"/>
    <w:rsid w:val="3DE7408D"/>
    <w:rsid w:val="3EA97F62"/>
    <w:rsid w:val="3EEC7D38"/>
    <w:rsid w:val="3F845116"/>
    <w:rsid w:val="4143078A"/>
    <w:rsid w:val="416022C8"/>
    <w:rsid w:val="41815B92"/>
    <w:rsid w:val="42110D33"/>
    <w:rsid w:val="42347CDD"/>
    <w:rsid w:val="45BB61EB"/>
    <w:rsid w:val="46606C08"/>
    <w:rsid w:val="46C52311"/>
    <w:rsid w:val="47062226"/>
    <w:rsid w:val="479E6CA2"/>
    <w:rsid w:val="47FA5C0F"/>
    <w:rsid w:val="484A3E73"/>
    <w:rsid w:val="49524A73"/>
    <w:rsid w:val="49EB124C"/>
    <w:rsid w:val="4BAF56A4"/>
    <w:rsid w:val="4BDA1467"/>
    <w:rsid w:val="4C362305"/>
    <w:rsid w:val="4C721F3E"/>
    <w:rsid w:val="4C966830"/>
    <w:rsid w:val="4DCA7A1B"/>
    <w:rsid w:val="4E120E92"/>
    <w:rsid w:val="4E1B1F4C"/>
    <w:rsid w:val="4E36265A"/>
    <w:rsid w:val="4E9E3B1C"/>
    <w:rsid w:val="4EB13CDC"/>
    <w:rsid w:val="502A219B"/>
    <w:rsid w:val="50C918A3"/>
    <w:rsid w:val="50D837DA"/>
    <w:rsid w:val="50EA3601"/>
    <w:rsid w:val="50FF0B7F"/>
    <w:rsid w:val="526F3B26"/>
    <w:rsid w:val="530672E9"/>
    <w:rsid w:val="53C038E2"/>
    <w:rsid w:val="53F025C8"/>
    <w:rsid w:val="543C7835"/>
    <w:rsid w:val="55486B56"/>
    <w:rsid w:val="57504074"/>
    <w:rsid w:val="582D6165"/>
    <w:rsid w:val="58AA7D10"/>
    <w:rsid w:val="58E4791C"/>
    <w:rsid w:val="58F425A3"/>
    <w:rsid w:val="5C9848B3"/>
    <w:rsid w:val="5DCF02C4"/>
    <w:rsid w:val="5DD1704A"/>
    <w:rsid w:val="5E2A0E6F"/>
    <w:rsid w:val="5EA02EE1"/>
    <w:rsid w:val="5F5E34C9"/>
    <w:rsid w:val="60C834C5"/>
    <w:rsid w:val="61093B86"/>
    <w:rsid w:val="61A21772"/>
    <w:rsid w:val="61FA02B4"/>
    <w:rsid w:val="62197BAF"/>
    <w:rsid w:val="63112F29"/>
    <w:rsid w:val="63640095"/>
    <w:rsid w:val="636552C6"/>
    <w:rsid w:val="66002702"/>
    <w:rsid w:val="661B549F"/>
    <w:rsid w:val="667A2719"/>
    <w:rsid w:val="66F0515E"/>
    <w:rsid w:val="67B43680"/>
    <w:rsid w:val="67D30866"/>
    <w:rsid w:val="67F60821"/>
    <w:rsid w:val="68965230"/>
    <w:rsid w:val="68B016F4"/>
    <w:rsid w:val="69AC45FD"/>
    <w:rsid w:val="69C812D8"/>
    <w:rsid w:val="6A2F069B"/>
    <w:rsid w:val="6B1345C5"/>
    <w:rsid w:val="6B6C77E4"/>
    <w:rsid w:val="6BCE3F9D"/>
    <w:rsid w:val="6BF138C7"/>
    <w:rsid w:val="6BF63EB6"/>
    <w:rsid w:val="6CEC4EA3"/>
    <w:rsid w:val="6D7509F6"/>
    <w:rsid w:val="6D9145DF"/>
    <w:rsid w:val="6DBB6A55"/>
    <w:rsid w:val="6E262A48"/>
    <w:rsid w:val="6E3366EF"/>
    <w:rsid w:val="6E474AA0"/>
    <w:rsid w:val="70F647FB"/>
    <w:rsid w:val="70FF0CE8"/>
    <w:rsid w:val="710F1095"/>
    <w:rsid w:val="73883799"/>
    <w:rsid w:val="740A34C6"/>
    <w:rsid w:val="74E04CAB"/>
    <w:rsid w:val="752D2CD6"/>
    <w:rsid w:val="75BB2A7C"/>
    <w:rsid w:val="75D755B8"/>
    <w:rsid w:val="76E8206D"/>
    <w:rsid w:val="796305BA"/>
    <w:rsid w:val="79D21B79"/>
    <w:rsid w:val="79FE016E"/>
    <w:rsid w:val="7AF37F24"/>
    <w:rsid w:val="7BDA5BB4"/>
    <w:rsid w:val="7C8C602D"/>
    <w:rsid w:val="7CDD1DDD"/>
    <w:rsid w:val="7D4A44A8"/>
    <w:rsid w:val="7D5214A6"/>
    <w:rsid w:val="7DD7746C"/>
    <w:rsid w:val="7E336C6C"/>
    <w:rsid w:val="7E3975E6"/>
    <w:rsid w:val="7EFF2509"/>
    <w:rsid w:val="7F361FB9"/>
    <w:rsid w:val="7FAF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Plain Text"/>
    <w:basedOn w:val="1"/>
    <w:qFormat/>
    <w:uiPriority w:val="99"/>
    <w:rPr>
      <w:rFonts w:ascii="宋体" w:hAnsi="Courier New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2026-01-29T01:07:00Z</dcterms:created>
  <dc:creator>yndw</dc:creator>
  <cp:lastModifiedBy>yndw</cp:lastModifiedBy>
  <dcterms:modified xsi:type="dcterms:W3CDTF">2026-01-29T01:17:48Z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CF6F6FD839974264B957B06EC3D9A391</vt:lpwstr>
  </property>
</Properties>
</file>