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8972BD">
      <w:pPr>
        <w:keepNext w:val="0"/>
        <w:keepLines w:val="0"/>
        <w:pageBreakBefore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
          <w:bCs/>
          <w:kern w:val="0"/>
          <w:sz w:val="36"/>
          <w:szCs w:val="36"/>
          <w:lang w:val="en-US" w:eastAsia="zh-CN"/>
        </w:rPr>
      </w:pPr>
      <w:bookmarkStart w:id="0" w:name="_Toc24967"/>
      <w:r>
        <w:rPr>
          <w:rFonts w:hint="eastAsia" w:ascii="宋体" w:hAnsi="宋体" w:eastAsia="宋体" w:cs="宋体"/>
          <w:b/>
          <w:bCs/>
          <w:kern w:val="0"/>
          <w:sz w:val="36"/>
          <w:szCs w:val="36"/>
          <w:lang w:val="en-US" w:eastAsia="zh-CN"/>
        </w:rPr>
        <w:t>202</w:t>
      </w:r>
      <w:r>
        <w:rPr>
          <w:rFonts w:hint="eastAsia" w:ascii="宋体" w:hAnsi="宋体" w:cs="宋体"/>
          <w:b/>
          <w:bCs/>
          <w:kern w:val="0"/>
          <w:sz w:val="36"/>
          <w:szCs w:val="36"/>
          <w:lang w:val="en-US" w:eastAsia="zh-CN"/>
        </w:rPr>
        <w:t>6</w:t>
      </w:r>
      <w:r>
        <w:rPr>
          <w:rFonts w:hint="eastAsia" w:ascii="宋体" w:hAnsi="宋体" w:eastAsia="宋体" w:cs="宋体"/>
          <w:b/>
          <w:bCs/>
          <w:kern w:val="0"/>
          <w:sz w:val="36"/>
          <w:szCs w:val="36"/>
          <w:lang w:val="en-US" w:eastAsia="zh-CN"/>
        </w:rPr>
        <w:t>年</w:t>
      </w:r>
      <w:r>
        <w:rPr>
          <w:rFonts w:hint="eastAsia" w:ascii="宋体" w:hAnsi="宋体" w:cs="宋体"/>
          <w:b/>
          <w:bCs/>
          <w:kern w:val="0"/>
          <w:sz w:val="36"/>
          <w:szCs w:val="36"/>
          <w:lang w:val="en-US" w:eastAsia="zh-CN"/>
        </w:rPr>
        <w:t>南方电网数字电网研究院股份有限公司量子电流敏感元件的闭环调理ASIC技术项目（课题）经费审计</w:t>
      </w:r>
      <w:r>
        <w:rPr>
          <w:rFonts w:hint="eastAsia" w:ascii="宋体" w:hAnsi="宋体" w:eastAsia="宋体" w:cs="宋体"/>
          <w:b/>
          <w:bCs/>
          <w:kern w:val="0"/>
          <w:sz w:val="36"/>
          <w:szCs w:val="36"/>
          <w:lang w:val="en-US" w:eastAsia="zh-CN"/>
        </w:rPr>
        <w:t>服务零星采购</w:t>
      </w:r>
    </w:p>
    <w:p w14:paraId="1C2CDE38">
      <w:pPr>
        <w:keepNext w:val="0"/>
        <w:keepLines w:val="0"/>
        <w:pageBreakBefore w:val="0"/>
        <w:kinsoku/>
        <w:wordWrap/>
        <w:overflowPunct/>
        <w:topLinePunct w:val="0"/>
        <w:autoSpaceDE/>
        <w:autoSpaceDN/>
        <w:bidi w:val="0"/>
        <w:adjustRightInd/>
        <w:snapToGrid/>
        <w:spacing w:line="360" w:lineRule="auto"/>
        <w:ind w:firstLine="723" w:firstLineChars="200"/>
        <w:jc w:val="center"/>
        <w:textAlignment w:val="auto"/>
        <w:rPr>
          <w:rFonts w:hint="eastAsia" w:ascii="宋体" w:hAnsi="宋体" w:eastAsia="宋体" w:cs="宋体"/>
          <w:b/>
          <w:bCs/>
          <w:kern w:val="0"/>
          <w:sz w:val="32"/>
          <w:szCs w:val="32"/>
          <w:lang w:val="en-US" w:eastAsia="zh-CN"/>
        </w:rPr>
      </w:pPr>
      <w:r>
        <w:rPr>
          <w:rFonts w:hint="eastAsia" w:ascii="宋体" w:hAnsi="宋体" w:eastAsia="宋体" w:cs="宋体"/>
          <w:b/>
          <w:bCs/>
          <w:kern w:val="0"/>
          <w:sz w:val="36"/>
          <w:szCs w:val="36"/>
          <w:lang w:val="en-US" w:eastAsia="zh-CN"/>
        </w:rPr>
        <w:t>技术规范书</w:t>
      </w:r>
    </w:p>
    <w:p w14:paraId="65D8D1F6">
      <w:pPr>
        <w:keepNext w:val="0"/>
        <w:keepLines w:val="0"/>
        <w:pageBreakBefore w:val="0"/>
        <w:widowControl w:val="0"/>
        <w:numPr>
          <w:ilvl w:val="0"/>
          <w:numId w:val="1"/>
        </w:numPr>
        <w:kinsoku/>
        <w:wordWrap/>
        <w:overflowPunct/>
        <w:topLinePunct w:val="0"/>
        <w:autoSpaceDE/>
        <w:autoSpaceDN/>
        <w:bidi w:val="0"/>
        <w:adjustRightInd w:val="0"/>
        <w:snapToGrid/>
        <w:spacing w:before="156" w:beforeLines="50" w:after="156" w:afterLines="50" w:line="360" w:lineRule="auto"/>
        <w:ind w:left="0" w:firstLine="482" w:firstLineChars="200"/>
        <w:contextualSpacing/>
        <w:textAlignment w:val="auto"/>
        <w:outlineLvl w:val="1"/>
        <w:rPr>
          <w:rFonts w:ascii="宋体" w:hAnsi="宋体" w:eastAsia="宋体"/>
          <w:b/>
          <w:sz w:val="24"/>
          <w:szCs w:val="24"/>
          <w:highlight w:val="none"/>
        </w:rPr>
      </w:pPr>
      <w:r>
        <w:rPr>
          <w:rFonts w:hint="eastAsia" w:ascii="宋体" w:hAnsi="宋体" w:eastAsia="宋体"/>
          <w:b/>
          <w:sz w:val="24"/>
          <w:szCs w:val="24"/>
          <w:highlight w:val="none"/>
        </w:rPr>
        <w:t>项目概况</w:t>
      </w:r>
      <w:bookmarkEnd w:id="0"/>
    </w:p>
    <w:p w14:paraId="7495F29B">
      <w:pPr>
        <w:keepNext w:val="0"/>
        <w:keepLines w:val="0"/>
        <w:pageBreakBefore w:val="0"/>
        <w:widowControl w:val="0"/>
        <w:kinsoku/>
        <w:wordWrap/>
        <w:overflowPunct/>
        <w:topLinePunct w:val="0"/>
        <w:autoSpaceDE/>
        <w:autoSpaceDN/>
        <w:bidi w:val="0"/>
        <w:snapToGrid/>
        <w:spacing w:line="360" w:lineRule="auto"/>
        <w:ind w:left="0" w:firstLine="480" w:firstLineChars="200"/>
        <w:textAlignment w:val="auto"/>
        <w:rPr>
          <w:rFonts w:hint="default" w:ascii="宋体" w:hAnsi="宋体" w:eastAsia="宋体"/>
          <w:sz w:val="24"/>
          <w:szCs w:val="24"/>
          <w:highlight w:val="none"/>
          <w:lang w:val="en-US" w:eastAsia="zh-CN"/>
        </w:rPr>
      </w:pPr>
      <w:r>
        <w:rPr>
          <w:rFonts w:hint="eastAsia" w:ascii="宋体" w:hAnsi="宋体" w:eastAsia="宋体"/>
          <w:sz w:val="24"/>
          <w:szCs w:val="24"/>
          <w:highlight w:val="none"/>
        </w:rPr>
        <w:t>1.项目名称：2026年南方电网数字电网研究院股份有限公司量子电流敏感元件的闭环调理ASIC技术术项目（课题）经费审计服务零星采</w:t>
      </w:r>
      <w:r>
        <w:rPr>
          <w:rFonts w:hint="eastAsia" w:ascii="宋体" w:hAnsi="宋体"/>
          <w:sz w:val="24"/>
          <w:szCs w:val="24"/>
          <w:highlight w:val="none"/>
          <w:lang w:val="en-US" w:eastAsia="zh-CN"/>
        </w:rPr>
        <w:t>购</w:t>
      </w:r>
    </w:p>
    <w:p w14:paraId="29C295F1">
      <w:pPr>
        <w:keepNext w:val="0"/>
        <w:keepLines w:val="0"/>
        <w:pageBreakBefore w:val="0"/>
        <w:widowControl w:val="0"/>
        <w:kinsoku/>
        <w:wordWrap/>
        <w:overflowPunct/>
        <w:topLinePunct w:val="0"/>
        <w:autoSpaceDE/>
        <w:autoSpaceDN/>
        <w:bidi w:val="0"/>
        <w:snapToGrid/>
        <w:spacing w:line="360" w:lineRule="auto"/>
        <w:ind w:left="0"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lang w:val="en-US" w:eastAsia="zh-CN"/>
        </w:rPr>
        <w:t>2</w:t>
      </w:r>
      <w:r>
        <w:rPr>
          <w:rFonts w:hint="eastAsia" w:ascii="宋体" w:hAnsi="宋体" w:eastAsia="宋体"/>
          <w:sz w:val="24"/>
          <w:szCs w:val="24"/>
          <w:highlight w:val="none"/>
        </w:rPr>
        <w:t>.本次采购内容</w:t>
      </w:r>
    </w:p>
    <w:p w14:paraId="062054DF">
      <w:pPr>
        <w:keepNext w:val="0"/>
        <w:keepLines w:val="0"/>
        <w:pageBreakBefore w:val="0"/>
        <w:widowControl/>
        <w:kinsoku/>
        <w:wordWrap/>
        <w:overflowPunct/>
        <w:topLinePunct/>
        <w:autoSpaceDE/>
        <w:autoSpaceDN/>
        <w:bidi w:val="0"/>
        <w:snapToGrid/>
        <w:spacing w:line="360" w:lineRule="auto"/>
        <w:ind w:firstLine="480" w:firstLineChars="200"/>
        <w:jc w:val="left"/>
        <w:rPr>
          <w:rFonts w:hint="default" w:ascii="宋体" w:hAnsi="宋体" w:eastAsia="宋体" w:cs="宋体"/>
          <w:color w:val="auto"/>
          <w:kern w:val="0"/>
          <w:sz w:val="24"/>
          <w:lang w:val="en-US" w:eastAsia="zh-CN"/>
        </w:rPr>
      </w:pPr>
      <w:r>
        <w:rPr>
          <w:rFonts w:hint="default" w:ascii="宋体" w:hAnsi="宋体" w:cs="宋体"/>
          <w:color w:val="auto"/>
          <w:kern w:val="0"/>
          <w:sz w:val="24"/>
          <w:lang w:val="en-US" w:eastAsia="zh-CN"/>
        </w:rPr>
        <w:t>“</w:t>
      </w:r>
      <w:r>
        <w:rPr>
          <w:rFonts w:hint="eastAsia" w:ascii="宋体" w:hAnsi="宋体" w:cs="宋体"/>
          <w:color w:val="auto"/>
          <w:kern w:val="0"/>
          <w:sz w:val="24"/>
          <w:lang w:val="en-US" w:eastAsia="zh-CN"/>
        </w:rPr>
        <w:t>量子电流敏感元件的闭环调理ASIC技术</w:t>
      </w:r>
      <w:r>
        <w:rPr>
          <w:rFonts w:hint="default" w:ascii="宋体" w:hAnsi="宋体" w:cs="宋体"/>
          <w:color w:val="auto"/>
          <w:kern w:val="0"/>
          <w:sz w:val="24"/>
          <w:lang w:val="en-US" w:eastAsia="zh-CN"/>
        </w:rPr>
        <w:t>”</w:t>
      </w:r>
      <w:r>
        <w:rPr>
          <w:rFonts w:hint="eastAsia" w:ascii="宋体" w:hAnsi="宋体" w:cs="宋体"/>
          <w:color w:val="auto"/>
          <w:kern w:val="0"/>
          <w:sz w:val="24"/>
          <w:lang w:val="en-US" w:eastAsia="zh-CN"/>
        </w:rPr>
        <w:t>项</w:t>
      </w:r>
      <w:r>
        <w:rPr>
          <w:rFonts w:hint="eastAsia" w:ascii="宋体" w:hAnsi="宋体" w:cs="宋体"/>
          <w:color w:val="auto"/>
          <w:kern w:val="0"/>
          <w:sz w:val="24"/>
        </w:rPr>
        <w:t>目（课题）</w:t>
      </w:r>
      <w:r>
        <w:rPr>
          <w:rFonts w:hint="eastAsia" w:ascii="宋体" w:hAnsi="宋体" w:cs="宋体"/>
          <w:color w:val="auto"/>
          <w:kern w:val="0"/>
          <w:sz w:val="24"/>
          <w:lang w:val="en-US" w:eastAsia="zh-CN"/>
        </w:rPr>
        <w:t>总经费为532万元，其中中央财政专项资金为239万元，自筹经费为293万元。</w:t>
      </w:r>
    </w:p>
    <w:p w14:paraId="2D11013F">
      <w:pPr>
        <w:keepNext w:val="0"/>
        <w:keepLines w:val="0"/>
        <w:pageBreakBefore w:val="0"/>
        <w:widowControl/>
        <w:kinsoku/>
        <w:wordWrap/>
        <w:overflowPunct/>
        <w:topLinePunct/>
        <w:autoSpaceDE/>
        <w:autoSpaceDN/>
        <w:bidi w:val="0"/>
        <w:snapToGrid/>
        <w:spacing w:line="360" w:lineRule="auto"/>
        <w:ind w:firstLine="549" w:firstLineChars="229"/>
        <w:jc w:val="left"/>
        <w:rPr>
          <w:rFonts w:hint="default" w:ascii="宋体" w:hAnsi="宋体"/>
          <w:sz w:val="24"/>
          <w:szCs w:val="24"/>
          <w:highlight w:val="none"/>
          <w:lang w:val="en-US" w:eastAsia="zh-CN"/>
        </w:rPr>
      </w:pPr>
      <w:r>
        <w:rPr>
          <w:rFonts w:hint="eastAsia" w:ascii="宋体" w:hAnsi="宋体" w:cs="宋体"/>
          <w:color w:val="auto"/>
          <w:kern w:val="0"/>
          <w:sz w:val="24"/>
          <w:lang w:eastAsia="zh-CN"/>
        </w:rPr>
        <w:t>中标方需</w:t>
      </w:r>
      <w:r>
        <w:rPr>
          <w:rFonts w:hint="eastAsia" w:ascii="宋体" w:hAnsi="宋体" w:eastAsia="宋体"/>
          <w:sz w:val="24"/>
          <w:szCs w:val="24"/>
          <w:highlight w:val="none"/>
        </w:rPr>
        <w:t>为</w:t>
      </w:r>
      <w:r>
        <w:rPr>
          <w:rFonts w:hint="eastAsia" w:ascii="宋体" w:hAnsi="宋体"/>
          <w:sz w:val="24"/>
          <w:szCs w:val="24"/>
          <w:highlight w:val="none"/>
          <w:lang w:eastAsia="zh-CN"/>
        </w:rPr>
        <w:t>南方电网数字电网研究院股份有限公司</w:t>
      </w:r>
      <w:r>
        <w:rPr>
          <w:rFonts w:hint="eastAsia" w:ascii="宋体" w:hAnsi="宋体" w:cs="宋体"/>
          <w:color w:val="auto"/>
          <w:kern w:val="0"/>
          <w:sz w:val="24"/>
          <w:lang w:val="en-US" w:eastAsia="zh-CN"/>
        </w:rPr>
        <w:t>承担</w:t>
      </w:r>
      <w:r>
        <w:rPr>
          <w:rFonts w:hint="eastAsia" w:ascii="宋体" w:hAnsi="宋体" w:cs="宋体"/>
          <w:color w:val="auto"/>
          <w:kern w:val="0"/>
          <w:sz w:val="24"/>
        </w:rPr>
        <w:t>的</w:t>
      </w:r>
      <w:r>
        <w:rPr>
          <w:rFonts w:hint="eastAsia" w:ascii="宋体" w:hAnsi="宋体" w:cs="宋体"/>
          <w:color w:val="auto"/>
          <w:kern w:val="0"/>
          <w:sz w:val="24"/>
          <w:lang w:val="en-US" w:eastAsia="zh-CN"/>
        </w:rPr>
        <w:t>量子电流敏感元件的闭环调理ASIC技术</w:t>
      </w:r>
      <w:r>
        <w:rPr>
          <w:rFonts w:hint="eastAsia" w:ascii="宋体" w:hAnsi="宋体" w:cs="宋体"/>
          <w:color w:val="auto"/>
          <w:kern w:val="0"/>
          <w:sz w:val="24"/>
        </w:rPr>
        <w:t>项目（课题）结题执行审计，按照中国注册会计师审计准则（以下简称审计准则）的要求出具</w:t>
      </w:r>
      <w:r>
        <w:rPr>
          <w:rFonts w:hint="eastAsia" w:ascii="宋体" w:hAnsi="宋体" w:cs="宋体"/>
          <w:color w:val="auto"/>
          <w:kern w:val="0"/>
          <w:sz w:val="24"/>
          <w:lang w:eastAsia="zh-CN"/>
        </w:rPr>
        <w:t>科技项目经费审查</w:t>
      </w:r>
      <w:r>
        <w:rPr>
          <w:rFonts w:hint="eastAsia" w:ascii="宋体" w:hAnsi="宋体" w:cs="宋体"/>
          <w:color w:val="auto"/>
          <w:kern w:val="0"/>
          <w:sz w:val="24"/>
        </w:rPr>
        <w:t>报告，以报告项目（课题）承担单位按照科研项目（课题）资金相关法律法规以及经批准的项目（课题）任务书和预算书的规定，对科研项目（课题）资金投入、使用、管理的具体情况，同时报告审计中发现的问题并提出相关建议</w:t>
      </w:r>
      <w:r>
        <w:rPr>
          <w:rFonts w:hint="eastAsia" w:ascii="宋体" w:hAnsi="宋体"/>
          <w:color w:val="auto"/>
          <w:sz w:val="24"/>
        </w:rPr>
        <w:t>。</w:t>
      </w:r>
      <w:r>
        <w:rPr>
          <w:rFonts w:hint="eastAsia" w:ascii="宋体" w:hAnsi="宋体"/>
          <w:color w:val="auto"/>
          <w:sz w:val="24"/>
          <w:lang w:eastAsia="zh-CN"/>
        </w:rPr>
        <w:t>同时审查</w:t>
      </w:r>
      <w:r>
        <w:rPr>
          <w:rFonts w:hint="eastAsia" w:ascii="宋体" w:hAnsi="宋体"/>
          <w:sz w:val="24"/>
          <w:szCs w:val="24"/>
          <w:highlight w:val="none"/>
          <w:lang w:val="en-US" w:eastAsia="zh-CN"/>
        </w:rPr>
        <w:t>报告的交付时间要在项目结题后两个月内完成。</w:t>
      </w:r>
    </w:p>
    <w:p w14:paraId="36C83151">
      <w:pPr>
        <w:keepNext w:val="0"/>
        <w:keepLines w:val="0"/>
        <w:pageBreakBefore w:val="0"/>
        <w:widowControl w:val="0"/>
        <w:numPr>
          <w:ilvl w:val="0"/>
          <w:numId w:val="1"/>
        </w:numPr>
        <w:kinsoku/>
        <w:wordWrap/>
        <w:overflowPunct/>
        <w:topLinePunct w:val="0"/>
        <w:autoSpaceDE/>
        <w:autoSpaceDN/>
        <w:bidi w:val="0"/>
        <w:adjustRightInd w:val="0"/>
        <w:snapToGrid/>
        <w:spacing w:before="156" w:beforeLines="50" w:after="156" w:afterLines="50" w:line="360" w:lineRule="auto"/>
        <w:ind w:left="0" w:firstLine="482" w:firstLineChars="200"/>
        <w:contextualSpacing/>
        <w:textAlignment w:val="auto"/>
        <w:outlineLvl w:val="1"/>
        <w:rPr>
          <w:rFonts w:hint="eastAsia" w:ascii="宋体" w:hAnsi="宋体" w:eastAsia="宋体"/>
          <w:b/>
          <w:sz w:val="24"/>
          <w:szCs w:val="24"/>
          <w:highlight w:val="none"/>
          <w:lang w:val="en-US" w:eastAsia="zh-CN"/>
        </w:rPr>
      </w:pPr>
      <w:r>
        <w:rPr>
          <w:rFonts w:hint="eastAsia" w:ascii="宋体" w:hAnsi="宋体" w:eastAsia="宋体"/>
          <w:b/>
          <w:sz w:val="24"/>
          <w:szCs w:val="24"/>
          <w:highlight w:val="none"/>
          <w:lang w:val="en-US" w:eastAsia="zh-CN"/>
        </w:rPr>
        <w:t>供应商资格要求</w:t>
      </w:r>
    </w:p>
    <w:p w14:paraId="523284E8">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kern w:val="2"/>
          <w:sz w:val="24"/>
          <w:szCs w:val="24"/>
          <w:lang w:val="en-US" w:eastAsia="zh-CN" w:bidi="ar-SA"/>
        </w:rPr>
        <w:t>中华人民共和国境内注册合法运作的法人或非法人组织，具有独立承担招标、采购项目的能力和独立履行合同的能力。必须提供有效期内的营业执照或其他行政主管部门核发的有效登记注册证明文件</w:t>
      </w:r>
      <w:r>
        <w:rPr>
          <w:rFonts w:hint="eastAsia" w:ascii="宋体" w:hAnsi="宋体" w:cs="宋体"/>
          <w:kern w:val="2"/>
          <w:sz w:val="24"/>
          <w:szCs w:val="24"/>
          <w:lang w:val="en-US" w:eastAsia="zh-CN" w:bidi="ar-SA"/>
        </w:rPr>
        <w:t>（营业执照经营范围需涵盖审计服务等相关内容）</w:t>
      </w:r>
      <w:r>
        <w:rPr>
          <w:rFonts w:hint="eastAsia" w:ascii="宋体" w:hAnsi="宋体" w:eastAsia="宋体" w:cs="宋体"/>
          <w:kern w:val="2"/>
          <w:sz w:val="24"/>
          <w:szCs w:val="24"/>
          <w:lang w:val="en-US" w:eastAsia="zh-CN" w:bidi="ar-SA"/>
        </w:rPr>
        <w:t>。</w:t>
      </w:r>
    </w:p>
    <w:p w14:paraId="7F43843C">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事务所需</w:t>
      </w:r>
      <w:bookmarkStart w:id="1" w:name="_GoBack"/>
      <w:bookmarkEnd w:id="1"/>
      <w:r>
        <w:rPr>
          <w:rFonts w:hint="eastAsia" w:ascii="宋体" w:hAnsi="宋体" w:eastAsia="宋体" w:cs="宋体"/>
          <w:sz w:val="24"/>
          <w:szCs w:val="24"/>
          <w:lang w:val="en-US" w:eastAsia="zh-CN"/>
        </w:rPr>
        <w:t>在《承接国家重点研发计划结题审计服务会计师事务所备案名单(截至2023年</w:t>
      </w:r>
      <w:r>
        <w:rPr>
          <w:rFonts w:hint="eastAsia" w:ascii="宋体" w:hAnsi="宋体" w:cs="宋体"/>
          <w:sz w:val="24"/>
          <w:szCs w:val="24"/>
          <w:lang w:val="en-US" w:eastAsia="zh-CN"/>
        </w:rPr>
        <w:t>8</w:t>
      </w:r>
      <w:r>
        <w:rPr>
          <w:rFonts w:hint="eastAsia" w:ascii="宋体" w:hAnsi="宋体" w:eastAsia="宋体" w:cs="宋体"/>
          <w:sz w:val="24"/>
          <w:szCs w:val="24"/>
          <w:lang w:val="en-US" w:eastAsia="zh-CN"/>
        </w:rPr>
        <w:t>月</w:t>
      </w:r>
      <w:r>
        <w:rPr>
          <w:rFonts w:hint="eastAsia" w:ascii="宋体" w:hAnsi="宋体" w:cs="宋体"/>
          <w:sz w:val="24"/>
          <w:szCs w:val="24"/>
          <w:lang w:val="en-US" w:eastAsia="zh-CN"/>
        </w:rPr>
        <w:t>1</w:t>
      </w:r>
      <w:r>
        <w:rPr>
          <w:rFonts w:hint="eastAsia" w:ascii="宋体" w:hAnsi="宋体" w:eastAsia="宋体" w:cs="宋体"/>
          <w:sz w:val="24"/>
          <w:szCs w:val="24"/>
          <w:lang w:val="en-US" w:eastAsia="zh-CN"/>
        </w:rPr>
        <w:t>0日)》范围内。</w:t>
      </w:r>
    </w:p>
    <w:p w14:paraId="31BC9608">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kern w:val="2"/>
          <w:sz w:val="24"/>
          <w:szCs w:val="24"/>
          <w:lang w:val="en-US" w:eastAsia="zh-CN" w:bidi="ar-SA"/>
        </w:rPr>
        <w:t>在经营活动中无重大违法失信记录，没有被国家企业信用信息公示系统（www.gsxt.gov.cn）列入严重违法失信企业名单，没有被“信用中国”网站（www.creditchina.gov.cn）列入失信被执行人名单，应提供上述两个网站的相应截图；在中国南方电网有限责任公司范围内没有处于限制投标资格的处罚期内。</w:t>
      </w:r>
    </w:p>
    <w:p w14:paraId="4A0D17D0">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firstLine="480" w:firstLineChars="200"/>
        <w:jc w:val="left"/>
        <w:textAlignment w:val="auto"/>
        <w:rPr>
          <w:rFonts w:hint="eastAsia"/>
          <w:lang w:val="en-US" w:eastAsia="zh-CN"/>
        </w:rPr>
      </w:pPr>
      <w:r>
        <w:rPr>
          <w:rFonts w:hint="eastAsia" w:ascii="宋体" w:hAnsi="宋体" w:eastAsia="宋体" w:cs="宋体"/>
          <w:sz w:val="24"/>
          <w:szCs w:val="24"/>
          <w:lang w:val="en-US" w:eastAsia="zh-CN"/>
        </w:rPr>
        <w:t>考虑到沟通便利性</w:t>
      </w:r>
      <w:r>
        <w:rPr>
          <w:rFonts w:hint="eastAsia" w:ascii="宋体" w:hAnsi="宋体" w:cs="宋体"/>
          <w:sz w:val="24"/>
          <w:szCs w:val="24"/>
          <w:lang w:val="en-US" w:eastAsia="zh-CN"/>
        </w:rPr>
        <w:t>及时效性</w:t>
      </w:r>
      <w:r>
        <w:rPr>
          <w:rFonts w:hint="eastAsia" w:ascii="宋体" w:hAnsi="宋体" w:eastAsia="宋体" w:cs="宋体"/>
          <w:sz w:val="24"/>
          <w:szCs w:val="24"/>
          <w:lang w:val="en-US" w:eastAsia="zh-CN"/>
        </w:rPr>
        <w:t>，事务所</w:t>
      </w:r>
      <w:r>
        <w:rPr>
          <w:rFonts w:hint="eastAsia" w:ascii="宋体" w:hAnsi="宋体" w:cs="宋体"/>
          <w:sz w:val="24"/>
          <w:szCs w:val="24"/>
          <w:lang w:val="en-US" w:eastAsia="zh-CN"/>
        </w:rPr>
        <w:t>需要</w:t>
      </w:r>
      <w:r>
        <w:rPr>
          <w:rFonts w:hint="eastAsia" w:ascii="宋体" w:hAnsi="宋体" w:eastAsia="宋体" w:cs="宋体"/>
          <w:sz w:val="24"/>
          <w:szCs w:val="24"/>
          <w:lang w:val="en-US" w:eastAsia="zh-CN"/>
        </w:rPr>
        <w:t>在广州市核心区域设有固定办公场所，或至少在广州市内有常驻服务团队。</w:t>
      </w:r>
      <w:r>
        <w:rPr>
          <w:rFonts w:hint="eastAsia" w:ascii="宋体" w:hAnsi="宋体" w:cs="宋体"/>
          <w:sz w:val="24"/>
          <w:szCs w:val="24"/>
          <w:lang w:val="en-US" w:eastAsia="zh-CN"/>
        </w:rPr>
        <w:t>对</w:t>
      </w:r>
      <w:r>
        <w:rPr>
          <w:rFonts w:hint="eastAsia" w:ascii="宋体" w:hAnsi="宋体" w:eastAsia="宋体" w:cs="宋体"/>
          <w:sz w:val="24"/>
          <w:szCs w:val="24"/>
          <w:lang w:val="en-US" w:eastAsia="zh-CN"/>
        </w:rPr>
        <w:t>于紧急的审计需求，事务所需承诺在多长时间内（如2小时内响应，24小时内派员到场）做出反应。</w:t>
      </w:r>
    </w:p>
    <w:p w14:paraId="3ABA3B9D">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firstLine="480" w:firstLineChars="200"/>
        <w:jc w:val="left"/>
        <w:textAlignment w:val="auto"/>
        <w:rPr>
          <w:rFonts w:hint="eastAsia"/>
          <w:lang w:val="en-US" w:eastAsia="zh-CN"/>
        </w:rPr>
      </w:pPr>
      <w:r>
        <w:rPr>
          <w:rFonts w:hint="eastAsia" w:ascii="宋体" w:hAnsi="宋体" w:eastAsia="宋体" w:cs="宋体"/>
          <w:sz w:val="24"/>
          <w:szCs w:val="24"/>
          <w:lang w:val="en-US" w:eastAsia="zh-CN"/>
        </w:rPr>
        <w:t>团队负责人需具备注册会计师或相关专业高级职称证书复印件（加盖公章），具有</w:t>
      </w:r>
      <w:r>
        <w:rPr>
          <w:rFonts w:hint="eastAsia" w:ascii="宋体" w:hAnsi="宋体" w:cs="宋体"/>
          <w:sz w:val="24"/>
          <w:szCs w:val="24"/>
          <w:lang w:val="en-US" w:eastAsia="zh-CN"/>
        </w:rPr>
        <w:t>5</w:t>
      </w:r>
      <w:r>
        <w:rPr>
          <w:rFonts w:hint="eastAsia" w:ascii="宋体" w:hAnsi="宋体" w:eastAsia="宋体" w:cs="宋体"/>
          <w:sz w:val="24"/>
          <w:szCs w:val="24"/>
          <w:lang w:val="en-US" w:eastAsia="zh-CN"/>
        </w:rPr>
        <w:t>年以上科研项目经费审计工作经验，熟悉国家科研项目经费管理政策及法规，具备丰富的项目管理经验及沟通协调能力。（须提供相关证明材料）。</w:t>
      </w:r>
    </w:p>
    <w:p w14:paraId="3275B68A">
      <w:pPr>
        <w:keepNext w:val="0"/>
        <w:keepLines w:val="0"/>
        <w:pageBreakBefore w:val="0"/>
        <w:widowControl w:val="0"/>
        <w:numPr>
          <w:ilvl w:val="0"/>
          <w:numId w:val="1"/>
        </w:numPr>
        <w:kinsoku/>
        <w:wordWrap/>
        <w:overflowPunct/>
        <w:topLinePunct w:val="0"/>
        <w:autoSpaceDE/>
        <w:autoSpaceDN/>
        <w:bidi w:val="0"/>
        <w:adjustRightInd w:val="0"/>
        <w:snapToGrid/>
        <w:spacing w:line="360" w:lineRule="auto"/>
        <w:ind w:left="0" w:firstLine="420" w:firstLineChars="0"/>
        <w:contextualSpacing/>
        <w:textAlignment w:val="auto"/>
        <w:outlineLvl w:val="1"/>
        <w:rPr>
          <w:rFonts w:hint="eastAsia" w:ascii="宋体" w:hAnsi="宋体" w:eastAsia="宋体"/>
          <w:b/>
          <w:sz w:val="24"/>
          <w:szCs w:val="24"/>
          <w:highlight w:val="none"/>
          <w:lang w:val="en-US" w:eastAsia="zh-CN"/>
        </w:rPr>
      </w:pPr>
      <w:r>
        <w:rPr>
          <w:rFonts w:hint="eastAsia" w:ascii="宋体" w:hAnsi="宋体" w:eastAsia="宋体"/>
          <w:b/>
          <w:sz w:val="24"/>
          <w:szCs w:val="24"/>
          <w:highlight w:val="none"/>
          <w:lang w:val="en-US" w:eastAsia="zh-CN"/>
        </w:rPr>
        <w:t>技术参数及报价表</w:t>
      </w:r>
    </w:p>
    <w:p w14:paraId="3E8E5A87">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pPr>
      <w:r>
        <w:rPr>
          <w:rFonts w:hint="eastAsia" w:ascii="宋体" w:hAnsi="宋体" w:eastAsia="宋体" w:cs="宋体"/>
          <w:sz w:val="24"/>
          <w:szCs w:val="24"/>
          <w:lang w:val="en-US" w:eastAsia="zh-CN"/>
        </w:rPr>
        <w:t>请各单位参考</w:t>
      </w:r>
      <w:r>
        <w:rPr>
          <w:rFonts w:hint="eastAsia" w:ascii="宋体" w:hAnsi="宋体" w:cs="宋体"/>
          <w:sz w:val="24"/>
          <w:szCs w:val="24"/>
          <w:lang w:val="en-US" w:eastAsia="zh-CN"/>
        </w:rPr>
        <w:t>表1</w:t>
      </w:r>
      <w:r>
        <w:rPr>
          <w:rFonts w:hint="eastAsia" w:ascii="宋体" w:hAnsi="宋体" w:eastAsia="宋体" w:cs="宋体"/>
          <w:sz w:val="24"/>
          <w:szCs w:val="24"/>
          <w:lang w:val="en-US" w:eastAsia="zh-CN"/>
        </w:rPr>
        <w:t>报价，</w:t>
      </w:r>
      <w:r>
        <w:rPr>
          <w:rFonts w:hint="eastAsia" w:ascii="宋体" w:hAnsi="宋体" w:eastAsia="宋体" w:cs="宋体"/>
          <w:sz w:val="24"/>
          <w:szCs w:val="24"/>
        </w:rPr>
        <w:t>报价单需包含税率说明，报价条目应清晰。</w:t>
      </w:r>
    </w:p>
    <w:p w14:paraId="31CEA9C8">
      <w:pPr>
        <w:pStyle w:val="2"/>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Fonts w:hint="eastAsia" w:ascii="黑体" w:hAnsi="黑体" w:eastAsia="黑体" w:cs="黑体"/>
          <w:kern w:val="2"/>
          <w:sz w:val="21"/>
          <w:szCs w:val="21"/>
          <w:lang w:val="en-US" w:eastAsia="zh-CN" w:bidi="ar-SA"/>
        </w:rPr>
      </w:pPr>
      <w:r>
        <w:rPr>
          <w:rFonts w:hint="eastAsia" w:ascii="黑体" w:hAnsi="黑体" w:eastAsia="黑体" w:cs="黑体"/>
          <w:sz w:val="21"/>
          <w:szCs w:val="21"/>
        </w:rPr>
        <w:t xml:space="preserve">表1 </w:t>
      </w:r>
      <w:r>
        <w:rPr>
          <w:rFonts w:hint="eastAsia" w:ascii="黑体" w:hAnsi="黑体" w:eastAsia="黑体" w:cs="黑体"/>
          <w:sz w:val="21"/>
          <w:szCs w:val="21"/>
          <w:lang w:val="en-US" w:eastAsia="zh-CN"/>
        </w:rPr>
        <w:t xml:space="preserve">  </w:t>
      </w:r>
      <w:r>
        <w:rPr>
          <w:rFonts w:hint="eastAsia" w:ascii="黑体" w:hAnsi="黑体" w:eastAsia="黑体" w:cs="黑体"/>
          <w:sz w:val="21"/>
          <w:szCs w:val="21"/>
        </w:rPr>
        <w:t>收费报价表</w:t>
      </w:r>
    </w:p>
    <w:tbl>
      <w:tblPr>
        <w:tblStyle w:val="9"/>
        <w:tblpPr w:leftFromText="180" w:rightFromText="180" w:vertAnchor="text" w:horzAnchor="page" w:tblpXSpec="center" w:tblpY="149"/>
        <w:tblOverlap w:val="never"/>
        <w:tblW w:w="84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531"/>
        <w:gridCol w:w="2901"/>
        <w:gridCol w:w="677"/>
        <w:gridCol w:w="686"/>
        <w:gridCol w:w="1818"/>
        <w:gridCol w:w="1824"/>
      </w:tblGrid>
      <w:tr w14:paraId="720DE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06" w:hRule="atLeast"/>
          <w:jc w:val="center"/>
        </w:trPr>
        <w:tc>
          <w:tcPr>
            <w:tcW w:w="531" w:type="dxa"/>
            <w:vAlign w:val="center"/>
          </w:tcPr>
          <w:p w14:paraId="4569E4F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序号</w:t>
            </w:r>
          </w:p>
        </w:tc>
        <w:tc>
          <w:tcPr>
            <w:tcW w:w="2901" w:type="dxa"/>
            <w:vAlign w:val="center"/>
          </w:tcPr>
          <w:p w14:paraId="5EEC3DF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项目名称</w:t>
            </w:r>
          </w:p>
        </w:tc>
        <w:tc>
          <w:tcPr>
            <w:tcW w:w="677" w:type="dxa"/>
            <w:vAlign w:val="center"/>
          </w:tcPr>
          <w:p w14:paraId="25D6975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b/>
                <w:bCs/>
                <w:color w:val="auto"/>
                <w:kern w:val="0"/>
                <w:sz w:val="21"/>
                <w:szCs w:val="21"/>
                <w:highlight w:val="none"/>
                <w:lang w:val="en-US" w:eastAsia="zh-CN"/>
              </w:rPr>
            </w:pPr>
            <w:r>
              <w:rPr>
                <w:rFonts w:hint="eastAsia" w:ascii="宋体" w:hAnsi="宋体" w:cs="宋体"/>
                <w:b/>
                <w:i w:val="0"/>
                <w:color w:val="auto"/>
                <w:kern w:val="0"/>
                <w:sz w:val="21"/>
                <w:szCs w:val="21"/>
                <w:highlight w:val="none"/>
                <w:u w:val="none"/>
                <w:lang w:val="en-US" w:eastAsia="zh-CN" w:bidi="ar"/>
              </w:rPr>
              <w:t>单位</w:t>
            </w:r>
          </w:p>
        </w:tc>
        <w:tc>
          <w:tcPr>
            <w:tcW w:w="686" w:type="dxa"/>
            <w:vAlign w:val="center"/>
          </w:tcPr>
          <w:p w14:paraId="0475F943">
            <w:pPr>
              <w:keepNext w:val="0"/>
              <w:keepLines w:val="0"/>
              <w:pageBreakBefore w:val="0"/>
              <w:widowControl/>
              <w:kinsoku/>
              <w:wordWrap/>
              <w:overflowPunct/>
              <w:topLinePunct w:val="0"/>
              <w:autoSpaceDE/>
              <w:autoSpaceDN/>
              <w:bidi w:val="0"/>
              <w:snapToGrid/>
              <w:spacing w:line="360" w:lineRule="auto"/>
              <w:ind w:firstLine="0" w:firstLineChars="0"/>
              <w:jc w:val="center"/>
              <w:textAlignment w:val="center"/>
              <w:rPr>
                <w:rFonts w:hint="eastAsia" w:ascii="宋体" w:hAnsi="宋体" w:eastAsia="宋体" w:cs="宋体"/>
                <w:b/>
                <w:bCs/>
                <w:color w:val="auto"/>
                <w:kern w:val="0"/>
                <w:sz w:val="21"/>
                <w:szCs w:val="21"/>
                <w:highlight w:val="none"/>
                <w:lang w:val="en-US" w:eastAsia="zh-CN"/>
              </w:rPr>
            </w:pPr>
            <w:r>
              <w:rPr>
                <w:rFonts w:hint="eastAsia" w:ascii="宋体" w:hAnsi="宋体" w:cs="宋体"/>
                <w:b/>
                <w:bCs/>
                <w:color w:val="000000"/>
                <w:kern w:val="0"/>
                <w:sz w:val="21"/>
                <w:szCs w:val="21"/>
                <w:lang w:val="en-US" w:eastAsia="zh-CN" w:bidi="ar"/>
              </w:rPr>
              <w:t>数量</w:t>
            </w:r>
          </w:p>
        </w:tc>
        <w:tc>
          <w:tcPr>
            <w:tcW w:w="1818" w:type="dxa"/>
            <w:vAlign w:val="center"/>
          </w:tcPr>
          <w:p w14:paraId="11B2C98E">
            <w:pPr>
              <w:keepNext w:val="0"/>
              <w:keepLines w:val="0"/>
              <w:pageBreakBefore w:val="0"/>
              <w:widowControl/>
              <w:kinsoku/>
              <w:wordWrap/>
              <w:overflowPunct/>
              <w:topLinePunct w:val="0"/>
              <w:autoSpaceDE/>
              <w:autoSpaceDN/>
              <w:bidi w:val="0"/>
              <w:snapToGrid/>
              <w:spacing w:line="360" w:lineRule="auto"/>
              <w:ind w:firstLine="0" w:firstLineChars="0"/>
              <w:jc w:val="center"/>
              <w:textAlignment w:val="center"/>
              <w:rPr>
                <w:rFonts w:hint="default" w:ascii="宋体" w:hAnsi="宋体" w:eastAsia="宋体" w:cs="宋体"/>
                <w:b/>
                <w:bCs/>
                <w:color w:val="auto"/>
                <w:kern w:val="0"/>
                <w:sz w:val="21"/>
                <w:szCs w:val="21"/>
                <w:highlight w:val="none"/>
                <w:lang w:val="en-US" w:eastAsia="zh-CN"/>
              </w:rPr>
            </w:pPr>
            <w:r>
              <w:rPr>
                <w:rFonts w:hint="eastAsia" w:ascii="宋体" w:hAnsi="宋体" w:cs="宋体"/>
                <w:b/>
                <w:bCs/>
                <w:color w:val="000000"/>
                <w:kern w:val="0"/>
                <w:sz w:val="21"/>
                <w:szCs w:val="21"/>
                <w:lang w:val="en-US" w:eastAsia="zh-CN" w:bidi="ar"/>
              </w:rPr>
              <w:t>单价限价（万元）</w:t>
            </w:r>
          </w:p>
        </w:tc>
        <w:tc>
          <w:tcPr>
            <w:tcW w:w="1824" w:type="dxa"/>
            <w:vAlign w:val="center"/>
          </w:tcPr>
          <w:p w14:paraId="0693632E">
            <w:pPr>
              <w:keepNext w:val="0"/>
              <w:keepLines w:val="0"/>
              <w:pageBreakBefore w:val="0"/>
              <w:widowControl/>
              <w:kinsoku/>
              <w:wordWrap/>
              <w:overflowPunct/>
              <w:topLinePunct w:val="0"/>
              <w:autoSpaceDE/>
              <w:autoSpaceDN/>
              <w:bidi w:val="0"/>
              <w:snapToGrid/>
              <w:spacing w:line="360" w:lineRule="auto"/>
              <w:ind w:firstLine="0" w:firstLineChars="0"/>
              <w:jc w:val="center"/>
              <w:textAlignment w:val="center"/>
              <w:rPr>
                <w:rFonts w:hint="default" w:ascii="宋体" w:hAnsi="宋体" w:cs="宋体"/>
                <w:b/>
                <w:bCs/>
                <w:color w:val="000000"/>
                <w:kern w:val="0"/>
                <w:sz w:val="21"/>
                <w:szCs w:val="21"/>
                <w:lang w:val="en-US" w:eastAsia="zh-CN" w:bidi="ar"/>
              </w:rPr>
            </w:pPr>
            <w:r>
              <w:rPr>
                <w:rFonts w:hint="eastAsia" w:ascii="宋体" w:hAnsi="宋体" w:cs="宋体"/>
                <w:b/>
                <w:bCs/>
                <w:color w:val="000000"/>
                <w:kern w:val="0"/>
                <w:sz w:val="21"/>
                <w:szCs w:val="21"/>
                <w:lang w:val="en-US" w:eastAsia="zh-CN" w:bidi="ar"/>
              </w:rPr>
              <w:t>合价限价（万元）</w:t>
            </w:r>
          </w:p>
        </w:tc>
      </w:tr>
      <w:tr w14:paraId="7E597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902" w:hRule="atLeast"/>
          <w:jc w:val="center"/>
        </w:trPr>
        <w:tc>
          <w:tcPr>
            <w:tcW w:w="531" w:type="dxa"/>
            <w:vAlign w:val="center"/>
          </w:tcPr>
          <w:p w14:paraId="2A726E9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w:t>
            </w:r>
          </w:p>
        </w:tc>
        <w:tc>
          <w:tcPr>
            <w:tcW w:w="2901" w:type="dxa"/>
            <w:vAlign w:val="center"/>
          </w:tcPr>
          <w:p w14:paraId="5D1B9032">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2026年南方电网数字电网研究院股份有限公司量子电流敏感元件的闭环调理ASIC技术项目（课题）经费审计服务</w:t>
            </w:r>
          </w:p>
        </w:tc>
        <w:tc>
          <w:tcPr>
            <w:tcW w:w="677" w:type="dxa"/>
            <w:vAlign w:val="center"/>
          </w:tcPr>
          <w:p w14:paraId="4943997D">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auto"/>
                <w:kern w:val="0"/>
                <w:sz w:val="21"/>
                <w:szCs w:val="21"/>
                <w:highlight w:val="none"/>
                <w:u w:val="none"/>
                <w:lang w:val="en-US" w:eastAsia="zh-CN" w:bidi="ar"/>
              </w:rPr>
            </w:pPr>
            <w:r>
              <w:rPr>
                <w:rFonts w:hint="eastAsia" w:ascii="宋体" w:hAnsi="宋体" w:cs="宋体"/>
                <w:i w:val="0"/>
                <w:iCs w:val="0"/>
                <w:color w:val="auto"/>
                <w:kern w:val="0"/>
                <w:sz w:val="21"/>
                <w:szCs w:val="21"/>
                <w:u w:val="none"/>
                <w:lang w:val="en-US" w:eastAsia="zh-CN" w:bidi="ar"/>
              </w:rPr>
              <w:t>项</w:t>
            </w:r>
          </w:p>
        </w:tc>
        <w:tc>
          <w:tcPr>
            <w:tcW w:w="686" w:type="dxa"/>
            <w:vAlign w:val="center"/>
          </w:tcPr>
          <w:p w14:paraId="5F5B303C">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default" w:ascii="宋体" w:hAnsi="宋体" w:eastAsia="宋体" w:cs="宋体"/>
                <w:i w:val="0"/>
                <w:color w:val="auto"/>
                <w:kern w:val="0"/>
                <w:sz w:val="21"/>
                <w:szCs w:val="21"/>
                <w:highlight w:val="none"/>
                <w:u w:val="none"/>
                <w:lang w:val="en-US" w:eastAsia="zh-CN" w:bidi="ar"/>
              </w:rPr>
            </w:pPr>
            <w:r>
              <w:rPr>
                <w:rFonts w:hint="eastAsia" w:ascii="宋体" w:hAnsi="宋体" w:cs="宋体"/>
                <w:i w:val="0"/>
                <w:color w:val="auto"/>
                <w:kern w:val="0"/>
                <w:sz w:val="21"/>
                <w:szCs w:val="21"/>
                <w:highlight w:val="none"/>
                <w:u w:val="none"/>
                <w:lang w:val="en-US" w:eastAsia="zh-CN" w:bidi="ar"/>
              </w:rPr>
              <w:t>1</w:t>
            </w:r>
          </w:p>
        </w:tc>
        <w:tc>
          <w:tcPr>
            <w:tcW w:w="1818" w:type="dxa"/>
            <w:vAlign w:val="center"/>
          </w:tcPr>
          <w:p w14:paraId="543CBD99">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default" w:ascii="宋体" w:hAnsi="宋体" w:eastAsia="宋体" w:cs="宋体"/>
                <w:i w:val="0"/>
                <w:color w:val="auto"/>
                <w:kern w:val="0"/>
                <w:sz w:val="21"/>
                <w:szCs w:val="21"/>
                <w:highlight w:val="none"/>
                <w:u w:val="none"/>
                <w:lang w:val="en-US" w:eastAsia="zh-CN" w:bidi="ar"/>
              </w:rPr>
            </w:pPr>
            <w:r>
              <w:rPr>
                <w:rFonts w:hint="eastAsia" w:ascii="宋体" w:hAnsi="宋体" w:cs="宋体"/>
                <w:i w:val="0"/>
                <w:color w:val="auto"/>
                <w:kern w:val="0"/>
                <w:sz w:val="21"/>
                <w:szCs w:val="21"/>
                <w:highlight w:val="none"/>
                <w:u w:val="none"/>
                <w:lang w:val="en-US" w:eastAsia="zh-CN" w:bidi="ar"/>
              </w:rPr>
              <w:t>1.6</w:t>
            </w:r>
          </w:p>
        </w:tc>
        <w:tc>
          <w:tcPr>
            <w:tcW w:w="1824" w:type="dxa"/>
            <w:vAlign w:val="center"/>
          </w:tcPr>
          <w:p w14:paraId="7A3F1C30">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default" w:ascii="宋体" w:hAnsi="宋体" w:eastAsia="宋体" w:cs="宋体"/>
                <w:i w:val="0"/>
                <w:color w:val="auto"/>
                <w:kern w:val="0"/>
                <w:sz w:val="21"/>
                <w:szCs w:val="21"/>
                <w:highlight w:val="none"/>
                <w:u w:val="none"/>
                <w:lang w:val="en-US" w:eastAsia="zh-CN" w:bidi="ar"/>
              </w:rPr>
            </w:pPr>
            <w:r>
              <w:rPr>
                <w:rFonts w:hint="eastAsia" w:ascii="宋体" w:hAnsi="宋体" w:cs="宋体"/>
                <w:i w:val="0"/>
                <w:color w:val="auto"/>
                <w:kern w:val="0"/>
                <w:sz w:val="21"/>
                <w:szCs w:val="21"/>
                <w:highlight w:val="none"/>
                <w:u w:val="none"/>
                <w:lang w:val="en-US" w:eastAsia="zh-CN" w:bidi="ar"/>
              </w:rPr>
              <w:t>1.6</w:t>
            </w:r>
          </w:p>
        </w:tc>
      </w:tr>
      <w:tr w14:paraId="3D8DD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6" w:hRule="atLeast"/>
          <w:jc w:val="center"/>
        </w:trPr>
        <w:tc>
          <w:tcPr>
            <w:tcW w:w="6613" w:type="dxa"/>
            <w:gridSpan w:val="5"/>
            <w:vAlign w:val="center"/>
          </w:tcPr>
          <w:p w14:paraId="7CAB663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default" w:ascii="宋体" w:hAnsi="宋体" w:cs="宋体"/>
                <w:color w:val="auto"/>
                <w:sz w:val="21"/>
                <w:szCs w:val="21"/>
                <w:highlight w:val="none"/>
                <w:lang w:val="en-US" w:eastAsia="zh-CN"/>
              </w:rPr>
            </w:pPr>
            <w:r>
              <w:rPr>
                <w:rFonts w:hint="eastAsia" w:ascii="宋体" w:hAnsi="宋体" w:cs="宋体"/>
                <w:b/>
                <w:i w:val="0"/>
                <w:color w:val="auto"/>
                <w:kern w:val="0"/>
                <w:sz w:val="21"/>
                <w:szCs w:val="21"/>
                <w:highlight w:val="none"/>
                <w:u w:val="none"/>
                <w:lang w:val="en-US" w:eastAsia="zh-CN" w:bidi="ar"/>
              </w:rPr>
              <w:t>总价合</w:t>
            </w:r>
            <w:r>
              <w:rPr>
                <w:rFonts w:hint="eastAsia" w:ascii="宋体" w:hAnsi="宋体" w:eastAsia="宋体" w:cs="宋体"/>
                <w:b/>
                <w:i w:val="0"/>
                <w:color w:val="auto"/>
                <w:kern w:val="0"/>
                <w:sz w:val="21"/>
                <w:szCs w:val="21"/>
                <w:highlight w:val="none"/>
                <w:u w:val="none"/>
                <w:lang w:val="en-US" w:eastAsia="zh-CN" w:bidi="ar"/>
              </w:rPr>
              <w:t>计</w:t>
            </w:r>
            <w:r>
              <w:rPr>
                <w:rFonts w:hint="eastAsia" w:ascii="宋体" w:hAnsi="宋体" w:cs="宋体"/>
                <w:b/>
                <w:i w:val="0"/>
                <w:color w:val="auto"/>
                <w:kern w:val="0"/>
                <w:sz w:val="21"/>
                <w:szCs w:val="21"/>
                <w:highlight w:val="none"/>
                <w:u w:val="none"/>
                <w:lang w:val="en-US" w:eastAsia="zh-CN" w:bidi="ar"/>
              </w:rPr>
              <w:t>（万元)</w:t>
            </w:r>
          </w:p>
        </w:tc>
        <w:tc>
          <w:tcPr>
            <w:tcW w:w="1824" w:type="dxa"/>
            <w:vAlign w:val="center"/>
          </w:tcPr>
          <w:p w14:paraId="4069A3E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1.6</w:t>
            </w:r>
          </w:p>
        </w:tc>
      </w:tr>
    </w:tbl>
    <w:p w14:paraId="10072E32">
      <w:pPr>
        <w:keepNext w:val="0"/>
        <w:keepLines w:val="0"/>
        <w:pageBreakBefore w:val="0"/>
        <w:widowControl w:val="0"/>
        <w:numPr>
          <w:ilvl w:val="0"/>
          <w:numId w:val="0"/>
        </w:numPr>
        <w:kinsoku/>
        <w:wordWrap/>
        <w:overflowPunct/>
        <w:topLinePunct w:val="0"/>
        <w:autoSpaceDE/>
        <w:autoSpaceDN/>
        <w:bidi w:val="0"/>
        <w:snapToGrid/>
        <w:spacing w:before="313" w:beforeLines="100" w:after="313" w:afterLines="100" w:line="360" w:lineRule="auto"/>
        <w:ind w:leftChars="0"/>
        <w:textAlignment w:val="auto"/>
        <w:rPr>
          <w:rFonts w:hint="eastAsia"/>
          <w:lang w:val="en-US" w:eastAsia="zh-CN"/>
        </w:rPr>
      </w:pPr>
      <w:r>
        <w:rPr>
          <w:rFonts w:hint="eastAsia"/>
          <w:lang w:val="en-US" w:eastAsia="zh-CN"/>
        </w:rPr>
        <w:t>注：1.以上报价应为含税价，服务费需开具电子版增值税专用发票。</w:t>
      </w:r>
    </w:p>
    <w:p w14:paraId="5DB757AA">
      <w:pPr>
        <w:keepNext w:val="0"/>
        <w:keepLines w:val="0"/>
        <w:pageBreakBefore w:val="0"/>
        <w:widowControl w:val="0"/>
        <w:numPr>
          <w:ilvl w:val="0"/>
          <w:numId w:val="0"/>
        </w:numPr>
        <w:kinsoku/>
        <w:wordWrap/>
        <w:overflowPunct/>
        <w:topLinePunct w:val="0"/>
        <w:autoSpaceDE/>
        <w:autoSpaceDN/>
        <w:bidi w:val="0"/>
        <w:snapToGrid/>
        <w:spacing w:before="313" w:beforeLines="100" w:after="313" w:afterLines="100" w:line="360" w:lineRule="auto"/>
        <w:ind w:leftChars="0" w:firstLine="420" w:firstLineChars="200"/>
        <w:textAlignment w:val="auto"/>
        <w:rPr>
          <w:rFonts w:hint="eastAsia"/>
          <w:lang w:val="en-US" w:eastAsia="zh-CN"/>
        </w:rPr>
      </w:pPr>
      <w:r>
        <w:rPr>
          <w:rFonts w:hint="eastAsia"/>
          <w:lang w:val="en-US" w:eastAsia="zh-CN"/>
        </w:rPr>
        <w:t>2.合价金额需包含差旅、补助等所有费用。</w:t>
      </w:r>
    </w:p>
    <w:p w14:paraId="4EF12F38">
      <w:pPr>
        <w:keepNext w:val="0"/>
        <w:keepLines w:val="0"/>
        <w:pageBreakBefore w:val="0"/>
        <w:widowControl w:val="0"/>
        <w:numPr>
          <w:ilvl w:val="0"/>
          <w:numId w:val="1"/>
        </w:numPr>
        <w:kinsoku/>
        <w:wordWrap/>
        <w:overflowPunct/>
        <w:topLinePunct w:val="0"/>
        <w:autoSpaceDE/>
        <w:autoSpaceDN/>
        <w:bidi w:val="0"/>
        <w:adjustRightInd w:val="0"/>
        <w:snapToGrid/>
        <w:spacing w:before="156" w:beforeLines="50" w:after="156" w:afterLines="50" w:line="360" w:lineRule="auto"/>
        <w:ind w:firstLineChars="0"/>
        <w:contextualSpacing/>
        <w:textAlignment w:val="auto"/>
        <w:outlineLvl w:val="1"/>
        <w:rPr>
          <w:rFonts w:hint="eastAsia"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t>联系方式</w:t>
      </w:r>
    </w:p>
    <w:p w14:paraId="1D95C70C">
      <w:pPr>
        <w:keepNext w:val="0"/>
        <w:keepLines w:val="0"/>
        <w:pageBreakBefore w:val="0"/>
        <w:widowControl w:val="0"/>
        <w:kinsoku/>
        <w:wordWrap/>
        <w:overflowPunct/>
        <w:topLinePunct w:val="0"/>
        <w:autoSpaceDE/>
        <w:autoSpaceDN/>
        <w:bidi w:val="0"/>
        <w:snapToGrid/>
        <w:spacing w:line="360" w:lineRule="auto"/>
        <w:ind w:left="0" w:firstLine="480" w:firstLineChars="200"/>
        <w:textAlignment w:val="auto"/>
        <w:rPr>
          <w:rFonts w:hint="eastAsia"/>
          <w:lang w:val="en-US" w:eastAsia="zh-CN"/>
        </w:rPr>
      </w:pPr>
      <w:r>
        <w:rPr>
          <w:rFonts w:hint="eastAsia" w:ascii="宋体" w:hAnsi="宋体" w:eastAsia="宋体" w:cs="Times New Roman"/>
          <w:sz w:val="24"/>
          <w:szCs w:val="24"/>
          <w:highlight w:val="none"/>
          <w:lang w:val="en-US" w:eastAsia="zh-CN"/>
        </w:rPr>
        <w:t>有技术问题请联系，吕工：17329902215</w:t>
      </w:r>
      <w:r>
        <w:rPr>
          <w:rFonts w:hint="eastAsia" w:ascii="宋体" w:hAnsi="宋体" w:eastAsia="宋体" w:cs="Times New Roman"/>
          <w:sz w:val="24"/>
          <w:szCs w:val="24"/>
          <w:highlight w:val="none"/>
        </w:rPr>
        <w:t>。</w:t>
      </w:r>
    </w:p>
    <w:p w14:paraId="77DD88ED">
      <w:pPr>
        <w:tabs>
          <w:tab w:val="left" w:pos="1579"/>
        </w:tabs>
        <w:bidi w:val="0"/>
        <w:jc w:val="left"/>
        <w:rPr>
          <w:rFonts w:hint="eastAsia"/>
          <w:lang w:val="en-US" w:eastAsia="zh-CN"/>
        </w:rPr>
      </w:pPr>
    </w:p>
    <w:p w14:paraId="2EC6039A">
      <w:pPr>
        <w:keepNext w:val="0"/>
        <w:keepLines w:val="0"/>
        <w:pageBreakBefore w:val="0"/>
        <w:widowControl w:val="0"/>
        <w:kinsoku/>
        <w:wordWrap/>
        <w:overflowPunct/>
        <w:topLinePunct w:val="0"/>
        <w:autoSpaceDE/>
        <w:autoSpaceDN/>
        <w:bidi w:val="0"/>
        <w:adjustRightInd/>
        <w:snapToGrid/>
        <w:ind w:firstLine="480" w:firstLineChars="200"/>
        <w:jc w:val="right"/>
        <w:textAlignment w:val="auto"/>
        <w:rPr>
          <w:rFonts w:hint="default" w:ascii="宋体" w:hAnsi="宋体" w:cs="宋体"/>
          <w:sz w:val="24"/>
          <w:szCs w:val="24"/>
          <w:lang w:val="en-US" w:eastAsia="zh-CN"/>
        </w:rPr>
      </w:pPr>
      <w:r>
        <w:rPr>
          <w:rFonts w:hint="eastAsia" w:ascii="宋体" w:hAnsi="宋体" w:cs="宋体"/>
          <w:sz w:val="24"/>
          <w:szCs w:val="24"/>
          <w:lang w:val="en-US" w:eastAsia="zh-CN"/>
        </w:rPr>
        <w:t>南方电网数字电网研究院股份有限公司</w:t>
      </w:r>
    </w:p>
    <w:p w14:paraId="3FEEE4AB">
      <w:pPr>
        <w:keepNext w:val="0"/>
        <w:keepLines w:val="0"/>
        <w:pageBreakBefore w:val="0"/>
        <w:widowControl w:val="0"/>
        <w:kinsoku/>
        <w:wordWrap/>
        <w:overflowPunct/>
        <w:topLinePunct w:val="0"/>
        <w:autoSpaceDE/>
        <w:autoSpaceDN/>
        <w:bidi w:val="0"/>
        <w:adjustRightInd/>
        <w:snapToGrid/>
        <w:ind w:firstLine="480" w:firstLineChars="200"/>
        <w:jc w:val="right"/>
        <w:textAlignment w:val="auto"/>
        <w:rPr>
          <w:rFonts w:hint="default" w:ascii="宋体" w:hAnsi="宋体" w:cs="宋体"/>
          <w:sz w:val="24"/>
          <w:szCs w:val="24"/>
          <w:lang w:val="en-US" w:eastAsia="zh-CN"/>
        </w:rPr>
      </w:pPr>
      <w:r>
        <w:rPr>
          <w:rFonts w:hint="eastAsia" w:ascii="宋体" w:hAnsi="宋体" w:cs="宋体"/>
          <w:sz w:val="24"/>
          <w:szCs w:val="24"/>
          <w:lang w:val="en-US" w:eastAsia="zh-CN"/>
        </w:rPr>
        <w:t>2026年02月02日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F98834"/>
    <w:multiLevelType w:val="singleLevel"/>
    <w:tmpl w:val="A1F98834"/>
    <w:lvl w:ilvl="0" w:tentative="0">
      <w:start w:val="1"/>
      <w:numFmt w:val="chineseCounting"/>
      <w:suff w:val="nothing"/>
      <w:lvlText w:val="%1、"/>
      <w:lvlJc w:val="left"/>
      <w:pPr>
        <w:ind w:left="60" w:firstLine="420"/>
      </w:pPr>
      <w:rPr>
        <w:rFonts w:hint="eastAsia"/>
      </w:rPr>
    </w:lvl>
  </w:abstractNum>
  <w:abstractNum w:abstractNumId="1">
    <w:nsid w:val="7590166F"/>
    <w:multiLevelType w:val="singleLevel"/>
    <w:tmpl w:val="7590166F"/>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NkZDdlZjE0MTEzZDBjZTVjYzY4MGUwNzA0ZmNiYTgifQ=="/>
  </w:docVars>
  <w:rsids>
    <w:rsidRoot w:val="58FA4C7B"/>
    <w:rsid w:val="05DD1BC6"/>
    <w:rsid w:val="0661309E"/>
    <w:rsid w:val="09FC6B3C"/>
    <w:rsid w:val="18E64DFC"/>
    <w:rsid w:val="1BE5231E"/>
    <w:rsid w:val="2DFFD03A"/>
    <w:rsid w:val="3540038C"/>
    <w:rsid w:val="36602DCE"/>
    <w:rsid w:val="414B7825"/>
    <w:rsid w:val="4A152945"/>
    <w:rsid w:val="4F1A33B7"/>
    <w:rsid w:val="56070581"/>
    <w:rsid w:val="58FA4C7B"/>
    <w:rsid w:val="60F85757"/>
    <w:rsid w:val="673B3A2C"/>
    <w:rsid w:val="67651A3D"/>
    <w:rsid w:val="69872ACA"/>
    <w:rsid w:val="6B2A2617"/>
    <w:rsid w:val="6F1B80E4"/>
    <w:rsid w:val="704542F1"/>
    <w:rsid w:val="715568A7"/>
    <w:rsid w:val="77D71C64"/>
    <w:rsid w:val="7FAD6E79"/>
    <w:rsid w:val="7FFF182C"/>
    <w:rsid w:val="7FFF7303"/>
    <w:rsid w:val="AEFF5D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caption"/>
    <w:basedOn w:val="1"/>
    <w:next w:val="1"/>
    <w:semiHidden/>
    <w:unhideWhenUsed/>
    <w:qFormat/>
    <w:uiPriority w:val="0"/>
    <w:rPr>
      <w:rFonts w:ascii="Arial" w:hAnsi="Arial" w:eastAsia="黑体"/>
      <w:sz w:val="20"/>
    </w:rPr>
  </w:style>
  <w:style w:type="paragraph" w:styleId="3">
    <w:name w:val="Body Text"/>
    <w:basedOn w:val="1"/>
    <w:next w:val="4"/>
    <w:qFormat/>
    <w:uiPriority w:val="0"/>
    <w:pPr>
      <w:spacing w:after="120" w:afterLines="0" w:afterAutospacing="0"/>
    </w:pPr>
    <w:rPr>
      <w:kern w:val="2"/>
      <w:sz w:val="21"/>
    </w:rPr>
  </w:style>
  <w:style w:type="paragraph" w:styleId="4">
    <w:name w:val="Title"/>
    <w:basedOn w:val="1"/>
    <w:next w:val="1"/>
    <w:qFormat/>
    <w:uiPriority w:val="0"/>
    <w:pPr>
      <w:spacing w:before="240" w:beforeLines="0" w:beforeAutospacing="0" w:after="60" w:afterLines="0" w:afterAutospacing="0"/>
      <w:jc w:val="center"/>
      <w:outlineLvl w:val="0"/>
    </w:pPr>
    <w:rPr>
      <w:rFonts w:ascii="Arial" w:hAnsi="Arial"/>
      <w:b/>
      <w:kern w:val="2"/>
      <w:sz w:val="32"/>
    </w:rPr>
  </w:style>
  <w:style w:type="paragraph" w:styleId="5">
    <w:name w:val="Body Text Indent"/>
    <w:basedOn w:val="1"/>
    <w:unhideWhenUsed/>
    <w:qFormat/>
    <w:uiPriority w:val="99"/>
    <w:pPr>
      <w:spacing w:line="460" w:lineRule="exact"/>
      <w:ind w:firstLine="510"/>
    </w:pPr>
    <w:rPr>
      <w:kern w:val="0"/>
      <w:sz w:val="20"/>
    </w:rPr>
  </w:style>
  <w:style w:type="paragraph" w:styleId="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paragraph" w:styleId="8">
    <w:name w:val="Body Text First Indent 2"/>
    <w:basedOn w:val="5"/>
    <w:unhideWhenUsed/>
    <w:qFormat/>
    <w:uiPriority w:val="99"/>
    <w:pPr>
      <w:ind w:leftChars="200"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1149</Words>
  <Characters>1244</Characters>
  <Lines>0</Lines>
  <Paragraphs>0</Paragraphs>
  <TotalTime>24</TotalTime>
  <ScaleCrop>false</ScaleCrop>
  <LinksUpToDate>false</LinksUpToDate>
  <CharactersWithSpaces>1247</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2024-04-20T18:51:00Z</dcterms:created>
  <dc:creator>礼佳</dc:creator>
  <cp:lastModifiedBy>cattttt</cp:lastModifiedBy>
  <dcterms:modified xsi:type="dcterms:W3CDTF">2026-02-02T02:46:05Z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DAEFC03828309805EC098069D3EA9E83</vt:lpwstr>
  </property>
  <property fmtid="{D5CDD505-2E9C-101B-9397-08002B2CF9AE}" pid="4" name="KSOTemplateDocerSaveRecord">
    <vt:lpwstr>eyJoZGlkIjoiYWQ2YTViOWI1YTIxZTI0MGRiODY3MTc5NmRmZDk0MjciLCJ1c2VySWQiOiI2ODcwMDkxODQifQ==</vt:lpwstr>
  </property>
</Properties>
</file>