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5A8264">
      <w:pPr>
        <w:widowControl/>
        <w:spacing w:line="500" w:lineRule="atLeast"/>
        <w:jc w:val="center"/>
        <w:rPr>
          <w:rFonts w:ascii="Times New Roman"/>
          <w:sz w:val="52"/>
          <w:szCs w:val="24"/>
        </w:rPr>
      </w:pPr>
      <w:r>
        <w:rPr>
          <w:rFonts w:ascii="Times New Roman"/>
          <w:sz w:val="52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-2030730</wp:posOffset>
            </wp:positionH>
            <wp:positionV relativeFrom="paragraph">
              <wp:posOffset>-914400</wp:posOffset>
            </wp:positionV>
            <wp:extent cx="8915400" cy="2736850"/>
            <wp:effectExtent l="19050" t="0" r="0" b="0"/>
            <wp:wrapNone/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F2E854">
      <w:pPr>
        <w:snapToGrid w:val="0"/>
        <w:jc w:val="center"/>
        <w:rPr>
          <w:rFonts w:ascii="Times New Roman" w:eastAsia="黑体"/>
          <w:sz w:val="48"/>
          <w:szCs w:val="48"/>
        </w:rPr>
      </w:pPr>
    </w:p>
    <w:p w14:paraId="2085E6E4">
      <w:pPr>
        <w:snapToGrid w:val="0"/>
        <w:jc w:val="center"/>
        <w:rPr>
          <w:rFonts w:ascii="Times New Roman" w:eastAsia="黑体"/>
          <w:sz w:val="48"/>
          <w:szCs w:val="48"/>
        </w:rPr>
      </w:pPr>
    </w:p>
    <w:p w14:paraId="3C800AAC">
      <w:pPr>
        <w:snapToGrid w:val="0"/>
        <w:jc w:val="center"/>
        <w:rPr>
          <w:rFonts w:ascii="Times New Roman" w:eastAsia="黑体"/>
          <w:sz w:val="48"/>
          <w:szCs w:val="48"/>
        </w:rPr>
      </w:pPr>
    </w:p>
    <w:p w14:paraId="78A44FFC">
      <w:pPr>
        <w:snapToGrid w:val="0"/>
        <w:jc w:val="center"/>
        <w:rPr>
          <w:rFonts w:ascii="Times New Roman" w:eastAsia="黑体"/>
          <w:sz w:val="48"/>
          <w:szCs w:val="48"/>
        </w:rPr>
      </w:pPr>
    </w:p>
    <w:p w14:paraId="428BD893">
      <w:pPr>
        <w:snapToGrid w:val="0"/>
        <w:jc w:val="center"/>
        <w:rPr>
          <w:rFonts w:ascii="Times New Roman" w:eastAsia="黑体"/>
          <w:sz w:val="48"/>
          <w:szCs w:val="48"/>
        </w:rPr>
      </w:pPr>
    </w:p>
    <w:p w14:paraId="3E6B3FA6">
      <w:pPr>
        <w:widowControl/>
        <w:spacing w:beforeLines="50" w:afterLines="50" w:line="560" w:lineRule="atLeast"/>
        <w:jc w:val="center"/>
        <w:rPr>
          <w:rFonts w:ascii="Times New Roman" w:eastAsia="楷体_GB2312"/>
          <w:b/>
          <w:color w:val="000000"/>
          <w:position w:val="16"/>
          <w:sz w:val="52"/>
          <w:szCs w:val="72"/>
        </w:rPr>
      </w:pP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</w:rPr>
        <w:t>南方电网</w:t>
      </w: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  <w:t>储能股份</w:t>
      </w: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</w:rPr>
        <w:t>有限公司</w:t>
      </w:r>
    </w:p>
    <w:p w14:paraId="4FC88FCD">
      <w:pPr>
        <w:widowControl/>
        <w:spacing w:beforeLines="50" w:afterLines="50" w:line="560" w:lineRule="atLeast"/>
        <w:jc w:val="center"/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</w:pP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  <w:t>海蓄公司琼中电厂2026年特种设备及仪器仪表定期检验项目</w:t>
      </w:r>
    </w:p>
    <w:p w14:paraId="26356DF0">
      <w:pPr>
        <w:snapToGrid w:val="0"/>
        <w:jc w:val="center"/>
        <w:rPr>
          <w:rFonts w:hint="eastAsia" w:ascii="Times New Roman" w:eastAsia="楷体_GB2312"/>
          <w:b/>
          <w:color w:val="000000"/>
          <w:position w:val="16"/>
          <w:sz w:val="36"/>
          <w:szCs w:val="44"/>
        </w:rPr>
      </w:pPr>
    </w:p>
    <w:p w14:paraId="1AD75F60">
      <w:pPr>
        <w:snapToGrid w:val="0"/>
        <w:jc w:val="center"/>
        <w:rPr>
          <w:rFonts w:hint="eastAsia" w:ascii="Times New Roman" w:eastAsia="楷体_GB2312"/>
          <w:b/>
          <w:color w:val="000000"/>
          <w:position w:val="16"/>
          <w:sz w:val="36"/>
          <w:szCs w:val="44"/>
        </w:rPr>
      </w:pPr>
    </w:p>
    <w:p w14:paraId="4310D7FA">
      <w:pPr>
        <w:snapToGrid w:val="0"/>
        <w:jc w:val="center"/>
        <w:rPr>
          <w:rFonts w:ascii="Times New Roman" w:eastAsia="黑体"/>
          <w:sz w:val="48"/>
          <w:szCs w:val="48"/>
        </w:rPr>
      </w:pPr>
    </w:p>
    <w:p w14:paraId="3ED281C5">
      <w:pPr>
        <w:snapToGrid w:val="0"/>
        <w:jc w:val="center"/>
        <w:rPr>
          <w:rFonts w:ascii="Times New Roman" w:eastAsia="黑体"/>
          <w:sz w:val="48"/>
          <w:szCs w:val="48"/>
        </w:rPr>
      </w:pPr>
    </w:p>
    <w:p w14:paraId="405BB8E6">
      <w:pPr>
        <w:snapToGrid w:val="0"/>
        <w:jc w:val="center"/>
        <w:rPr>
          <w:rFonts w:ascii="Times New Roman" w:eastAsia="黑体"/>
          <w:sz w:val="48"/>
          <w:szCs w:val="48"/>
        </w:rPr>
      </w:pPr>
    </w:p>
    <w:p w14:paraId="198EA8FF">
      <w:pPr>
        <w:snapToGrid w:val="0"/>
        <w:jc w:val="center"/>
        <w:rPr>
          <w:rFonts w:ascii="Times New Roman" w:eastAsia="黑体"/>
          <w:sz w:val="48"/>
          <w:szCs w:val="48"/>
        </w:rPr>
      </w:pPr>
    </w:p>
    <w:p w14:paraId="50F62871">
      <w:pPr>
        <w:widowControl/>
        <w:jc w:val="center"/>
        <w:rPr>
          <w:b/>
          <w:bCs/>
          <w:sz w:val="36"/>
        </w:rPr>
      </w:pPr>
      <w:r>
        <w:rPr>
          <w:rFonts w:hint="eastAsia" w:eastAsia="楷体_GB2312"/>
          <w:b/>
          <w:color w:val="000000"/>
          <w:position w:val="16"/>
          <w:sz w:val="36"/>
        </w:rPr>
        <w:t>二〇二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六</w:t>
      </w:r>
      <w:r>
        <w:rPr>
          <w:rFonts w:hint="eastAsia" w:eastAsia="楷体_GB2312"/>
          <w:b/>
          <w:color w:val="000000"/>
          <w:position w:val="16"/>
          <w:sz w:val="36"/>
        </w:rPr>
        <w:t>年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一</w:t>
      </w:r>
      <w:r>
        <w:rPr>
          <w:rFonts w:hint="eastAsia" w:eastAsia="楷体_GB2312"/>
          <w:b/>
          <w:color w:val="000000"/>
          <w:position w:val="16"/>
          <w:sz w:val="36"/>
        </w:rPr>
        <w:t>月</w:t>
      </w:r>
    </w:p>
    <w:p w14:paraId="5D744CE1">
      <w:pPr>
        <w:spacing w:line="420" w:lineRule="exact"/>
        <w:jc w:val="center"/>
        <w:rPr>
          <w:b/>
          <w:bCs/>
          <w:sz w:val="36"/>
        </w:rPr>
      </w:pPr>
    </w:p>
    <w:p w14:paraId="230BC488">
      <w:pPr>
        <w:spacing w:line="420" w:lineRule="exact"/>
        <w:jc w:val="center"/>
        <w:rPr>
          <w:b/>
          <w:bCs/>
          <w:sz w:val="36"/>
        </w:rPr>
      </w:pPr>
    </w:p>
    <w:p w14:paraId="6C0C0A19">
      <w:pPr>
        <w:spacing w:line="420" w:lineRule="exact"/>
        <w:jc w:val="center"/>
        <w:rPr>
          <w:b/>
          <w:bCs/>
          <w:sz w:val="36"/>
        </w:rPr>
      </w:pPr>
    </w:p>
    <w:p w14:paraId="0E212192">
      <w:pPr>
        <w:jc w:val="left"/>
        <w:rPr>
          <w:b/>
          <w:sz w:val="32"/>
          <w:szCs w:val="32"/>
        </w:rPr>
      </w:pPr>
    </w:p>
    <w:p w14:paraId="20FD4376">
      <w:pPr>
        <w:spacing w:line="360" w:lineRule="auto"/>
        <w:jc w:val="left"/>
        <w:rPr>
          <w:b/>
          <w:sz w:val="32"/>
          <w:szCs w:val="32"/>
        </w:rPr>
      </w:pPr>
    </w:p>
    <w:p w14:paraId="0196B9F5"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1F9AA80D">
      <w:pPr>
        <w:jc w:val="left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一、</w:t>
      </w: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校验的目标</w:t>
      </w:r>
      <w:r>
        <w:rPr>
          <w:rFonts w:hint="eastAsia" w:ascii="宋体" w:hAnsi="宋体" w:eastAsia="宋体" w:cs="Times New Roman"/>
          <w:b/>
          <w:sz w:val="28"/>
          <w:szCs w:val="24"/>
        </w:rPr>
        <w:t xml:space="preserve">  </w:t>
      </w:r>
    </w:p>
    <w:p w14:paraId="3371D989">
      <w:pPr>
        <w:numPr>
          <w:ilvl w:val="0"/>
          <w:numId w:val="0"/>
        </w:numPr>
        <w:spacing w:line="360" w:lineRule="auto"/>
        <w:ind w:firstLine="420" w:firstLineChars="200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根据《中华人民共和国计量法》、《中华人民共和国计量法实施细则》等国家、行业法律、法规的要求，特种设备及仪器仪表检定、校准、检测的测量设备溯源到国家基准或行业公用计量标准，保证量值传递准确可靠，甲方为了确保厂内技术监督工作的正常实施，保证计量仪器仪表的受检率符合要求，需将有效期到期的压力容器仪器仪表委托乙方进行检验。</w:t>
      </w:r>
    </w:p>
    <w:p w14:paraId="5452364B">
      <w:pPr>
        <w:spacing w:line="360" w:lineRule="auto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二、</w:t>
      </w: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校验地点、期限和质量</w:t>
      </w:r>
      <w:r>
        <w:rPr>
          <w:rFonts w:hint="eastAsia" w:ascii="宋体" w:hAnsi="宋体" w:eastAsia="宋体" w:cs="Times New Roman"/>
          <w:b/>
          <w:sz w:val="28"/>
          <w:szCs w:val="24"/>
        </w:rPr>
        <w:t>要求</w:t>
      </w:r>
    </w:p>
    <w:p w14:paraId="30D09778"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 xml:space="preserve">1、校验地点：海南省琼中县黎母山镇海南琼中抽水蓄能电站 </w:t>
      </w:r>
    </w:p>
    <w:p w14:paraId="09860734"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2、校验期限：自合同签订日期起至2026年12月31日。</w:t>
      </w:r>
    </w:p>
    <w:p w14:paraId="731395FF"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3、校验质量要求：</w:t>
      </w:r>
    </w:p>
    <w:p w14:paraId="56A69DB1"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（1）校验实施方应由国家合格评定的专业校准实验室。</w:t>
      </w:r>
    </w:p>
    <w:p w14:paraId="57D3EA55"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（2）校验人员应持有相应检定项目的检定员证，校验时应严格按照检定规程∕校准规范的条款进行校验。</w:t>
      </w:r>
    </w:p>
    <w:p w14:paraId="6AFB649A"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（3）压力仪器仪表送检后5个工作日内应完成检验。</w:t>
      </w:r>
    </w:p>
    <w:p w14:paraId="71D20D6E">
      <w:pPr>
        <w:numPr>
          <w:ilvl w:val="0"/>
          <w:numId w:val="0"/>
        </w:numPr>
        <w:spacing w:line="360" w:lineRule="auto"/>
        <w:ind w:firstLine="420" w:firstLineChars="200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（4）在校验结束后应在15个工作日内对检定合格的设备和仪器出具具有法定效力的《检定证书》，对检定不合格的仪器出具《检定结果通知书》。</w:t>
      </w:r>
    </w:p>
    <w:p w14:paraId="2685531B"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校验的内容</w:t>
      </w:r>
    </w:p>
    <w:p w14:paraId="761B5194"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海南琼中抽水蓄能电站投运机组有3台，校验范围包含机组运行的特种设备仪器仪表，以及公用系统运行的特种设备仪器仪表，为了满足机组运行要求，压力容器安全阀校验需根据机组退备检修窗口分4次送检和压力表分2次送检。报价应包含上门取件和送检所产生的所有费用，具体需开展校验的特种设备和仪器仪表详见下表：</w:t>
      </w:r>
    </w:p>
    <w:p w14:paraId="390F6FF5">
      <w:pPr>
        <w:numPr>
          <w:ilvl w:val="0"/>
          <w:numId w:val="0"/>
        </w:numPr>
        <w:spacing w:line="360" w:lineRule="auto"/>
        <w:ind w:firstLine="1260" w:firstLineChars="600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海蓄公司琼中电厂2026年特种设备及仪器仪表校验项目清单</w:t>
      </w:r>
    </w:p>
    <w:tbl>
      <w:tblPr>
        <w:tblStyle w:val="4"/>
        <w:tblW w:w="8200" w:type="dxa"/>
        <w:tblInd w:w="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257"/>
        <w:gridCol w:w="2072"/>
        <w:gridCol w:w="842"/>
        <w:gridCol w:w="858"/>
        <w:gridCol w:w="1257"/>
        <w:gridCol w:w="1214"/>
      </w:tblGrid>
      <w:tr w14:paraId="04BF3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 w14:paraId="2BA42E5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B9232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155BD6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40EEF236">
            <w:pPr>
              <w:spacing w:line="36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858" w:type="dxa"/>
            <w:vAlign w:val="center"/>
          </w:tcPr>
          <w:p w14:paraId="32FF6883">
            <w:pPr>
              <w:spacing w:line="36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257" w:type="dxa"/>
            <w:vAlign w:val="center"/>
          </w:tcPr>
          <w:p w14:paraId="0F3C59E2">
            <w:pPr>
              <w:spacing w:line="36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校验次数</w:t>
            </w:r>
          </w:p>
        </w:tc>
        <w:tc>
          <w:tcPr>
            <w:tcW w:w="1214" w:type="dxa"/>
            <w:vAlign w:val="center"/>
          </w:tcPr>
          <w:p w14:paraId="1D4DC615"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76760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 w14:paraId="7D50F100"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E2D54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安全阀 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0D3A6B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定压力7.1MPa,公称通径32mm，工作介质：油、气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3FCC9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58" w:type="dxa"/>
            <w:vAlign w:val="center"/>
          </w:tcPr>
          <w:p w14:paraId="3988647B"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257" w:type="dxa"/>
            <w:vAlign w:val="center"/>
          </w:tcPr>
          <w:p w14:paraId="7C4D3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14" w:type="dxa"/>
            <w:vAlign w:val="center"/>
          </w:tcPr>
          <w:p w14:paraId="1CB34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每年检验一次</w:t>
            </w:r>
          </w:p>
        </w:tc>
      </w:tr>
      <w:tr w14:paraId="2C252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 w14:paraId="02D2ACE8"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5AD90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安全阀 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5FBB67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整定压力8.5MPa，公称通径50mm，工作介质：空气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5C2D6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858" w:type="dxa"/>
            <w:vAlign w:val="center"/>
          </w:tcPr>
          <w:p w14:paraId="6AD11926"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257" w:type="dxa"/>
            <w:vAlign w:val="center"/>
          </w:tcPr>
          <w:p w14:paraId="110D0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14" w:type="dxa"/>
            <w:vAlign w:val="center"/>
          </w:tcPr>
          <w:p w14:paraId="03688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每年检验一次</w:t>
            </w:r>
          </w:p>
        </w:tc>
      </w:tr>
      <w:tr w14:paraId="336F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 w14:paraId="6DF6BE23"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4472D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安全阀 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348D71C2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整定压力8.4MPa，公称通径25mm，工作介质：空气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00980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58" w:type="dxa"/>
            <w:vAlign w:val="center"/>
          </w:tcPr>
          <w:p w14:paraId="17F04DCA"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257" w:type="dxa"/>
            <w:vAlign w:val="center"/>
          </w:tcPr>
          <w:p w14:paraId="18812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14" w:type="dxa"/>
            <w:vAlign w:val="center"/>
          </w:tcPr>
          <w:p w14:paraId="3343C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每年检验一次</w:t>
            </w:r>
          </w:p>
        </w:tc>
      </w:tr>
      <w:tr w14:paraId="2E4EB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 w14:paraId="210B5826"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8E8AD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安全阀 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60B025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整定压力0.84MPa，公称通径20mm，工作介质：空气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655F4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58" w:type="dxa"/>
            <w:vAlign w:val="center"/>
          </w:tcPr>
          <w:p w14:paraId="10C17101"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257" w:type="dxa"/>
            <w:vAlign w:val="center"/>
          </w:tcPr>
          <w:p w14:paraId="10EF8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14" w:type="dxa"/>
            <w:vAlign w:val="center"/>
          </w:tcPr>
          <w:p w14:paraId="162A2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每年检验一次</w:t>
            </w:r>
          </w:p>
        </w:tc>
      </w:tr>
      <w:tr w14:paraId="5C4A8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 w14:paraId="7A9A203C"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B1B7C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67A556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0-16MPa，测压口径：G1/2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1B86F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858" w:type="dxa"/>
            <w:vAlign w:val="center"/>
          </w:tcPr>
          <w:p w14:paraId="0982738C">
            <w:pPr>
              <w:spacing w:line="360" w:lineRule="auto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块</w:t>
            </w:r>
          </w:p>
        </w:tc>
        <w:tc>
          <w:tcPr>
            <w:tcW w:w="1257" w:type="dxa"/>
            <w:vAlign w:val="center"/>
          </w:tcPr>
          <w:p w14:paraId="4148D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14" w:type="dxa"/>
            <w:vAlign w:val="center"/>
          </w:tcPr>
          <w:p w14:paraId="7FF9E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每半年检验一次</w:t>
            </w:r>
          </w:p>
        </w:tc>
      </w:tr>
      <w:tr w14:paraId="1632F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 w14:paraId="73B407CE"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48E60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2CCFD9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0-1.6MPa，测压口径：G1/2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37635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58" w:type="dxa"/>
            <w:vAlign w:val="center"/>
          </w:tcPr>
          <w:p w14:paraId="4B19A946"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块</w:t>
            </w:r>
          </w:p>
        </w:tc>
        <w:tc>
          <w:tcPr>
            <w:tcW w:w="1257" w:type="dxa"/>
            <w:vAlign w:val="center"/>
          </w:tcPr>
          <w:p w14:paraId="3A385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14" w:type="dxa"/>
            <w:vAlign w:val="center"/>
          </w:tcPr>
          <w:p w14:paraId="4DF23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每半年检验一次</w:t>
            </w:r>
          </w:p>
        </w:tc>
      </w:tr>
      <w:tr w14:paraId="1CD18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 w14:paraId="4F092982"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7</w:t>
            </w:r>
            <w:bookmarkStart w:id="0" w:name="_GoBack"/>
            <w:bookmarkEnd w:id="0"/>
          </w:p>
        </w:tc>
        <w:tc>
          <w:tcPr>
            <w:tcW w:w="1257" w:type="dxa"/>
            <w:shd w:val="clear" w:color="auto" w:fill="auto"/>
            <w:vAlign w:val="center"/>
          </w:tcPr>
          <w:p w14:paraId="6DADD4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1A5C3D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0-10MPa，测压口径：G1/2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54FD8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58" w:type="dxa"/>
            <w:vAlign w:val="center"/>
          </w:tcPr>
          <w:p w14:paraId="537CE324"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块</w:t>
            </w:r>
          </w:p>
        </w:tc>
        <w:tc>
          <w:tcPr>
            <w:tcW w:w="1257" w:type="dxa"/>
            <w:vAlign w:val="center"/>
          </w:tcPr>
          <w:p w14:paraId="45B97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14" w:type="dxa"/>
            <w:vAlign w:val="center"/>
          </w:tcPr>
          <w:p w14:paraId="5C4C3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每半年检验一次</w:t>
            </w:r>
          </w:p>
        </w:tc>
      </w:tr>
    </w:tbl>
    <w:p w14:paraId="7B628A22">
      <w:pPr>
        <w:widowControl/>
        <w:spacing w:line="360" w:lineRule="auto"/>
        <w:rPr>
          <w:rFonts w:hint="default" w:ascii="宋体" w:hAnsi="宋体" w:eastAsia="宋体" w:cs="Times New Roman"/>
          <w:b/>
          <w:sz w:val="28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四、</w:t>
      </w: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合同款结算及支付</w:t>
      </w:r>
    </w:p>
    <w:p w14:paraId="3442A36D">
      <w:pPr>
        <w:widowControl/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本合同单价结算，单价以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中标报价清单</w:t>
      </w:r>
      <w:r>
        <w:rPr>
          <w:rFonts w:ascii="宋体" w:hAnsi="宋体" w:eastAsia="宋体" w:cs="宋体"/>
          <w:sz w:val="24"/>
          <w:szCs w:val="24"/>
        </w:rPr>
        <w:t>中单价为准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根据</w:t>
      </w:r>
      <w:r>
        <w:rPr>
          <w:rFonts w:ascii="宋体" w:hAnsi="宋体" w:eastAsia="宋体" w:cs="宋体"/>
          <w:sz w:val="24"/>
          <w:szCs w:val="24"/>
        </w:rPr>
        <w:t>乙方完成实际检验数量，并提交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相应</w:t>
      </w:r>
      <w:r>
        <w:rPr>
          <w:rFonts w:ascii="宋体" w:hAnsi="宋体" w:eastAsia="宋体" w:cs="宋体"/>
          <w:sz w:val="24"/>
          <w:szCs w:val="24"/>
        </w:rPr>
        <w:t>检验报告，甲方在收到乙方出具的增值税专用发票45天内向乙方支付合同款。</w:t>
      </w:r>
    </w:p>
    <w:p w14:paraId="24A1AEDB">
      <w:pPr>
        <w:spacing w:line="360" w:lineRule="auto"/>
        <w:rPr>
          <w:rFonts w:ascii="宋体" w:hAnsi="宋体" w:eastAsia="宋体" w:cs="Times New Roman"/>
          <w:b/>
          <w:bCs w:val="0"/>
          <w:color w:val="auto"/>
          <w:sz w:val="28"/>
          <w:szCs w:val="24"/>
        </w:rPr>
      </w:pPr>
      <w:r>
        <w:rPr>
          <w:rFonts w:hint="eastAsia" w:ascii="宋体" w:hAnsi="宋体" w:eastAsia="宋体" w:cs="Times New Roman"/>
          <w:b/>
          <w:bCs w:val="0"/>
          <w:color w:val="auto"/>
          <w:sz w:val="28"/>
          <w:szCs w:val="24"/>
          <w:lang w:val="en-US" w:eastAsia="zh-CN"/>
        </w:rPr>
        <w:t>五</w:t>
      </w:r>
      <w:r>
        <w:rPr>
          <w:rFonts w:hint="eastAsia" w:ascii="宋体" w:hAnsi="宋体" w:eastAsia="宋体" w:cs="Times New Roman"/>
          <w:b/>
          <w:bCs w:val="0"/>
          <w:color w:val="auto"/>
          <w:sz w:val="28"/>
          <w:szCs w:val="24"/>
        </w:rPr>
        <w:t>、其他要求</w:t>
      </w:r>
    </w:p>
    <w:p w14:paraId="4DF08F4B">
      <w:pPr>
        <w:spacing w:line="360" w:lineRule="auto"/>
        <w:rPr>
          <w:rFonts w:hint="eastAsia" w:ascii="新宋体" w:hAnsi="Calibri" w:eastAsia="新宋体" w:cs="Times New Roman"/>
          <w:sz w:val="24"/>
          <w:szCs w:val="24"/>
          <w:lang w:val="en-US" w:eastAsia="zh-CN"/>
        </w:rPr>
      </w:pPr>
      <w:r>
        <w:rPr>
          <w:rFonts w:hint="eastAsia" w:ascii="新宋体" w:hAnsi="Calibri" w:eastAsia="新宋体" w:cs="Times New Roman"/>
          <w:sz w:val="24"/>
          <w:szCs w:val="24"/>
          <w:lang w:val="en-US" w:eastAsia="zh-CN"/>
        </w:rPr>
        <w:t>无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77728210"/>
    </w:sdtPr>
    <w:sdtContent>
      <w:p w14:paraId="39655066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3E9CBB6D"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2E8114"/>
    <w:multiLevelType w:val="singleLevel"/>
    <w:tmpl w:val="AA2E8114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09080D"/>
    <w:rsid w:val="000435AB"/>
    <w:rsid w:val="00055F5F"/>
    <w:rsid w:val="0009080D"/>
    <w:rsid w:val="00091CBC"/>
    <w:rsid w:val="001D1CC3"/>
    <w:rsid w:val="002B0D12"/>
    <w:rsid w:val="002D02DB"/>
    <w:rsid w:val="00347D81"/>
    <w:rsid w:val="00421A43"/>
    <w:rsid w:val="00506BD8"/>
    <w:rsid w:val="0057490A"/>
    <w:rsid w:val="006400DC"/>
    <w:rsid w:val="007D4731"/>
    <w:rsid w:val="0080147C"/>
    <w:rsid w:val="00921AD3"/>
    <w:rsid w:val="00954A20"/>
    <w:rsid w:val="00955925"/>
    <w:rsid w:val="009E43A0"/>
    <w:rsid w:val="009F745A"/>
    <w:rsid w:val="00A36B4C"/>
    <w:rsid w:val="00A9307F"/>
    <w:rsid w:val="00AF0B31"/>
    <w:rsid w:val="00B238C8"/>
    <w:rsid w:val="00C65315"/>
    <w:rsid w:val="00C973AE"/>
    <w:rsid w:val="00D266A9"/>
    <w:rsid w:val="00FE6AA1"/>
    <w:rsid w:val="03796542"/>
    <w:rsid w:val="0477452F"/>
    <w:rsid w:val="0B1E6540"/>
    <w:rsid w:val="1CF20F5C"/>
    <w:rsid w:val="28263246"/>
    <w:rsid w:val="2B751144"/>
    <w:rsid w:val="3731B38E"/>
    <w:rsid w:val="3845291A"/>
    <w:rsid w:val="3AE35E23"/>
    <w:rsid w:val="3DF70919"/>
    <w:rsid w:val="42EF49E4"/>
    <w:rsid w:val="44F910E9"/>
    <w:rsid w:val="5A705B4B"/>
    <w:rsid w:val="5E0633C6"/>
    <w:rsid w:val="5E3E5AA2"/>
    <w:rsid w:val="632816C4"/>
    <w:rsid w:val="677D1CC8"/>
    <w:rsid w:val="67ADEFD4"/>
    <w:rsid w:val="697E456A"/>
    <w:rsid w:val="6A74257B"/>
    <w:rsid w:val="6B325801"/>
    <w:rsid w:val="6FFF8138"/>
    <w:rsid w:val="7A206B92"/>
    <w:rsid w:val="7DCC6EFD"/>
    <w:rsid w:val="7E0FD6AB"/>
    <w:rsid w:val="7EDF4123"/>
    <w:rsid w:val="7EF27F85"/>
    <w:rsid w:val="7EF7AA57"/>
    <w:rsid w:val="7F1DEBBB"/>
    <w:rsid w:val="8FDBCA7A"/>
    <w:rsid w:val="9FA68E65"/>
    <w:rsid w:val="DBFE9261"/>
    <w:rsid w:val="DFDA7F8C"/>
    <w:rsid w:val="EF760A3C"/>
    <w:rsid w:val="FB7F776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customStyle="1" w:styleId="9">
    <w:name w:val="List Paragraph"/>
    <w:basedOn w:val="1"/>
    <w:qFormat/>
    <w:uiPriority w:val="1"/>
    <w:pPr>
      <w:jc w:val="left"/>
    </w:pPr>
    <w:rPr>
      <w:rFonts w:eastAsiaTheme="minorHAnsi"/>
      <w:kern w:val="0"/>
      <w:sz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3</Pages>
  <Words>86</Words>
  <Characters>495</Characters>
  <Lines>4</Lines>
  <Paragraphs>1</Paragraphs>
  <TotalTime>10</TotalTime>
  <ScaleCrop>false</ScaleCrop>
  <LinksUpToDate>false</LinksUpToDate>
  <CharactersWithSpaces>580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2018-06-15T02:27:00Z</dcterms:created>
  <dc:creator>dameng</dc:creator>
  <cp:lastModifiedBy>guoyaofei.hn</cp:lastModifiedBy>
  <dcterms:modified xsi:type="dcterms:W3CDTF">2026-01-22T06:16:23Z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077BB844EB4340AFA19BBC71FBE8F55D</vt:lpwstr>
  </property>
</Properties>
</file>