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BEDDA9">
      <w:pPr>
        <w:rPr>
          <w:rFonts w:ascii="Times New Roman" w:eastAsia="黑体"/>
          <w:b/>
          <w:sz w:val="44"/>
          <w:szCs w:val="44"/>
        </w:rPr>
      </w:pPr>
      <w:r>
        <w:drawing>
          <wp:anchor distT="0" distB="0" distL="114300" distR="114300" simplePos="0" relativeHeight="251660288" behindDoc="0" locked="0" layoutInCell="1" allowOverlap="1">
            <wp:simplePos x="0" y="0"/>
            <wp:positionH relativeFrom="column">
              <wp:posOffset>-249555</wp:posOffset>
            </wp:positionH>
            <wp:positionV relativeFrom="paragraph">
              <wp:posOffset>-31750</wp:posOffset>
            </wp:positionV>
            <wp:extent cx="6220460" cy="1905635"/>
            <wp:effectExtent l="0" t="0" r="8890" b="18415"/>
            <wp:wrapNone/>
            <wp:docPr id="4" name="图片 4" descr="说明: 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说明: 模板-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6220460" cy="1905635"/>
                    </a:xfrm>
                    <a:prstGeom prst="rect">
                      <a:avLst/>
                    </a:prstGeom>
                    <a:noFill/>
                    <a:ln>
                      <a:noFill/>
                    </a:ln>
                  </pic:spPr>
                </pic:pic>
              </a:graphicData>
            </a:graphic>
          </wp:anchor>
        </w:drawing>
      </w:r>
    </w:p>
    <w:p w14:paraId="42F83830">
      <w:pPr>
        <w:jc w:val="center"/>
        <w:rPr>
          <w:rFonts w:ascii="Times New Roman" w:eastAsia="黑体"/>
          <w:b/>
          <w:sz w:val="44"/>
          <w:szCs w:val="44"/>
        </w:rPr>
      </w:pPr>
    </w:p>
    <w:p w14:paraId="42ACFB60">
      <w:pPr>
        <w:jc w:val="center"/>
        <w:rPr>
          <w:rFonts w:ascii="Times New Roman" w:eastAsia="黑体"/>
          <w:b/>
          <w:sz w:val="44"/>
          <w:szCs w:val="44"/>
        </w:rPr>
      </w:pPr>
    </w:p>
    <w:p w14:paraId="21911E94">
      <w:pPr>
        <w:jc w:val="center"/>
        <w:rPr>
          <w:rFonts w:ascii="Times New Roman" w:eastAsia="黑体"/>
          <w:b/>
          <w:sz w:val="44"/>
          <w:szCs w:val="44"/>
        </w:rPr>
      </w:pPr>
    </w:p>
    <w:p w14:paraId="464D204D">
      <w:pPr>
        <w:jc w:val="center"/>
        <w:rPr>
          <w:rFonts w:ascii="Times New Roman" w:eastAsia="黑体"/>
          <w:b/>
          <w:sz w:val="44"/>
          <w:szCs w:val="44"/>
        </w:rPr>
      </w:pPr>
    </w:p>
    <w:p w14:paraId="582AB4BC">
      <w:pPr>
        <w:jc w:val="center"/>
        <w:rPr>
          <w:rFonts w:ascii="Times New Roman" w:eastAsia="黑体"/>
          <w:b/>
          <w:sz w:val="44"/>
          <w:szCs w:val="44"/>
        </w:rPr>
      </w:pPr>
    </w:p>
    <w:p w14:paraId="10949122">
      <w:pPr>
        <w:jc w:val="center"/>
        <w:rPr>
          <w:rFonts w:ascii="Times New Roman" w:eastAsia="黑体"/>
          <w:b/>
          <w:sz w:val="44"/>
          <w:szCs w:val="44"/>
        </w:rPr>
      </w:pPr>
    </w:p>
    <w:p w14:paraId="645FC405">
      <w:pPr>
        <w:jc w:val="center"/>
        <w:rPr>
          <w:rFonts w:ascii="Times New Roman" w:eastAsia="黑体"/>
          <w:sz w:val="52"/>
          <w:szCs w:val="52"/>
        </w:rPr>
      </w:pPr>
      <w:r>
        <w:rPr>
          <w:rFonts w:hint="eastAsia" w:ascii="Times New Roman" w:eastAsia="黑体"/>
          <w:sz w:val="52"/>
          <w:szCs w:val="52"/>
        </w:rPr>
        <w:t>西部修试公司鲁厂#1-#4机组厂房1-3层电缆桥架局部调整及优化</w:t>
      </w:r>
    </w:p>
    <w:p w14:paraId="558EBA67">
      <w:pPr>
        <w:pStyle w:val="26"/>
        <w:spacing w:beforeLines="0" w:afterLines="0" w:line="360" w:lineRule="auto"/>
        <w:ind w:left="546" w:hanging="546"/>
        <w:rPr>
          <w:rFonts w:ascii="Times New Roman"/>
          <w:sz w:val="52"/>
          <w:szCs w:val="52"/>
        </w:rPr>
      </w:pPr>
      <w:r>
        <w:rPr>
          <w:rFonts w:ascii="Times New Roman"/>
          <w:sz w:val="52"/>
          <w:szCs w:val="52"/>
        </w:rPr>
        <w:t>技术</w:t>
      </w:r>
      <w:r>
        <w:rPr>
          <w:rFonts w:hint="eastAsia" w:ascii="Times New Roman"/>
          <w:sz w:val="52"/>
          <w:szCs w:val="52"/>
        </w:rPr>
        <w:t>要求</w:t>
      </w:r>
    </w:p>
    <w:p w14:paraId="6F865A89">
      <w:pPr>
        <w:pStyle w:val="26"/>
        <w:spacing w:beforeLines="0" w:afterLines="0" w:line="360" w:lineRule="auto"/>
        <w:ind w:left="462" w:hanging="462"/>
        <w:rPr>
          <w:rFonts w:ascii="Times New Roman"/>
        </w:rPr>
      </w:pPr>
    </w:p>
    <w:p w14:paraId="7E10D199">
      <w:pPr>
        <w:rPr>
          <w:rFonts w:ascii="Times New Roman"/>
        </w:rPr>
      </w:pPr>
    </w:p>
    <w:p w14:paraId="173E3210">
      <w:pPr>
        <w:rPr>
          <w:rFonts w:ascii="Times New Roman"/>
        </w:rPr>
      </w:pPr>
    </w:p>
    <w:p w14:paraId="34F62EB3">
      <w:pPr>
        <w:rPr>
          <w:rFonts w:ascii="Times New Roman"/>
        </w:rPr>
      </w:pPr>
    </w:p>
    <w:p w14:paraId="21E8F63B">
      <w:pPr>
        <w:rPr>
          <w:rFonts w:ascii="Times New Roman"/>
        </w:rPr>
      </w:pPr>
    </w:p>
    <w:p w14:paraId="74AE7849">
      <w:pPr>
        <w:rPr>
          <w:rFonts w:ascii="Times New Roman"/>
        </w:rPr>
      </w:pPr>
    </w:p>
    <w:p w14:paraId="341774AE">
      <w:pPr>
        <w:rPr>
          <w:rFonts w:ascii="Times New Roman"/>
        </w:rPr>
      </w:pPr>
    </w:p>
    <w:p w14:paraId="542189C5">
      <w:pPr>
        <w:rPr>
          <w:rFonts w:ascii="Times New Roman"/>
        </w:rPr>
      </w:pPr>
    </w:p>
    <w:p w14:paraId="4533D5E8">
      <w:pPr>
        <w:tabs>
          <w:tab w:val="left" w:pos="532"/>
        </w:tabs>
        <w:jc w:val="center"/>
        <w:rPr>
          <w:rFonts w:ascii="Times New Roman" w:eastAsia="黑体"/>
          <w:spacing w:val="-4"/>
          <w:sz w:val="30"/>
        </w:rPr>
      </w:pPr>
      <w:r>
        <w:rPr>
          <w:rFonts w:ascii="Times New Roman" w:eastAsia="黑体"/>
          <w:spacing w:val="-4"/>
          <w:sz w:val="30"/>
        </w:rPr>
        <w:t>南方电网</w:t>
      </w:r>
      <w:r>
        <w:rPr>
          <w:rFonts w:hint="eastAsia" w:ascii="Times New Roman" w:eastAsia="黑体"/>
          <w:spacing w:val="-4"/>
          <w:sz w:val="30"/>
        </w:rPr>
        <w:t>储能股份</w:t>
      </w:r>
      <w:r>
        <w:rPr>
          <w:rFonts w:ascii="Times New Roman" w:eastAsia="黑体"/>
          <w:spacing w:val="-4"/>
          <w:sz w:val="30"/>
        </w:rPr>
        <w:t>有限公司西部检修试验分公司</w:t>
      </w:r>
    </w:p>
    <w:p w14:paraId="7F8F1B5E">
      <w:pPr>
        <w:spacing w:line="520" w:lineRule="exact"/>
        <w:jc w:val="center"/>
        <w:rPr>
          <w:rFonts w:ascii="Times New Roman" w:eastAsia="黑体"/>
          <w:sz w:val="30"/>
          <w:szCs w:val="30"/>
        </w:rPr>
      </w:pPr>
      <w:r>
        <w:rPr>
          <w:rFonts w:ascii="Times New Roman" w:eastAsia="黑体"/>
          <w:sz w:val="30"/>
          <w:szCs w:val="30"/>
        </w:rPr>
        <w:t>202</w:t>
      </w:r>
      <w:r>
        <w:rPr>
          <w:rFonts w:hint="eastAsia" w:ascii="Times New Roman" w:eastAsia="黑体"/>
          <w:sz w:val="30"/>
          <w:szCs w:val="30"/>
        </w:rPr>
        <w:t>5</w:t>
      </w:r>
      <w:r>
        <w:rPr>
          <w:rFonts w:ascii="Times New Roman" w:eastAsia="黑体"/>
          <w:sz w:val="30"/>
          <w:szCs w:val="30"/>
        </w:rPr>
        <w:t>年</w:t>
      </w:r>
      <w:r>
        <w:rPr>
          <w:rFonts w:hint="eastAsia" w:ascii="Times New Roman" w:eastAsia="黑体"/>
          <w:sz w:val="30"/>
          <w:szCs w:val="30"/>
        </w:rPr>
        <w:t>10</w:t>
      </w:r>
      <w:r>
        <w:rPr>
          <w:rFonts w:ascii="Times New Roman" w:eastAsia="黑体"/>
          <w:sz w:val="30"/>
          <w:szCs w:val="30"/>
        </w:rPr>
        <w:t>月</w:t>
      </w:r>
    </w:p>
    <w:p w14:paraId="5433DA68">
      <w:pPr>
        <w:pStyle w:val="13"/>
      </w:pPr>
    </w:p>
    <w:p w14:paraId="0F8397A9"/>
    <w:p w14:paraId="26DCC2CE"/>
    <w:p w14:paraId="63B2AE41">
      <w:pPr>
        <w:pStyle w:val="13"/>
      </w:pPr>
    </w:p>
    <w:p w14:paraId="04EFD9C5">
      <w:pPr>
        <w:pStyle w:val="9"/>
        <w:spacing w:beforeLines="100" w:line="360" w:lineRule="exact"/>
        <w:ind w:firstLine="0" w:firstLineChars="0"/>
        <w:rPr>
          <w:rFonts w:cs="Arial"/>
        </w:rPr>
      </w:pPr>
      <w:bookmarkStart w:id="0" w:name="_Toc3683"/>
      <w:bookmarkStart w:id="1" w:name="_Toc6196"/>
      <w:r>
        <w:rPr>
          <w:rFonts w:cs="Arial"/>
        </w:rPr>
        <w:t>目</w:t>
      </w:r>
      <w:r>
        <w:rPr>
          <w:rFonts w:hint="eastAsia" w:cs="Arial"/>
        </w:rPr>
        <w:t xml:space="preserve">   录</w:t>
      </w:r>
      <w:bookmarkEnd w:id="0"/>
      <w:bookmarkEnd w:id="1"/>
    </w:p>
    <w:p w14:paraId="698A33BD">
      <w:pPr>
        <w:pStyle w:val="13"/>
        <w:tabs>
          <w:tab w:val="right" w:leader="dot" w:pos="9071"/>
          <w:tab w:val="clear" w:pos="840"/>
          <w:tab w:val="clear" w:pos="9628"/>
        </w:tabs>
      </w:pPr>
      <w:r>
        <w:rPr>
          <w:rFonts w:ascii="Arial" w:hAnsi="Arial"/>
          <w:b/>
          <w:caps/>
          <w:szCs w:val="20"/>
        </w:rPr>
        <w:fldChar w:fldCharType="begin"/>
      </w:r>
      <w:r>
        <w:rPr>
          <w:rFonts w:ascii="Arial" w:hAnsi="Arial"/>
          <w:b/>
          <w:caps/>
          <w:szCs w:val="20"/>
        </w:rPr>
        <w:instrText xml:space="preserve"> TOC \o "1-1" \h \z \u </w:instrText>
      </w:r>
      <w:r>
        <w:rPr>
          <w:rFonts w:ascii="Arial" w:hAnsi="Arial"/>
          <w:b/>
          <w:caps/>
          <w:szCs w:val="20"/>
        </w:rPr>
        <w:fldChar w:fldCharType="separate"/>
      </w:r>
      <w:r>
        <w:fldChar w:fldCharType="begin"/>
      </w:r>
      <w:r>
        <w:instrText xml:space="preserve"> HYPERLINK \l "_Toc3683" </w:instrText>
      </w:r>
      <w:r>
        <w:fldChar w:fldCharType="separate"/>
      </w:r>
      <w:r>
        <w:rPr>
          <w:rFonts w:cs="Arial"/>
          <w:bCs/>
        </w:rPr>
        <w:t>目</w:t>
      </w:r>
      <w:r>
        <w:rPr>
          <w:rFonts w:hint="eastAsia" w:cs="Arial"/>
          <w:bCs/>
        </w:rPr>
        <w:t xml:space="preserve">   录</w:t>
      </w:r>
      <w:r>
        <w:tab/>
      </w:r>
      <w:r>
        <w:fldChar w:fldCharType="begin"/>
      </w:r>
      <w:r>
        <w:instrText xml:space="preserve"> PAGEREF _Toc3683 \h </w:instrText>
      </w:r>
      <w:r>
        <w:fldChar w:fldCharType="separate"/>
      </w:r>
      <w:r>
        <w:t>1</w:t>
      </w:r>
      <w:r>
        <w:fldChar w:fldCharType="end"/>
      </w:r>
      <w:r>
        <w:fldChar w:fldCharType="end"/>
      </w:r>
    </w:p>
    <w:p w14:paraId="35FB9450">
      <w:pPr>
        <w:pStyle w:val="13"/>
        <w:tabs>
          <w:tab w:val="right" w:leader="dot" w:pos="9071"/>
          <w:tab w:val="clear" w:pos="840"/>
          <w:tab w:val="clear" w:pos="9628"/>
        </w:tabs>
      </w:pPr>
      <w:r>
        <w:fldChar w:fldCharType="begin"/>
      </w:r>
      <w:r>
        <w:instrText xml:space="preserve"> HYPERLINK \l "_Toc3812" </w:instrText>
      </w:r>
      <w:r>
        <w:fldChar w:fldCharType="separate"/>
      </w:r>
      <w:r>
        <w:rPr>
          <w:bCs/>
          <w:szCs w:val="28"/>
        </w:rPr>
        <w:t>1. 项目概述</w:t>
      </w:r>
      <w:r>
        <w:tab/>
      </w:r>
      <w:r>
        <w:fldChar w:fldCharType="begin"/>
      </w:r>
      <w:r>
        <w:instrText xml:space="preserve"> PAGEREF _Toc3812 \h </w:instrText>
      </w:r>
      <w:r>
        <w:fldChar w:fldCharType="separate"/>
      </w:r>
      <w:r>
        <w:t>1</w:t>
      </w:r>
      <w:r>
        <w:fldChar w:fldCharType="end"/>
      </w:r>
      <w:r>
        <w:fldChar w:fldCharType="end"/>
      </w:r>
    </w:p>
    <w:p w14:paraId="595E12CF">
      <w:pPr>
        <w:pStyle w:val="13"/>
        <w:tabs>
          <w:tab w:val="right" w:leader="dot" w:pos="9071"/>
          <w:tab w:val="clear" w:pos="840"/>
          <w:tab w:val="clear" w:pos="9628"/>
        </w:tabs>
      </w:pPr>
      <w:r>
        <w:fldChar w:fldCharType="begin"/>
      </w:r>
      <w:r>
        <w:instrText xml:space="preserve"> HYPERLINK \l "_Toc5589" </w:instrText>
      </w:r>
      <w:r>
        <w:fldChar w:fldCharType="separate"/>
      </w:r>
      <w:r>
        <w:rPr>
          <w:bCs/>
          <w:szCs w:val="28"/>
        </w:rPr>
        <w:t xml:space="preserve">2. </w:t>
      </w:r>
      <w:r>
        <w:rPr>
          <w:rFonts w:hint="eastAsia"/>
          <w:bCs/>
          <w:szCs w:val="28"/>
        </w:rPr>
        <w:t>本期改造范围及工程要求</w:t>
      </w:r>
      <w:r>
        <w:tab/>
      </w:r>
      <w:r>
        <w:fldChar w:fldCharType="begin"/>
      </w:r>
      <w:r>
        <w:instrText xml:space="preserve"> PAGEREF _Toc5589 \h </w:instrText>
      </w:r>
      <w:r>
        <w:fldChar w:fldCharType="separate"/>
      </w:r>
      <w:r>
        <w:t>2</w:t>
      </w:r>
      <w:r>
        <w:fldChar w:fldCharType="end"/>
      </w:r>
      <w:r>
        <w:fldChar w:fldCharType="end"/>
      </w:r>
    </w:p>
    <w:p w14:paraId="19CA6198">
      <w:pPr>
        <w:pStyle w:val="13"/>
        <w:tabs>
          <w:tab w:val="right" w:leader="dot" w:pos="9071"/>
          <w:tab w:val="clear" w:pos="840"/>
          <w:tab w:val="clear" w:pos="9628"/>
        </w:tabs>
      </w:pPr>
      <w:r>
        <w:fldChar w:fldCharType="begin"/>
      </w:r>
      <w:r>
        <w:instrText xml:space="preserve"> HYPERLINK \l "_Toc2899" </w:instrText>
      </w:r>
      <w:r>
        <w:fldChar w:fldCharType="separate"/>
      </w:r>
      <w:r>
        <w:rPr>
          <w:bCs/>
          <w:szCs w:val="28"/>
        </w:rPr>
        <w:t>3. 标准和规范</w:t>
      </w:r>
      <w:r>
        <w:tab/>
      </w:r>
      <w:r>
        <w:fldChar w:fldCharType="begin"/>
      </w:r>
      <w:r>
        <w:instrText xml:space="preserve"> PAGEREF _Toc2899 \h </w:instrText>
      </w:r>
      <w:r>
        <w:fldChar w:fldCharType="separate"/>
      </w:r>
      <w:r>
        <w:t>8</w:t>
      </w:r>
      <w:r>
        <w:fldChar w:fldCharType="end"/>
      </w:r>
      <w:r>
        <w:fldChar w:fldCharType="end"/>
      </w:r>
    </w:p>
    <w:p w14:paraId="1A444B17">
      <w:pPr>
        <w:pStyle w:val="13"/>
        <w:tabs>
          <w:tab w:val="right" w:leader="dot" w:pos="9071"/>
          <w:tab w:val="clear" w:pos="840"/>
          <w:tab w:val="clear" w:pos="9628"/>
        </w:tabs>
      </w:pPr>
      <w:r>
        <w:fldChar w:fldCharType="begin"/>
      </w:r>
      <w:r>
        <w:instrText xml:space="preserve"> HYPERLINK \l "_Toc24793" </w:instrText>
      </w:r>
      <w:r>
        <w:fldChar w:fldCharType="separate"/>
      </w:r>
      <w:r>
        <w:rPr>
          <w:bCs/>
          <w:szCs w:val="28"/>
        </w:rPr>
        <w:t>4. 工程要求</w:t>
      </w:r>
      <w:r>
        <w:tab/>
      </w:r>
      <w:r>
        <w:fldChar w:fldCharType="begin"/>
      </w:r>
      <w:r>
        <w:instrText xml:space="preserve"> PAGEREF _Toc24793 \h </w:instrText>
      </w:r>
      <w:r>
        <w:fldChar w:fldCharType="separate"/>
      </w:r>
      <w:r>
        <w:t>9</w:t>
      </w:r>
      <w:r>
        <w:fldChar w:fldCharType="end"/>
      </w:r>
      <w:r>
        <w:fldChar w:fldCharType="end"/>
      </w:r>
    </w:p>
    <w:p w14:paraId="144F22BE">
      <w:pPr>
        <w:pStyle w:val="13"/>
        <w:tabs>
          <w:tab w:val="right" w:leader="dot" w:pos="9071"/>
          <w:tab w:val="clear" w:pos="840"/>
          <w:tab w:val="clear" w:pos="9628"/>
        </w:tabs>
      </w:pPr>
      <w:r>
        <w:fldChar w:fldCharType="begin"/>
      </w:r>
      <w:r>
        <w:instrText xml:space="preserve"> HYPERLINK \l "_Toc32635" </w:instrText>
      </w:r>
      <w:r>
        <w:fldChar w:fldCharType="separate"/>
      </w:r>
      <w:r>
        <w:rPr>
          <w:bCs/>
        </w:rPr>
        <w:t xml:space="preserve">4.1 </w:t>
      </w:r>
      <w:r>
        <w:rPr>
          <w:rFonts w:hint="eastAsia"/>
          <w:bCs/>
        </w:rPr>
        <w:t>采购要求</w:t>
      </w:r>
      <w:r>
        <w:tab/>
      </w:r>
      <w:r>
        <w:fldChar w:fldCharType="begin"/>
      </w:r>
      <w:r>
        <w:instrText xml:space="preserve"> PAGEREF _Toc32635 \h </w:instrText>
      </w:r>
      <w:r>
        <w:fldChar w:fldCharType="separate"/>
      </w:r>
      <w:r>
        <w:t>9</w:t>
      </w:r>
      <w:r>
        <w:fldChar w:fldCharType="end"/>
      </w:r>
      <w:r>
        <w:fldChar w:fldCharType="end"/>
      </w:r>
    </w:p>
    <w:p w14:paraId="747EBDAC">
      <w:pPr>
        <w:pStyle w:val="13"/>
        <w:tabs>
          <w:tab w:val="right" w:leader="dot" w:pos="9071"/>
          <w:tab w:val="clear" w:pos="840"/>
          <w:tab w:val="clear" w:pos="9628"/>
        </w:tabs>
      </w:pPr>
      <w:r>
        <w:fldChar w:fldCharType="begin"/>
      </w:r>
      <w:r>
        <w:instrText xml:space="preserve"> HYPERLINK \l "_Toc17000" </w:instrText>
      </w:r>
      <w:r>
        <w:fldChar w:fldCharType="separate"/>
      </w:r>
      <w:r>
        <w:rPr>
          <w:bCs/>
        </w:rPr>
        <w:t xml:space="preserve">4.2 </w:t>
      </w:r>
      <w:r>
        <w:rPr>
          <w:rFonts w:hint="eastAsia"/>
          <w:bCs/>
        </w:rPr>
        <w:t>文件、图纸与资料</w:t>
      </w:r>
      <w:r>
        <w:tab/>
      </w:r>
      <w:r>
        <w:fldChar w:fldCharType="begin"/>
      </w:r>
      <w:r>
        <w:instrText xml:space="preserve"> PAGEREF _Toc17000 \h </w:instrText>
      </w:r>
      <w:r>
        <w:fldChar w:fldCharType="separate"/>
      </w:r>
      <w:r>
        <w:t>10</w:t>
      </w:r>
      <w:r>
        <w:fldChar w:fldCharType="end"/>
      </w:r>
      <w:r>
        <w:fldChar w:fldCharType="end"/>
      </w:r>
    </w:p>
    <w:p w14:paraId="0FC37ABF">
      <w:pPr>
        <w:pStyle w:val="13"/>
        <w:tabs>
          <w:tab w:val="right" w:leader="dot" w:pos="9071"/>
          <w:tab w:val="clear" w:pos="840"/>
          <w:tab w:val="clear" w:pos="9628"/>
        </w:tabs>
      </w:pPr>
      <w:r>
        <w:fldChar w:fldCharType="begin"/>
      </w:r>
      <w:r>
        <w:instrText xml:space="preserve"> HYPERLINK \l "_Toc26583" </w:instrText>
      </w:r>
      <w:r>
        <w:fldChar w:fldCharType="separate"/>
      </w:r>
      <w:r>
        <w:rPr>
          <w:bCs/>
        </w:rPr>
        <w:t xml:space="preserve">4.3 </w:t>
      </w:r>
      <w:r>
        <w:rPr>
          <w:rFonts w:hint="eastAsia"/>
          <w:bCs/>
        </w:rPr>
        <w:t>电缆桥架的交付和接收</w:t>
      </w:r>
      <w:r>
        <w:tab/>
      </w:r>
      <w:r>
        <w:fldChar w:fldCharType="begin"/>
      </w:r>
      <w:r>
        <w:instrText xml:space="preserve"> PAGEREF _Toc26583 \h </w:instrText>
      </w:r>
      <w:r>
        <w:fldChar w:fldCharType="separate"/>
      </w:r>
      <w:r>
        <w:t>11</w:t>
      </w:r>
      <w:r>
        <w:fldChar w:fldCharType="end"/>
      </w:r>
      <w:r>
        <w:fldChar w:fldCharType="end"/>
      </w:r>
    </w:p>
    <w:p w14:paraId="0DE33884">
      <w:pPr>
        <w:pStyle w:val="13"/>
        <w:tabs>
          <w:tab w:val="right" w:leader="dot" w:pos="9071"/>
          <w:tab w:val="clear" w:pos="840"/>
          <w:tab w:val="clear" w:pos="9628"/>
        </w:tabs>
      </w:pPr>
      <w:r>
        <w:fldChar w:fldCharType="begin"/>
      </w:r>
      <w:r>
        <w:instrText xml:space="preserve"> HYPERLINK \l "_Toc3284" </w:instrText>
      </w:r>
      <w:r>
        <w:fldChar w:fldCharType="separate"/>
      </w:r>
      <w:r>
        <w:rPr>
          <w:bCs/>
        </w:rPr>
        <w:t xml:space="preserve">4.4 </w:t>
      </w:r>
      <w:r>
        <w:rPr>
          <w:rFonts w:hint="eastAsia"/>
          <w:bCs/>
        </w:rPr>
        <w:t>现场运输和仓储管理</w:t>
      </w:r>
      <w:r>
        <w:tab/>
      </w:r>
      <w:r>
        <w:fldChar w:fldCharType="begin"/>
      </w:r>
      <w:r>
        <w:instrText xml:space="preserve"> PAGEREF _Toc3284 \h </w:instrText>
      </w:r>
      <w:r>
        <w:fldChar w:fldCharType="separate"/>
      </w:r>
      <w:r>
        <w:t>11</w:t>
      </w:r>
      <w:r>
        <w:fldChar w:fldCharType="end"/>
      </w:r>
      <w:r>
        <w:fldChar w:fldCharType="end"/>
      </w:r>
    </w:p>
    <w:p w14:paraId="3D476726">
      <w:pPr>
        <w:pStyle w:val="13"/>
        <w:tabs>
          <w:tab w:val="right" w:leader="dot" w:pos="9071"/>
          <w:tab w:val="clear" w:pos="840"/>
          <w:tab w:val="clear" w:pos="9628"/>
        </w:tabs>
      </w:pPr>
      <w:r>
        <w:fldChar w:fldCharType="begin"/>
      </w:r>
      <w:r>
        <w:instrText xml:space="preserve"> HYPERLINK \l "_Toc32304" </w:instrText>
      </w:r>
      <w:r>
        <w:fldChar w:fldCharType="separate"/>
      </w:r>
      <w:r>
        <w:rPr>
          <w:bCs/>
        </w:rPr>
        <w:t xml:space="preserve">4.5 </w:t>
      </w:r>
      <w:r>
        <w:rPr>
          <w:rFonts w:hint="eastAsia"/>
          <w:bCs/>
        </w:rPr>
        <w:t>电缆桥架的缺陷处理</w:t>
      </w:r>
      <w:r>
        <w:tab/>
      </w:r>
      <w:r>
        <w:fldChar w:fldCharType="begin"/>
      </w:r>
      <w:r>
        <w:instrText xml:space="preserve"> PAGEREF _Toc32304 \h </w:instrText>
      </w:r>
      <w:r>
        <w:fldChar w:fldCharType="separate"/>
      </w:r>
      <w:r>
        <w:t>11</w:t>
      </w:r>
      <w:r>
        <w:fldChar w:fldCharType="end"/>
      </w:r>
      <w:r>
        <w:fldChar w:fldCharType="end"/>
      </w:r>
    </w:p>
    <w:p w14:paraId="1E73A0D1">
      <w:pPr>
        <w:pStyle w:val="13"/>
        <w:tabs>
          <w:tab w:val="right" w:leader="dot" w:pos="9071"/>
          <w:tab w:val="clear" w:pos="840"/>
          <w:tab w:val="clear" w:pos="9628"/>
        </w:tabs>
      </w:pPr>
      <w:r>
        <w:fldChar w:fldCharType="begin"/>
      </w:r>
      <w:r>
        <w:instrText xml:space="preserve"> HYPERLINK \l "_Toc26776" </w:instrText>
      </w:r>
      <w:r>
        <w:fldChar w:fldCharType="separate"/>
      </w:r>
      <w:r>
        <w:rPr>
          <w:bCs/>
        </w:rPr>
        <w:t xml:space="preserve">4.6 </w:t>
      </w:r>
      <w:r>
        <w:rPr>
          <w:rFonts w:hint="eastAsia"/>
          <w:bCs/>
        </w:rPr>
        <w:t>工程施工管理</w:t>
      </w:r>
      <w:r>
        <w:tab/>
      </w:r>
      <w:r>
        <w:fldChar w:fldCharType="begin"/>
      </w:r>
      <w:r>
        <w:instrText xml:space="preserve"> PAGEREF _Toc26776 \h </w:instrText>
      </w:r>
      <w:r>
        <w:fldChar w:fldCharType="separate"/>
      </w:r>
      <w:r>
        <w:t>11</w:t>
      </w:r>
      <w:r>
        <w:fldChar w:fldCharType="end"/>
      </w:r>
      <w:r>
        <w:fldChar w:fldCharType="end"/>
      </w:r>
    </w:p>
    <w:p w14:paraId="7FD6925E">
      <w:pPr>
        <w:pStyle w:val="13"/>
        <w:tabs>
          <w:tab w:val="right" w:leader="dot" w:pos="9071"/>
          <w:tab w:val="clear" w:pos="840"/>
          <w:tab w:val="clear" w:pos="9628"/>
        </w:tabs>
      </w:pPr>
      <w:r>
        <w:fldChar w:fldCharType="begin"/>
      </w:r>
      <w:r>
        <w:instrText xml:space="preserve"> HYPERLINK \l "_Toc3994" </w:instrText>
      </w:r>
      <w:r>
        <w:fldChar w:fldCharType="separate"/>
      </w:r>
      <w:r>
        <w:rPr>
          <w:bCs/>
        </w:rPr>
        <w:t xml:space="preserve">4.7 </w:t>
      </w:r>
      <w:r>
        <w:rPr>
          <w:rFonts w:hint="eastAsia"/>
          <w:bCs/>
        </w:rPr>
        <w:t>对施工方的要求</w:t>
      </w:r>
      <w:r>
        <w:tab/>
      </w:r>
      <w:r>
        <w:fldChar w:fldCharType="begin"/>
      </w:r>
      <w:r>
        <w:instrText xml:space="preserve"> PAGEREF _Toc3994 \h </w:instrText>
      </w:r>
      <w:r>
        <w:fldChar w:fldCharType="separate"/>
      </w:r>
      <w:r>
        <w:t>12</w:t>
      </w:r>
      <w:r>
        <w:fldChar w:fldCharType="end"/>
      </w:r>
      <w:r>
        <w:fldChar w:fldCharType="end"/>
      </w:r>
    </w:p>
    <w:p w14:paraId="201DE8F1">
      <w:pPr>
        <w:pStyle w:val="13"/>
        <w:tabs>
          <w:tab w:val="right" w:leader="dot" w:pos="9071"/>
          <w:tab w:val="clear" w:pos="840"/>
          <w:tab w:val="clear" w:pos="9628"/>
        </w:tabs>
      </w:pPr>
      <w:r>
        <w:fldChar w:fldCharType="begin"/>
      </w:r>
      <w:r>
        <w:instrText xml:space="preserve"> HYPERLINK \l "_Toc17109" </w:instrText>
      </w:r>
      <w:r>
        <w:fldChar w:fldCharType="separate"/>
      </w:r>
      <w:r>
        <w:rPr>
          <w:bCs/>
        </w:rPr>
        <w:t xml:space="preserve">4.8 </w:t>
      </w:r>
      <w:r>
        <w:rPr>
          <w:rFonts w:hint="eastAsia"/>
          <w:bCs/>
        </w:rPr>
        <w:t>对施工方的要求和说明</w:t>
      </w:r>
      <w:r>
        <w:tab/>
      </w:r>
      <w:r>
        <w:fldChar w:fldCharType="begin"/>
      </w:r>
      <w:r>
        <w:instrText xml:space="preserve"> PAGEREF _Toc17109 \h </w:instrText>
      </w:r>
      <w:r>
        <w:fldChar w:fldCharType="separate"/>
      </w:r>
      <w:r>
        <w:t>12</w:t>
      </w:r>
      <w:r>
        <w:fldChar w:fldCharType="end"/>
      </w:r>
      <w:r>
        <w:fldChar w:fldCharType="end"/>
      </w:r>
    </w:p>
    <w:p w14:paraId="515B658B">
      <w:pPr>
        <w:pStyle w:val="13"/>
        <w:tabs>
          <w:tab w:val="right" w:leader="dot" w:pos="9071"/>
          <w:tab w:val="clear" w:pos="840"/>
          <w:tab w:val="clear" w:pos="9628"/>
        </w:tabs>
      </w:pPr>
      <w:r>
        <w:fldChar w:fldCharType="begin"/>
      </w:r>
      <w:r>
        <w:instrText xml:space="preserve"> HYPERLINK \l "_Toc24461" </w:instrText>
      </w:r>
      <w:r>
        <w:fldChar w:fldCharType="separate"/>
      </w:r>
      <w:r>
        <w:rPr>
          <w:bCs/>
        </w:rPr>
        <w:t xml:space="preserve">4.9 </w:t>
      </w:r>
      <w:r>
        <w:rPr>
          <w:rFonts w:hint="eastAsia"/>
          <w:bCs/>
        </w:rPr>
        <w:t>文明施工要求和措施</w:t>
      </w:r>
      <w:r>
        <w:tab/>
      </w:r>
      <w:r>
        <w:fldChar w:fldCharType="begin"/>
      </w:r>
      <w:r>
        <w:instrText xml:space="preserve"> PAGEREF _Toc24461 \h </w:instrText>
      </w:r>
      <w:r>
        <w:fldChar w:fldCharType="separate"/>
      </w:r>
      <w:r>
        <w:t>12</w:t>
      </w:r>
      <w:r>
        <w:fldChar w:fldCharType="end"/>
      </w:r>
      <w:r>
        <w:fldChar w:fldCharType="end"/>
      </w:r>
    </w:p>
    <w:p w14:paraId="72AF9A63">
      <w:pPr>
        <w:pStyle w:val="13"/>
        <w:tabs>
          <w:tab w:val="right" w:leader="dot" w:pos="9071"/>
          <w:tab w:val="clear" w:pos="840"/>
          <w:tab w:val="clear" w:pos="9628"/>
        </w:tabs>
      </w:pPr>
      <w:r>
        <w:fldChar w:fldCharType="begin"/>
      </w:r>
      <w:r>
        <w:instrText xml:space="preserve"> HYPERLINK \l "_Toc6297" </w:instrText>
      </w:r>
      <w:r>
        <w:fldChar w:fldCharType="separate"/>
      </w:r>
      <w:r>
        <w:rPr>
          <w:bCs/>
          <w:szCs w:val="28"/>
        </w:rPr>
        <w:t>5. 技术规范要求</w:t>
      </w:r>
      <w:r>
        <w:tab/>
      </w:r>
      <w:r>
        <w:fldChar w:fldCharType="begin"/>
      </w:r>
      <w:r>
        <w:instrText xml:space="preserve"> PAGEREF _Toc6297 \h </w:instrText>
      </w:r>
      <w:r>
        <w:fldChar w:fldCharType="separate"/>
      </w:r>
      <w:r>
        <w:t>13</w:t>
      </w:r>
      <w:r>
        <w:fldChar w:fldCharType="end"/>
      </w:r>
      <w:r>
        <w:fldChar w:fldCharType="end"/>
      </w:r>
    </w:p>
    <w:p w14:paraId="2C31AF1F">
      <w:pPr>
        <w:pStyle w:val="13"/>
        <w:tabs>
          <w:tab w:val="right" w:leader="dot" w:pos="9071"/>
          <w:tab w:val="clear" w:pos="840"/>
          <w:tab w:val="clear" w:pos="9628"/>
        </w:tabs>
      </w:pPr>
      <w:r>
        <w:fldChar w:fldCharType="begin"/>
      </w:r>
      <w:r>
        <w:instrText xml:space="preserve"> HYPERLINK \l "_Toc26765" </w:instrText>
      </w:r>
      <w:r>
        <w:fldChar w:fldCharType="separate"/>
      </w:r>
      <w:r>
        <w:rPr>
          <w:bCs/>
          <w:szCs w:val="28"/>
        </w:rPr>
        <w:t>5.1 桥架部分技术要求</w:t>
      </w:r>
      <w:r>
        <w:tab/>
      </w:r>
      <w:r>
        <w:fldChar w:fldCharType="begin"/>
      </w:r>
      <w:r>
        <w:instrText xml:space="preserve"> PAGEREF _Toc26765 \h </w:instrText>
      </w:r>
      <w:r>
        <w:fldChar w:fldCharType="separate"/>
      </w:r>
      <w:r>
        <w:t>13</w:t>
      </w:r>
      <w:r>
        <w:fldChar w:fldCharType="end"/>
      </w:r>
      <w:r>
        <w:fldChar w:fldCharType="end"/>
      </w:r>
    </w:p>
    <w:p w14:paraId="3A46F25E">
      <w:pPr>
        <w:pStyle w:val="13"/>
        <w:tabs>
          <w:tab w:val="right" w:leader="dot" w:pos="9071"/>
          <w:tab w:val="clear" w:pos="840"/>
          <w:tab w:val="clear" w:pos="9628"/>
        </w:tabs>
      </w:pPr>
      <w:r>
        <w:fldChar w:fldCharType="begin"/>
      </w:r>
      <w:r>
        <w:instrText xml:space="preserve"> HYPERLINK \l "_Toc19798" </w:instrText>
      </w:r>
      <w:r>
        <w:fldChar w:fldCharType="separate"/>
      </w:r>
      <w:r>
        <w:rPr>
          <w:bCs/>
          <w:szCs w:val="28"/>
        </w:rPr>
        <w:t>5.2 电缆桥架安装要求</w:t>
      </w:r>
      <w:r>
        <w:tab/>
      </w:r>
      <w:r>
        <w:fldChar w:fldCharType="begin"/>
      </w:r>
      <w:r>
        <w:instrText xml:space="preserve"> PAGEREF _Toc19798 \h </w:instrText>
      </w:r>
      <w:r>
        <w:fldChar w:fldCharType="separate"/>
      </w:r>
      <w:r>
        <w:t>15</w:t>
      </w:r>
      <w:r>
        <w:fldChar w:fldCharType="end"/>
      </w:r>
      <w:r>
        <w:fldChar w:fldCharType="end"/>
      </w:r>
    </w:p>
    <w:p w14:paraId="70A05003">
      <w:pPr>
        <w:pStyle w:val="13"/>
        <w:tabs>
          <w:tab w:val="right" w:leader="dot" w:pos="9071"/>
          <w:tab w:val="clear" w:pos="840"/>
          <w:tab w:val="clear" w:pos="9628"/>
        </w:tabs>
      </w:pPr>
      <w:r>
        <w:fldChar w:fldCharType="begin"/>
      </w:r>
      <w:r>
        <w:instrText xml:space="preserve"> HYPERLINK \l "_Toc3899" </w:instrText>
      </w:r>
      <w:r>
        <w:fldChar w:fldCharType="separate"/>
      </w:r>
      <w:r>
        <w:rPr>
          <w:bCs/>
          <w:szCs w:val="28"/>
        </w:rPr>
        <w:t>5.3 电缆桥架的接地技术要求</w:t>
      </w:r>
      <w:r>
        <w:tab/>
      </w:r>
      <w:r>
        <w:fldChar w:fldCharType="begin"/>
      </w:r>
      <w:r>
        <w:instrText xml:space="preserve"> PAGEREF _Toc3899 \h </w:instrText>
      </w:r>
      <w:r>
        <w:fldChar w:fldCharType="separate"/>
      </w:r>
      <w:r>
        <w:t>17</w:t>
      </w:r>
      <w:r>
        <w:fldChar w:fldCharType="end"/>
      </w:r>
      <w:r>
        <w:fldChar w:fldCharType="end"/>
      </w:r>
    </w:p>
    <w:p w14:paraId="2EEC2971">
      <w:pPr>
        <w:pStyle w:val="13"/>
        <w:tabs>
          <w:tab w:val="right" w:leader="dot" w:pos="9071"/>
          <w:tab w:val="clear" w:pos="840"/>
          <w:tab w:val="clear" w:pos="9628"/>
        </w:tabs>
      </w:pPr>
      <w:r>
        <w:fldChar w:fldCharType="begin"/>
      </w:r>
      <w:r>
        <w:instrText xml:space="preserve"> HYPERLINK \l "_Toc28223" </w:instrText>
      </w:r>
      <w:r>
        <w:fldChar w:fldCharType="separate"/>
      </w:r>
      <w:r>
        <w:rPr>
          <w:bCs/>
          <w:szCs w:val="28"/>
        </w:rPr>
        <w:t>5.4 电缆交叉换层处的技术要求</w:t>
      </w:r>
      <w:r>
        <w:tab/>
      </w:r>
      <w:r>
        <w:fldChar w:fldCharType="begin"/>
      </w:r>
      <w:r>
        <w:instrText xml:space="preserve"> PAGEREF _Toc28223 \h </w:instrText>
      </w:r>
      <w:r>
        <w:fldChar w:fldCharType="separate"/>
      </w:r>
      <w:r>
        <w:t>18</w:t>
      </w:r>
      <w:r>
        <w:fldChar w:fldCharType="end"/>
      </w:r>
      <w:r>
        <w:fldChar w:fldCharType="end"/>
      </w:r>
    </w:p>
    <w:p w14:paraId="59492FD6">
      <w:pPr>
        <w:pStyle w:val="13"/>
        <w:tabs>
          <w:tab w:val="right" w:leader="dot" w:pos="9071"/>
          <w:tab w:val="clear" w:pos="840"/>
          <w:tab w:val="clear" w:pos="9628"/>
        </w:tabs>
      </w:pPr>
      <w:r>
        <w:fldChar w:fldCharType="begin"/>
      </w:r>
      <w:r>
        <w:instrText xml:space="preserve"> HYPERLINK \l "_Toc17095" </w:instrText>
      </w:r>
      <w:r>
        <w:fldChar w:fldCharType="separate"/>
      </w:r>
      <w:r>
        <w:rPr>
          <w:bCs/>
          <w:szCs w:val="28"/>
        </w:rPr>
        <w:t>5.5 90°转角处桥架的技术要求</w:t>
      </w:r>
      <w:r>
        <w:tab/>
      </w:r>
      <w:r>
        <w:fldChar w:fldCharType="begin"/>
      </w:r>
      <w:r>
        <w:instrText xml:space="preserve"> PAGEREF _Toc17095 \h </w:instrText>
      </w:r>
      <w:r>
        <w:fldChar w:fldCharType="separate"/>
      </w:r>
      <w:r>
        <w:t>18</w:t>
      </w:r>
      <w:r>
        <w:fldChar w:fldCharType="end"/>
      </w:r>
      <w:r>
        <w:fldChar w:fldCharType="end"/>
      </w:r>
    </w:p>
    <w:p w14:paraId="15DC4E7A">
      <w:pPr>
        <w:pStyle w:val="13"/>
        <w:tabs>
          <w:tab w:val="right" w:leader="dot" w:pos="9071"/>
          <w:tab w:val="clear" w:pos="840"/>
          <w:tab w:val="clear" w:pos="9628"/>
        </w:tabs>
      </w:pPr>
      <w:r>
        <w:fldChar w:fldCharType="begin"/>
      </w:r>
      <w:r>
        <w:instrText xml:space="preserve"> HYPERLINK \l "_Toc4454" </w:instrText>
      </w:r>
      <w:r>
        <w:fldChar w:fldCharType="separate"/>
      </w:r>
      <w:r>
        <w:rPr>
          <w:bCs/>
          <w:szCs w:val="28"/>
        </w:rPr>
        <w:t>5.6 电缆整理部分技术要求</w:t>
      </w:r>
      <w:r>
        <w:tab/>
      </w:r>
      <w:r>
        <w:fldChar w:fldCharType="begin"/>
      </w:r>
      <w:r>
        <w:instrText xml:space="preserve"> PAGEREF _Toc4454 \h </w:instrText>
      </w:r>
      <w:r>
        <w:fldChar w:fldCharType="separate"/>
      </w:r>
      <w:r>
        <w:t>18</w:t>
      </w:r>
      <w:r>
        <w:fldChar w:fldCharType="end"/>
      </w:r>
      <w:r>
        <w:fldChar w:fldCharType="end"/>
      </w:r>
    </w:p>
    <w:p w14:paraId="2DC51890">
      <w:pPr>
        <w:pStyle w:val="13"/>
        <w:tabs>
          <w:tab w:val="right" w:leader="dot" w:pos="9071"/>
          <w:tab w:val="clear" w:pos="840"/>
          <w:tab w:val="clear" w:pos="9628"/>
        </w:tabs>
      </w:pPr>
      <w:r>
        <w:fldChar w:fldCharType="begin"/>
      </w:r>
      <w:r>
        <w:instrText xml:space="preserve"> HYPERLINK \l "_Toc7705" </w:instrText>
      </w:r>
      <w:r>
        <w:fldChar w:fldCharType="separate"/>
      </w:r>
      <w:r>
        <w:rPr>
          <w:bCs/>
          <w:szCs w:val="28"/>
        </w:rPr>
        <w:t>5.7 防火部分技术要求</w:t>
      </w:r>
      <w:r>
        <w:tab/>
      </w:r>
      <w:r>
        <w:fldChar w:fldCharType="begin"/>
      </w:r>
      <w:r>
        <w:instrText xml:space="preserve"> PAGEREF _Toc7705 \h </w:instrText>
      </w:r>
      <w:r>
        <w:fldChar w:fldCharType="separate"/>
      </w:r>
      <w:r>
        <w:t>19</w:t>
      </w:r>
      <w:r>
        <w:fldChar w:fldCharType="end"/>
      </w:r>
      <w:r>
        <w:fldChar w:fldCharType="end"/>
      </w:r>
    </w:p>
    <w:p w14:paraId="721588AE">
      <w:pPr>
        <w:pStyle w:val="13"/>
        <w:tabs>
          <w:tab w:val="right" w:leader="dot" w:pos="9071"/>
          <w:tab w:val="clear" w:pos="840"/>
          <w:tab w:val="clear" w:pos="9628"/>
        </w:tabs>
      </w:pPr>
      <w:r>
        <w:fldChar w:fldCharType="begin"/>
      </w:r>
      <w:r>
        <w:instrText xml:space="preserve"> HYPERLINK \l "_Toc14017" </w:instrText>
      </w:r>
      <w:r>
        <w:fldChar w:fldCharType="separate"/>
      </w:r>
      <w:r>
        <w:rPr>
          <w:bCs/>
          <w:szCs w:val="28"/>
        </w:rPr>
        <w:t xml:space="preserve">5.8 </w:t>
      </w:r>
      <w:r>
        <w:rPr>
          <w:rFonts w:hint="eastAsia"/>
          <w:bCs/>
          <w:szCs w:val="28"/>
        </w:rPr>
        <w:t>电缆转接箱</w:t>
      </w:r>
      <w:r>
        <w:rPr>
          <w:bCs/>
          <w:szCs w:val="28"/>
        </w:rPr>
        <w:t>技术要求</w:t>
      </w:r>
      <w:r>
        <w:tab/>
      </w:r>
      <w:r>
        <w:fldChar w:fldCharType="begin"/>
      </w:r>
      <w:r>
        <w:instrText xml:space="preserve"> PAGEREF _Toc14017 \h </w:instrText>
      </w:r>
      <w:r>
        <w:fldChar w:fldCharType="separate"/>
      </w:r>
      <w:r>
        <w:t>25</w:t>
      </w:r>
      <w:r>
        <w:fldChar w:fldCharType="end"/>
      </w:r>
      <w:r>
        <w:fldChar w:fldCharType="end"/>
      </w:r>
    </w:p>
    <w:p w14:paraId="50CEE914">
      <w:pPr>
        <w:pStyle w:val="13"/>
        <w:tabs>
          <w:tab w:val="right" w:leader="dot" w:pos="9071"/>
          <w:tab w:val="clear" w:pos="840"/>
          <w:tab w:val="clear" w:pos="9628"/>
        </w:tabs>
      </w:pPr>
      <w:r>
        <w:fldChar w:fldCharType="begin"/>
      </w:r>
      <w:r>
        <w:instrText xml:space="preserve"> HYPERLINK \l "_Toc30513" </w:instrText>
      </w:r>
      <w:r>
        <w:fldChar w:fldCharType="separate"/>
      </w:r>
      <w:r>
        <w:rPr>
          <w:bCs/>
          <w:szCs w:val="28"/>
        </w:rPr>
        <w:t xml:space="preserve">6. </w:t>
      </w:r>
      <w:r>
        <w:rPr>
          <w:rFonts w:hint="eastAsia"/>
          <w:bCs/>
          <w:szCs w:val="28"/>
        </w:rPr>
        <w:t>主要</w:t>
      </w:r>
      <w:r>
        <w:rPr>
          <w:bCs/>
          <w:szCs w:val="28"/>
        </w:rPr>
        <w:t>工程量清单</w:t>
      </w:r>
      <w:r>
        <w:tab/>
      </w:r>
      <w:r>
        <w:fldChar w:fldCharType="begin"/>
      </w:r>
      <w:r>
        <w:instrText xml:space="preserve"> PAGEREF _Toc30513 \h </w:instrText>
      </w:r>
      <w:r>
        <w:fldChar w:fldCharType="separate"/>
      </w:r>
      <w:r>
        <w:t>25</w:t>
      </w:r>
      <w:r>
        <w:fldChar w:fldCharType="end"/>
      </w:r>
      <w:r>
        <w:fldChar w:fldCharType="end"/>
      </w:r>
    </w:p>
    <w:p w14:paraId="62032D67">
      <w:pPr>
        <w:pStyle w:val="13"/>
        <w:tabs>
          <w:tab w:val="right" w:leader="dot" w:pos="9071"/>
          <w:tab w:val="clear" w:pos="840"/>
          <w:tab w:val="clear" w:pos="9628"/>
        </w:tabs>
      </w:pPr>
      <w:r>
        <w:fldChar w:fldCharType="begin"/>
      </w:r>
      <w:r>
        <w:instrText xml:space="preserve"> HYPERLINK \l "_Toc659" </w:instrText>
      </w:r>
      <w:r>
        <w:fldChar w:fldCharType="separate"/>
      </w:r>
      <w:r>
        <w:rPr>
          <w:bCs/>
          <w:szCs w:val="28"/>
        </w:rPr>
        <w:t xml:space="preserve">7. </w:t>
      </w:r>
      <w:r>
        <w:rPr>
          <w:rFonts w:hint="eastAsia"/>
          <w:bCs/>
          <w:szCs w:val="28"/>
        </w:rPr>
        <w:t>施工</w:t>
      </w:r>
      <w:r>
        <w:rPr>
          <w:bCs/>
          <w:szCs w:val="28"/>
        </w:rPr>
        <w:t>工期</w:t>
      </w:r>
      <w:r>
        <w:rPr>
          <w:rFonts w:hint="eastAsia"/>
          <w:bCs/>
          <w:szCs w:val="28"/>
        </w:rPr>
        <w:t>要求</w:t>
      </w:r>
      <w:r>
        <w:tab/>
      </w:r>
      <w:r>
        <w:fldChar w:fldCharType="begin"/>
      </w:r>
      <w:r>
        <w:instrText xml:space="preserve"> PAGEREF _Toc659 \h </w:instrText>
      </w:r>
      <w:r>
        <w:fldChar w:fldCharType="separate"/>
      </w:r>
      <w:r>
        <w:t>26</w:t>
      </w:r>
      <w:r>
        <w:fldChar w:fldCharType="end"/>
      </w:r>
      <w:r>
        <w:fldChar w:fldCharType="end"/>
      </w:r>
    </w:p>
    <w:p w14:paraId="4A4C1923">
      <w:pPr>
        <w:pStyle w:val="13"/>
        <w:tabs>
          <w:tab w:val="right" w:leader="dot" w:pos="9071"/>
          <w:tab w:val="clear" w:pos="840"/>
          <w:tab w:val="clear" w:pos="9628"/>
        </w:tabs>
      </w:pPr>
      <w:r>
        <w:fldChar w:fldCharType="begin"/>
      </w:r>
      <w:r>
        <w:instrText xml:space="preserve"> HYPERLINK \l "_Toc30347" </w:instrText>
      </w:r>
      <w:r>
        <w:fldChar w:fldCharType="separate"/>
      </w:r>
      <w:r>
        <w:rPr>
          <w:bCs/>
          <w:szCs w:val="28"/>
        </w:rPr>
        <w:t xml:space="preserve">8. </w:t>
      </w:r>
      <w:r>
        <w:rPr>
          <w:rFonts w:hint="eastAsia"/>
          <w:bCs/>
          <w:szCs w:val="28"/>
        </w:rPr>
        <w:t>人员及工器具要求</w:t>
      </w:r>
      <w:r>
        <w:tab/>
      </w:r>
      <w:r>
        <w:fldChar w:fldCharType="begin"/>
      </w:r>
      <w:r>
        <w:instrText xml:space="preserve"> PAGEREF _Toc30347 \h </w:instrText>
      </w:r>
      <w:r>
        <w:fldChar w:fldCharType="separate"/>
      </w:r>
      <w:r>
        <w:t>26</w:t>
      </w:r>
      <w:r>
        <w:fldChar w:fldCharType="end"/>
      </w:r>
      <w:r>
        <w:fldChar w:fldCharType="end"/>
      </w:r>
    </w:p>
    <w:p w14:paraId="3E8D2F71">
      <w:pPr>
        <w:pStyle w:val="6"/>
        <w:ind w:left="480"/>
        <w:rPr>
          <w:rFonts w:ascii="Times New Roman"/>
          <w:b/>
          <w:bCs/>
          <w:sz w:val="28"/>
          <w:szCs w:val="28"/>
        </w:rPr>
        <w:sectPr>
          <w:headerReference r:id="rId5" w:type="default"/>
          <w:footerReference r:id="rId6" w:type="default"/>
          <w:pgSz w:w="11907" w:h="16840"/>
          <w:pgMar w:top="1418" w:right="1418" w:bottom="1418" w:left="1418" w:header="992" w:footer="851" w:gutter="0"/>
          <w:pgBorders>
            <w:top w:val="none" w:sz="0" w:space="0"/>
            <w:left w:val="none" w:sz="0" w:space="0"/>
            <w:bottom w:val="none" w:sz="0" w:space="0"/>
            <w:right w:val="none" w:sz="0" w:space="0"/>
          </w:pgBorders>
          <w:pgNumType w:start="0"/>
          <w:cols w:space="720" w:num="1"/>
          <w:docGrid w:linePitch="326" w:charSpace="0"/>
        </w:sectPr>
      </w:pPr>
      <w:r>
        <w:rPr>
          <w:rFonts w:ascii="Arial" w:hAnsi="Arial"/>
          <w:bCs/>
          <w:caps/>
          <w:szCs w:val="20"/>
        </w:rPr>
        <w:fldChar w:fldCharType="end"/>
      </w:r>
      <w:bookmarkStart w:id="2" w:name="_Ref218492176"/>
      <w:bookmarkStart w:id="3" w:name="_Toc10623"/>
      <w:bookmarkStart w:id="4" w:name="_Ref218492081"/>
      <w:bookmarkStart w:id="5" w:name="_Ref218397134"/>
    </w:p>
    <w:bookmarkEnd w:id="2"/>
    <w:bookmarkEnd w:id="3"/>
    <w:bookmarkEnd w:id="4"/>
    <w:bookmarkEnd w:id="5"/>
    <w:p w14:paraId="649A3644">
      <w:pPr>
        <w:numPr>
          <w:ilvl w:val="0"/>
          <w:numId w:val="2"/>
        </w:numPr>
        <w:outlineLvl w:val="0"/>
        <w:rPr>
          <w:rFonts w:ascii="Times New Roman"/>
          <w:b/>
          <w:bCs/>
          <w:sz w:val="28"/>
          <w:szCs w:val="28"/>
        </w:rPr>
      </w:pPr>
      <w:bookmarkStart w:id="6" w:name="_Toc30321"/>
      <w:bookmarkStart w:id="7" w:name="_Toc3812"/>
      <w:r>
        <w:rPr>
          <w:rFonts w:ascii="Times New Roman"/>
          <w:b/>
          <w:bCs/>
          <w:sz w:val="28"/>
          <w:szCs w:val="28"/>
        </w:rPr>
        <w:t>项目概述</w:t>
      </w:r>
      <w:bookmarkEnd w:id="6"/>
      <w:bookmarkEnd w:id="7"/>
    </w:p>
    <w:p w14:paraId="77CC1E3D">
      <w:pPr>
        <w:spacing w:after="120" w:afterLines="50" w:line="440" w:lineRule="exact"/>
        <w:ind w:left="567"/>
        <w:outlineLvl w:val="1"/>
      </w:pPr>
      <w:r>
        <w:rPr>
          <w:rFonts w:hint="eastAsia" w:ascii="Times New Roman"/>
          <w:b/>
          <w:bCs/>
        </w:rPr>
        <w:t>1.1 工程概况</w:t>
      </w:r>
    </w:p>
    <w:p w14:paraId="2934AC6D">
      <w:pPr>
        <w:tabs>
          <w:tab w:val="left" w:pos="426"/>
        </w:tabs>
        <w:ind w:firstLine="480" w:firstLineChars="200"/>
        <w:rPr>
          <w:rFonts w:hAnsi="宋体"/>
        </w:rPr>
      </w:pPr>
      <w:r>
        <w:rPr>
          <w:rFonts w:hint="eastAsia" w:hAnsi="宋体"/>
        </w:rPr>
        <w:t>鲁布革电站位于滇东罗平县和黔西南兴义市交接的黄泥河上，电站主要由首部枢纽、引水系统及地下厂房三部分组成。位于首部枢纽的堆石坝高103.8m，形成的水库库容为1.11×108m³；引水隧洞长9387m，内径8m，是国内最长的发电引水隧洞之一；地下厂房由多洞室、大跨度、高边墙的地下洞室组成。电站最大水头372.5m，引用流量214m³/s，装机容量4×150MW。电站于1982年11月开工，1985年11月截流，1988年12月第一台机组并网发电，1991年6月第四台机组投产发电。</w:t>
      </w:r>
    </w:p>
    <w:p w14:paraId="1383ADB3">
      <w:pPr>
        <w:tabs>
          <w:tab w:val="left" w:pos="426"/>
        </w:tabs>
        <w:ind w:firstLine="480" w:firstLineChars="200"/>
        <w:rPr>
          <w:rFonts w:ascii="Times New Roman"/>
        </w:rPr>
      </w:pPr>
      <w:r>
        <w:rPr>
          <w:rFonts w:hint="eastAsia" w:hAnsi="宋体"/>
        </w:rPr>
        <w:t>鲁布革电站最后一台机组投运已有31年，由于当初科学技术水平以及设计技术要求，电缆桥架的设计方案和思路与当前的技术要求有一定差距。随着科学技术的发展，鲁布革电站不断加大对设备的升级改造力度，由于鲁厂监控系统数字化改造,造成厂房#1-#3层部分位置电缆桥架需要进行更换，从而</w:t>
      </w:r>
      <w:r>
        <w:rPr>
          <w:rFonts w:hint="eastAsia" w:ascii="Times New Roman"/>
        </w:rPr>
        <w:t>确保</w:t>
      </w:r>
      <w:r>
        <w:rPr>
          <w:rFonts w:hint="eastAsia" w:hAnsi="宋体"/>
        </w:rPr>
        <w:t>鲁厂监控系统数字化改造</w:t>
      </w:r>
      <w:r>
        <w:rPr>
          <w:rFonts w:hint="eastAsia" w:hAnsi="宋体" w:cs="宋体"/>
        </w:rPr>
        <w:t>后桥架</w:t>
      </w:r>
      <w:r>
        <w:rPr>
          <w:rFonts w:ascii="Times New Roman"/>
        </w:rPr>
        <w:t>满足《电力工程电缆设计规范》GB50217、《电缆防火设计和施工验收》 DLGJ154等标准规范要求，夯实电站安全运行基础，全面预控由电缆敷设不规范、防火措施不完善等带来的设备设施的运行风险，确保设备健康稳定运行。</w:t>
      </w:r>
    </w:p>
    <w:p w14:paraId="3EE685A6">
      <w:pPr>
        <w:spacing w:after="120" w:afterLines="50" w:line="440" w:lineRule="exact"/>
        <w:ind w:left="567"/>
        <w:outlineLvl w:val="1"/>
        <w:rPr>
          <w:rFonts w:ascii="Times New Roman"/>
          <w:b/>
          <w:bCs/>
        </w:rPr>
      </w:pPr>
      <w:r>
        <w:rPr>
          <w:rFonts w:hint="eastAsia" w:ascii="Times New Roman"/>
          <w:b/>
          <w:bCs/>
        </w:rPr>
        <w:t>1.2 项目目标</w:t>
      </w:r>
      <w:r>
        <w:rPr>
          <w:rFonts w:hint="eastAsia" w:ascii="Times New Roman"/>
          <w:b/>
          <w:bCs/>
        </w:rPr>
        <w:tab/>
      </w:r>
    </w:p>
    <w:p w14:paraId="71DD259A">
      <w:pPr>
        <w:widowControl/>
        <w:spacing w:line="440" w:lineRule="exact"/>
        <w:ind w:firstLine="480" w:firstLineChars="200"/>
        <w:jc w:val="left"/>
        <w:rPr>
          <w:rFonts w:ascii="Times New Roman"/>
        </w:rPr>
      </w:pPr>
      <w:r>
        <w:rPr>
          <w:rFonts w:ascii="Times New Roman"/>
          <w:szCs w:val="21"/>
        </w:rPr>
        <w:t>（1）</w:t>
      </w:r>
      <w:r>
        <w:rPr>
          <w:rFonts w:ascii="Times New Roman"/>
        </w:rPr>
        <w:t>规范标准：通过整改，使电缆敷设规范化、标准化、科学化。</w:t>
      </w:r>
    </w:p>
    <w:p w14:paraId="0CD854B7">
      <w:pPr>
        <w:widowControl/>
        <w:spacing w:line="440" w:lineRule="exact"/>
        <w:ind w:firstLine="480" w:firstLineChars="200"/>
        <w:jc w:val="left"/>
        <w:rPr>
          <w:rFonts w:ascii="Times New Roman"/>
        </w:rPr>
      </w:pPr>
      <w:r>
        <w:rPr>
          <w:rFonts w:ascii="Times New Roman"/>
          <w:szCs w:val="21"/>
        </w:rPr>
        <w:t>（2）</w:t>
      </w:r>
      <w:r>
        <w:rPr>
          <w:rFonts w:ascii="Times New Roman"/>
        </w:rPr>
        <w:t>安全可靠：电缆敷设与电缆防火措施符合电力行业标准和国家消防法律法规，消除火灾隐患。</w:t>
      </w:r>
    </w:p>
    <w:p w14:paraId="3CF1FC63">
      <w:pPr>
        <w:widowControl/>
        <w:spacing w:line="440" w:lineRule="exact"/>
        <w:ind w:firstLine="480" w:firstLineChars="200"/>
        <w:jc w:val="left"/>
        <w:rPr>
          <w:rFonts w:ascii="Times New Roman"/>
        </w:rPr>
      </w:pPr>
      <w:r>
        <w:rPr>
          <w:rFonts w:ascii="Times New Roman"/>
          <w:szCs w:val="21"/>
        </w:rPr>
        <w:t>（3）</w:t>
      </w:r>
      <w:r>
        <w:rPr>
          <w:rFonts w:ascii="Times New Roman"/>
        </w:rPr>
        <w:t>布置合理：结合现场实际，在现行基础上进行规划设计，设计布局与现场情况紧密结合。</w:t>
      </w:r>
    </w:p>
    <w:p w14:paraId="129DEA5E">
      <w:pPr>
        <w:widowControl/>
        <w:spacing w:line="440" w:lineRule="exact"/>
        <w:ind w:firstLine="480" w:firstLineChars="200"/>
        <w:jc w:val="left"/>
        <w:rPr>
          <w:rFonts w:ascii="Times New Roman"/>
        </w:rPr>
      </w:pPr>
      <w:r>
        <w:rPr>
          <w:rFonts w:ascii="Times New Roman"/>
          <w:szCs w:val="21"/>
        </w:rPr>
        <w:t>（4）</w:t>
      </w:r>
      <w:r>
        <w:rPr>
          <w:rFonts w:ascii="Times New Roman"/>
        </w:rPr>
        <w:t>实用经济：改变电缆敷设难、维护难的弱点，在保证安全可靠的前提下，优化方案，节省投资，以合适的代价换取最大的效益。</w:t>
      </w:r>
    </w:p>
    <w:p w14:paraId="1E1417CB">
      <w:pPr>
        <w:widowControl/>
        <w:spacing w:line="440" w:lineRule="exact"/>
        <w:ind w:firstLine="480" w:firstLineChars="200"/>
        <w:jc w:val="left"/>
        <w:rPr>
          <w:rFonts w:ascii="Times New Roman"/>
        </w:rPr>
      </w:pPr>
      <w:r>
        <w:rPr>
          <w:rFonts w:ascii="Times New Roman"/>
          <w:szCs w:val="21"/>
        </w:rPr>
        <w:t>（5）</w:t>
      </w:r>
      <w:r>
        <w:rPr>
          <w:rFonts w:ascii="Times New Roman"/>
        </w:rPr>
        <w:t>整体</w:t>
      </w:r>
      <w:r>
        <w:rPr>
          <w:rFonts w:hint="eastAsia" w:ascii="Times New Roman"/>
          <w:lang w:val="en-US" w:eastAsia="zh-CN"/>
        </w:rPr>
        <w:t>效果</w:t>
      </w:r>
      <w:r>
        <w:rPr>
          <w:rFonts w:ascii="Times New Roman"/>
        </w:rPr>
        <w:t>：改变电缆通道观瞻性差的弱点，使电缆通道与周围环境达到和谐统一。</w:t>
      </w:r>
    </w:p>
    <w:p w14:paraId="75C5A783">
      <w:pPr>
        <w:spacing w:after="120" w:afterLines="50" w:line="440" w:lineRule="exact"/>
        <w:ind w:left="567"/>
        <w:outlineLvl w:val="1"/>
        <w:rPr>
          <w:rFonts w:ascii="Times New Roman"/>
          <w:b/>
          <w:bCs/>
        </w:rPr>
      </w:pPr>
      <w:r>
        <w:rPr>
          <w:rFonts w:hint="eastAsia" w:ascii="Times New Roman"/>
          <w:b/>
          <w:bCs/>
        </w:rPr>
        <w:t>1.3 总体原则</w:t>
      </w:r>
    </w:p>
    <w:p w14:paraId="0C901CF5">
      <w:pPr>
        <w:widowControl/>
        <w:spacing w:line="440" w:lineRule="exact"/>
        <w:ind w:firstLine="480" w:firstLineChars="200"/>
        <w:jc w:val="left"/>
        <w:rPr>
          <w:rFonts w:ascii="Times New Roman"/>
        </w:rPr>
      </w:pPr>
      <w:r>
        <w:rPr>
          <w:rFonts w:ascii="Times New Roman"/>
          <w:szCs w:val="21"/>
        </w:rPr>
        <w:t>（1）</w:t>
      </w:r>
      <w:r>
        <w:rPr>
          <w:rFonts w:ascii="Times New Roman"/>
        </w:rPr>
        <w:t>在“安全可靠、布局合理、经济实用”的设计原则指导下，充分考虑电缆维护与更换的便捷，采用“单元分隔、层间分隔、层间阻火、孔洞封堵”的防火方式，以保证电缆的防火符合国家标准的规范要求。</w:t>
      </w:r>
    </w:p>
    <w:p w14:paraId="5E24AFCA">
      <w:pPr>
        <w:widowControl/>
        <w:spacing w:line="440" w:lineRule="exact"/>
        <w:ind w:firstLine="480" w:firstLineChars="200"/>
        <w:jc w:val="left"/>
        <w:rPr>
          <w:rFonts w:ascii="Times New Roman"/>
        </w:rPr>
      </w:pPr>
      <w:r>
        <w:rPr>
          <w:rFonts w:ascii="Times New Roman"/>
          <w:szCs w:val="21"/>
        </w:rPr>
        <w:t>（2）</w:t>
      </w:r>
      <w:r>
        <w:rPr>
          <w:rFonts w:ascii="Times New Roman"/>
        </w:rPr>
        <w:t>拆除旧电缆支架和桥架，安装新的托盘式不锈钢制电缆桥架。</w:t>
      </w:r>
    </w:p>
    <w:p w14:paraId="2928CD98">
      <w:pPr>
        <w:widowControl/>
        <w:spacing w:line="440" w:lineRule="exact"/>
        <w:ind w:firstLine="480" w:firstLineChars="200"/>
        <w:jc w:val="left"/>
        <w:rPr>
          <w:rFonts w:ascii="Times New Roman"/>
        </w:rPr>
      </w:pPr>
      <w:r>
        <w:rPr>
          <w:rFonts w:ascii="Times New Roman"/>
          <w:szCs w:val="21"/>
        </w:rPr>
        <w:t>（3）</w:t>
      </w:r>
      <w:r>
        <w:rPr>
          <w:rFonts w:ascii="Times New Roman"/>
        </w:rPr>
        <w:t>尽可能在不停电、不拆线、不改变电缆原来布置格局的方针下，将电缆分类型、分规格敷设入桥架内。</w:t>
      </w:r>
    </w:p>
    <w:p w14:paraId="362A5FDE">
      <w:pPr>
        <w:widowControl/>
        <w:spacing w:line="440" w:lineRule="exact"/>
        <w:ind w:firstLine="480" w:firstLineChars="200"/>
        <w:jc w:val="left"/>
      </w:pPr>
      <w:r>
        <w:rPr>
          <w:rFonts w:ascii="Times New Roman"/>
          <w:szCs w:val="21"/>
        </w:rPr>
        <w:t>（4）</w:t>
      </w:r>
      <w:r>
        <w:rPr>
          <w:rFonts w:ascii="Times New Roman"/>
        </w:rPr>
        <w:t>标识标牌设置规范，满足相关规程及技术规范要求。</w:t>
      </w:r>
    </w:p>
    <w:p w14:paraId="07E07A3C">
      <w:pPr>
        <w:numPr>
          <w:ilvl w:val="0"/>
          <w:numId w:val="2"/>
        </w:numPr>
        <w:outlineLvl w:val="0"/>
        <w:rPr>
          <w:rFonts w:ascii="Times New Roman"/>
          <w:b/>
          <w:bCs/>
          <w:sz w:val="28"/>
          <w:szCs w:val="28"/>
        </w:rPr>
      </w:pPr>
      <w:bookmarkStart w:id="8" w:name="_Toc5589"/>
      <w:r>
        <w:rPr>
          <w:rFonts w:hint="eastAsia" w:ascii="Times New Roman"/>
          <w:b/>
          <w:bCs/>
          <w:sz w:val="28"/>
          <w:szCs w:val="28"/>
        </w:rPr>
        <w:t>本期改造范围及工程要求</w:t>
      </w:r>
      <w:bookmarkEnd w:id="8"/>
    </w:p>
    <w:p w14:paraId="2CE8C273">
      <w:pPr>
        <w:rPr>
          <w:rFonts w:hAnsi="宋体"/>
        </w:rPr>
      </w:pPr>
      <w:r>
        <w:rPr>
          <w:rFonts w:hAnsi="宋体"/>
        </w:rPr>
        <w:t xml:space="preserve">    </w:t>
      </w:r>
      <w:r>
        <w:rPr>
          <w:rFonts w:hint="eastAsia" w:hAnsi="宋体"/>
        </w:rPr>
        <w:t>对鲁布革电</w:t>
      </w:r>
      <w:r>
        <w:rPr>
          <w:rFonts w:hint="eastAsia" w:hAnsi="宋体"/>
          <w:highlight w:val="none"/>
        </w:rPr>
        <w:t>站电缆桥架进行</w:t>
      </w:r>
      <w:r>
        <w:rPr>
          <w:rFonts w:hint="eastAsia" w:hAnsi="宋体"/>
          <w:highlight w:val="none"/>
          <w:lang w:val="en-US" w:eastAsia="zh-CN"/>
        </w:rPr>
        <w:t>修补</w:t>
      </w:r>
      <w:r>
        <w:rPr>
          <w:rFonts w:hint="eastAsia" w:hAnsi="宋体"/>
          <w:highlight w:val="none"/>
        </w:rPr>
        <w:t>，包括鲁布革电厂厂房3楼#1-#4机组水车室内桥架的更换；压油罐处桥架的更换；压油装置柜顶部转接箱的安装；水车室附近顶部局部桥架安装；厂房2楼机组冷却器进水管处</w:t>
      </w:r>
      <w:r>
        <w:rPr>
          <w:rFonts w:hint="eastAsia" w:hAnsi="宋体"/>
        </w:rPr>
        <w:t>与调速器集油箱处新增零星桥架；厂房1楼备用供水泵至机组冷却水管道处桥架的更换；3楼水车室顶部局部电缆桥架</w:t>
      </w:r>
      <w:r>
        <w:rPr>
          <w:rFonts w:hint="eastAsia" w:hAnsi="宋体"/>
          <w:lang w:val="en-US" w:eastAsia="zh-CN"/>
        </w:rPr>
        <w:t>修补</w:t>
      </w:r>
      <w:r>
        <w:rPr>
          <w:rFonts w:hint="eastAsia" w:hAnsi="宋体"/>
          <w:lang w:eastAsia="zh-CN"/>
        </w:rPr>
        <w:t>；</w:t>
      </w:r>
      <w:r>
        <w:rPr>
          <w:rFonts w:hint="eastAsia" w:hAnsi="宋体"/>
        </w:rPr>
        <w:t>根据现场需要安装的其他零星桥架；电缆桥架局部调整及优化、桥架防火综合整治，主要内容包含：</w:t>
      </w:r>
    </w:p>
    <w:p w14:paraId="1AE4E741">
      <w:pPr>
        <w:numPr>
          <w:ilvl w:val="0"/>
          <w:numId w:val="3"/>
        </w:numPr>
        <w:ind w:firstLine="480"/>
        <w:rPr>
          <w:rFonts w:hAnsi="宋体"/>
        </w:rPr>
      </w:pPr>
      <w:r>
        <w:rPr>
          <w:rFonts w:hint="eastAsia" w:hAnsi="宋体"/>
        </w:rPr>
        <w:t>主厂房3楼#1-#4机组水车室内电缆桥架及电缆桥架防火综合整治；</w:t>
      </w:r>
    </w:p>
    <w:p w14:paraId="6A39A628">
      <w:pPr>
        <w:spacing w:line="490" w:lineRule="atLeast"/>
        <w:ind w:firstLine="480"/>
        <w:rPr>
          <w:rFonts w:hAnsi="宋体"/>
        </w:rPr>
      </w:pPr>
      <w:r>
        <w:rPr>
          <w:rFonts w:hint="eastAsia" w:hAnsi="宋体"/>
        </w:rPr>
        <w:t>厂房三楼水车室内原有盘柜上方安装500*100桥架，因后期机组要进行改造，需要对旧盘柜进行更换，更换后盘柜上方无法继续安装原有电缆桥架，桥架路径需要更换到新盘柜后方</w:t>
      </w:r>
      <w:r>
        <w:rPr>
          <w:rFonts w:hint="eastAsia" w:hAnsi="宋体"/>
          <w:lang w:eastAsia="zh-CN"/>
        </w:rPr>
        <w:t>，</w:t>
      </w:r>
      <w:r>
        <w:rPr>
          <w:rFonts w:hint="eastAsia" w:hAnsi="宋体"/>
          <w:lang w:val="en-US" w:eastAsia="zh-CN"/>
        </w:rPr>
        <w:t>水车室基坑内需要按需安装零星小桥架，满足自动化元件线缆布线需求。</w:t>
      </w:r>
      <w:r>
        <w:rPr>
          <w:rFonts w:hint="eastAsia" w:hAnsi="宋体"/>
        </w:rPr>
        <w:t>（具体位置如下图所示）</w:t>
      </w:r>
    </w:p>
    <w:p w14:paraId="00F8992E">
      <w:pPr>
        <w:pStyle w:val="13"/>
        <w:jc w:val="center"/>
      </w:pPr>
      <w:r>
        <w:rPr>
          <w:rFonts w:hint="eastAsia"/>
        </w:rPr>
        <w:drawing>
          <wp:inline distT="0" distB="0" distL="114300" distR="114300">
            <wp:extent cx="5351780" cy="3863340"/>
            <wp:effectExtent l="0" t="0" r="12700" b="7620"/>
            <wp:docPr id="8" name="图片 8" descr="9ecb0ebc57e464a70cedd55feb8fe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9ecb0ebc57e464a70cedd55feb8fe301"/>
                    <pic:cNvPicPr>
                      <a:picLocks noChangeAspect="1"/>
                    </pic:cNvPicPr>
                  </pic:nvPicPr>
                  <pic:blipFill>
                    <a:blip r:embed="rId10"/>
                    <a:stretch>
                      <a:fillRect/>
                    </a:stretch>
                  </pic:blipFill>
                  <pic:spPr>
                    <a:xfrm>
                      <a:off x="0" y="0"/>
                      <a:ext cx="5351780" cy="3863340"/>
                    </a:xfrm>
                    <a:prstGeom prst="rect">
                      <a:avLst/>
                    </a:prstGeom>
                  </pic:spPr>
                </pic:pic>
              </a:graphicData>
            </a:graphic>
          </wp:inline>
        </w:drawing>
      </w:r>
    </w:p>
    <w:p w14:paraId="22C38ED8">
      <w:pPr>
        <w:jc w:val="center"/>
        <w:rPr>
          <w:b/>
          <w:bCs/>
          <w:sz w:val="21"/>
          <w:szCs w:val="21"/>
        </w:rPr>
      </w:pPr>
      <w:r>
        <w:rPr>
          <w:rFonts w:hint="eastAsia"/>
          <w:b/>
          <w:bCs/>
          <w:sz w:val="21"/>
          <w:szCs w:val="21"/>
        </w:rPr>
        <w:t>水车室内原旧盘柜及电缆桥架路径</w:t>
      </w:r>
    </w:p>
    <w:p w14:paraId="518DB839">
      <w:pPr>
        <w:pStyle w:val="13"/>
        <w:jc w:val="center"/>
      </w:pPr>
      <w:r>
        <w:drawing>
          <wp:inline distT="0" distB="0" distL="114300" distR="114300">
            <wp:extent cx="5299075" cy="3974465"/>
            <wp:effectExtent l="0" t="0" r="4445" b="317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1"/>
                    <a:stretch>
                      <a:fillRect/>
                    </a:stretch>
                  </pic:blipFill>
                  <pic:spPr>
                    <a:xfrm>
                      <a:off x="0" y="0"/>
                      <a:ext cx="5299075" cy="3974465"/>
                    </a:xfrm>
                    <a:prstGeom prst="rect">
                      <a:avLst/>
                    </a:prstGeom>
                    <a:noFill/>
                    <a:ln>
                      <a:noFill/>
                    </a:ln>
                  </pic:spPr>
                </pic:pic>
              </a:graphicData>
            </a:graphic>
          </wp:inline>
        </w:drawing>
      </w:r>
    </w:p>
    <w:p w14:paraId="6A0AB6B8">
      <w:pPr>
        <w:jc w:val="center"/>
        <w:rPr>
          <w:b/>
          <w:bCs/>
          <w:sz w:val="21"/>
          <w:szCs w:val="21"/>
        </w:rPr>
      </w:pPr>
      <w:r>
        <w:rPr>
          <w:rFonts w:hint="eastAsia"/>
          <w:b/>
          <w:bCs/>
          <w:sz w:val="21"/>
          <w:szCs w:val="21"/>
        </w:rPr>
        <w:t>新装盘柜位置</w:t>
      </w:r>
    </w:p>
    <w:p w14:paraId="7621CFAF">
      <w:pPr>
        <w:numPr>
          <w:ilvl w:val="0"/>
          <w:numId w:val="3"/>
        </w:numPr>
        <w:spacing w:line="490" w:lineRule="atLeast"/>
        <w:ind w:firstLine="480"/>
        <w:rPr>
          <w:rFonts w:hAnsi="宋体"/>
        </w:rPr>
      </w:pPr>
      <w:r>
        <w:rPr>
          <w:rFonts w:hint="eastAsia" w:hAnsi="宋体"/>
        </w:rPr>
        <w:t>主厂房3楼#1-#4机组压油罐区域电缆桥架及电缆桥架防火综合整治；</w:t>
      </w:r>
    </w:p>
    <w:p w14:paraId="28AD1821">
      <w:pPr>
        <w:spacing w:line="490" w:lineRule="atLeast"/>
        <w:ind w:firstLine="480"/>
        <w:rPr>
          <w:rFonts w:hAnsi="宋体"/>
        </w:rPr>
      </w:pPr>
      <w:r>
        <w:rPr>
          <w:rFonts w:hint="eastAsia"/>
        </w:rPr>
        <w:t>厂房</w:t>
      </w:r>
      <w:r>
        <w:rPr>
          <w:rFonts w:hint="eastAsia" w:hAnsi="宋体"/>
        </w:rPr>
        <w:t>3楼#1-#4机组压油罐区域由于监控系统改造，压油罐位置会与原安装桥架有干涉，需要对桥架进行更改安装；由于安装新盘柜，导致电缆增多，原桥架规格为500*100mm桥架需</w:t>
      </w:r>
      <w:r>
        <w:rPr>
          <w:rFonts w:hint="eastAsia" w:hAnsi="宋体"/>
          <w:lang w:val="en-US" w:eastAsia="zh-CN"/>
        </w:rPr>
        <w:t>进行加高处理，加高约10厘米。</w:t>
      </w:r>
      <w:r>
        <w:rPr>
          <w:rFonts w:hint="eastAsia" w:hAnsi="宋体"/>
        </w:rPr>
        <w:t>桥架与顶部间隙不够的位置不能增加桥架侧高，需将原500*100mm电缆桥架更换为</w:t>
      </w:r>
      <w:r>
        <w:rPr>
          <w:rFonts w:hAnsi="宋体"/>
        </w:rPr>
        <w:t>8</w:t>
      </w:r>
      <w:r>
        <w:rPr>
          <w:rFonts w:hint="eastAsia" w:hAnsi="宋体"/>
        </w:rPr>
        <w:t>00*100mm桥架从而保证电缆能够完全装入电缆桥架内；油罐处竖向桥架安装3</w:t>
      </w:r>
      <w:r>
        <w:rPr>
          <w:rFonts w:hAnsi="宋体"/>
        </w:rPr>
        <w:t>00*150</w:t>
      </w:r>
      <w:r>
        <w:rPr>
          <w:rFonts w:hint="eastAsia" w:hAnsi="宋体"/>
        </w:rPr>
        <w:t>mm，底部围绕油箱增设3</w:t>
      </w:r>
      <w:r>
        <w:rPr>
          <w:rFonts w:hAnsi="宋体"/>
        </w:rPr>
        <w:t>00*60</w:t>
      </w:r>
      <w:r>
        <w:rPr>
          <w:rFonts w:hint="eastAsia" w:hAnsi="宋体"/>
        </w:rPr>
        <w:t>mm电缆桥架。（具体位置如下图所示）</w:t>
      </w:r>
    </w:p>
    <w:p w14:paraId="6DC6B1AB">
      <w:pPr>
        <w:pStyle w:val="13"/>
        <w:jc w:val="center"/>
      </w:pPr>
    </w:p>
    <w:p w14:paraId="4AB53F67">
      <w:pPr>
        <w:jc w:val="center"/>
      </w:pPr>
      <w:r>
        <w:drawing>
          <wp:inline distT="0" distB="0" distL="114300" distR="114300">
            <wp:extent cx="4846955" cy="4659630"/>
            <wp:effectExtent l="0" t="0" r="1270" b="7620"/>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icPr>
                  <pic:blipFill>
                    <a:blip r:embed="rId12"/>
                    <a:stretch>
                      <a:fillRect/>
                    </a:stretch>
                  </pic:blipFill>
                  <pic:spPr>
                    <a:xfrm>
                      <a:off x="0" y="0"/>
                      <a:ext cx="4846955" cy="4659630"/>
                    </a:xfrm>
                    <a:prstGeom prst="rect">
                      <a:avLst/>
                    </a:prstGeom>
                    <a:noFill/>
                    <a:ln>
                      <a:noFill/>
                    </a:ln>
                  </pic:spPr>
                </pic:pic>
              </a:graphicData>
            </a:graphic>
          </wp:inline>
        </w:drawing>
      </w:r>
    </w:p>
    <w:p w14:paraId="741392B7">
      <w:pPr>
        <w:jc w:val="center"/>
        <w:rPr>
          <w:b/>
          <w:bCs/>
          <w:sz w:val="21"/>
          <w:szCs w:val="21"/>
        </w:rPr>
      </w:pPr>
      <w:r>
        <w:rPr>
          <w:rFonts w:hint="eastAsia"/>
          <w:b/>
          <w:bCs/>
          <w:sz w:val="21"/>
          <w:szCs w:val="21"/>
        </w:rPr>
        <w:t>球阀控制柜上方转接箱示意图</w:t>
      </w:r>
    </w:p>
    <w:p w14:paraId="43D1EA0F">
      <w:pPr>
        <w:jc w:val="center"/>
      </w:pPr>
      <w:r>
        <w:drawing>
          <wp:inline distT="0" distB="0" distL="114300" distR="114300">
            <wp:extent cx="4921250" cy="3528695"/>
            <wp:effectExtent l="0" t="0" r="3175" b="5080"/>
            <wp:docPr id="1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
                    <pic:cNvPicPr>
                      <a:picLocks noChangeAspect="1"/>
                    </pic:cNvPicPr>
                  </pic:nvPicPr>
                  <pic:blipFill>
                    <a:blip r:embed="rId13"/>
                    <a:stretch>
                      <a:fillRect/>
                    </a:stretch>
                  </pic:blipFill>
                  <pic:spPr>
                    <a:xfrm>
                      <a:off x="0" y="0"/>
                      <a:ext cx="4921250" cy="3528695"/>
                    </a:xfrm>
                    <a:prstGeom prst="rect">
                      <a:avLst/>
                    </a:prstGeom>
                    <a:noFill/>
                    <a:ln>
                      <a:noFill/>
                    </a:ln>
                  </pic:spPr>
                </pic:pic>
              </a:graphicData>
            </a:graphic>
          </wp:inline>
        </w:drawing>
      </w:r>
    </w:p>
    <w:p w14:paraId="741AB6B3">
      <w:pPr>
        <w:spacing w:line="240" w:lineRule="auto"/>
        <w:jc w:val="center"/>
        <w:rPr>
          <w:b/>
          <w:bCs/>
          <w:sz w:val="21"/>
          <w:szCs w:val="21"/>
        </w:rPr>
      </w:pPr>
      <w:r>
        <w:rPr>
          <w:rFonts w:hint="eastAsia"/>
          <w:b/>
          <w:bCs/>
          <w:sz w:val="21"/>
          <w:szCs w:val="21"/>
        </w:rPr>
        <w:t>电缆增多桥架无法扣盖板</w:t>
      </w:r>
    </w:p>
    <w:p w14:paraId="53CBB642">
      <w:pPr>
        <w:jc w:val="center"/>
      </w:pPr>
      <w:r>
        <w:drawing>
          <wp:inline distT="0" distB="0" distL="114300" distR="114300">
            <wp:extent cx="4953635" cy="3233420"/>
            <wp:effectExtent l="0" t="0" r="8890" b="5080"/>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14"/>
                    <a:stretch>
                      <a:fillRect/>
                    </a:stretch>
                  </pic:blipFill>
                  <pic:spPr>
                    <a:xfrm>
                      <a:off x="0" y="0"/>
                      <a:ext cx="4953635" cy="3233420"/>
                    </a:xfrm>
                    <a:prstGeom prst="rect">
                      <a:avLst/>
                    </a:prstGeom>
                    <a:noFill/>
                    <a:ln>
                      <a:noFill/>
                    </a:ln>
                  </pic:spPr>
                </pic:pic>
              </a:graphicData>
            </a:graphic>
          </wp:inline>
        </w:drawing>
      </w:r>
    </w:p>
    <w:p w14:paraId="6A665EAA">
      <w:pPr>
        <w:spacing w:line="240" w:lineRule="auto"/>
        <w:jc w:val="center"/>
        <w:rPr>
          <w:b/>
          <w:bCs/>
          <w:sz w:val="21"/>
          <w:szCs w:val="21"/>
        </w:rPr>
      </w:pPr>
      <w:r>
        <w:rPr>
          <w:rFonts w:hint="eastAsia"/>
          <w:b/>
          <w:bCs/>
          <w:sz w:val="21"/>
          <w:szCs w:val="21"/>
        </w:rPr>
        <w:t>桥架与顶墙间隙过小</w:t>
      </w:r>
    </w:p>
    <w:p w14:paraId="32EA4C3B">
      <w:pPr>
        <w:pStyle w:val="9"/>
        <w:ind w:firstLine="0" w:firstLineChars="0"/>
      </w:pPr>
      <w:r>
        <w:drawing>
          <wp:inline distT="0" distB="0" distL="0" distR="0">
            <wp:extent cx="4466590" cy="4754245"/>
            <wp:effectExtent l="0" t="0" r="635"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5"/>
                    <a:stretch>
                      <a:fillRect/>
                    </a:stretch>
                  </pic:blipFill>
                  <pic:spPr>
                    <a:xfrm>
                      <a:off x="0" y="0"/>
                      <a:ext cx="4470640" cy="4754245"/>
                    </a:xfrm>
                    <a:prstGeom prst="rect">
                      <a:avLst/>
                    </a:prstGeom>
                  </pic:spPr>
                </pic:pic>
              </a:graphicData>
            </a:graphic>
          </wp:inline>
        </w:drawing>
      </w:r>
    </w:p>
    <w:p w14:paraId="2794920D">
      <w:pPr>
        <w:spacing w:line="240" w:lineRule="auto"/>
        <w:jc w:val="center"/>
        <w:rPr>
          <w:b/>
          <w:bCs/>
          <w:sz w:val="21"/>
          <w:szCs w:val="21"/>
        </w:rPr>
      </w:pPr>
      <w:r>
        <w:rPr>
          <w:rFonts w:hint="eastAsia"/>
          <w:b/>
          <w:bCs/>
          <w:sz w:val="21"/>
          <w:szCs w:val="21"/>
        </w:rPr>
        <w:t>油罐处竖向桥架</w:t>
      </w:r>
    </w:p>
    <w:p w14:paraId="19C404F4">
      <w:pPr>
        <w:pStyle w:val="9"/>
        <w:ind w:firstLine="199" w:firstLineChars="62"/>
      </w:pPr>
      <w:r>
        <w:drawing>
          <wp:inline distT="0" distB="0" distL="0" distR="0">
            <wp:extent cx="4676775" cy="2318385"/>
            <wp:effectExtent l="0" t="0" r="0" b="571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6"/>
                    <a:stretch>
                      <a:fillRect/>
                    </a:stretch>
                  </pic:blipFill>
                  <pic:spPr>
                    <a:xfrm>
                      <a:off x="0" y="0"/>
                      <a:ext cx="4701420" cy="2330981"/>
                    </a:xfrm>
                    <a:prstGeom prst="rect">
                      <a:avLst/>
                    </a:prstGeom>
                  </pic:spPr>
                </pic:pic>
              </a:graphicData>
            </a:graphic>
          </wp:inline>
        </w:drawing>
      </w:r>
    </w:p>
    <w:p w14:paraId="369A6CE2">
      <w:pPr>
        <w:spacing w:line="240" w:lineRule="auto"/>
        <w:jc w:val="center"/>
        <w:rPr>
          <w:rFonts w:hint="eastAsia"/>
          <w:b/>
          <w:bCs/>
          <w:sz w:val="21"/>
          <w:szCs w:val="21"/>
        </w:rPr>
      </w:pPr>
      <w:r>
        <w:rPr>
          <w:rFonts w:hint="eastAsia"/>
          <w:b/>
          <w:bCs/>
          <w:sz w:val="21"/>
          <w:szCs w:val="21"/>
        </w:rPr>
        <w:t>油箱周围增设3</w:t>
      </w:r>
      <w:r>
        <w:rPr>
          <w:b/>
          <w:bCs/>
          <w:sz w:val="21"/>
          <w:szCs w:val="21"/>
        </w:rPr>
        <w:t>00*60</w:t>
      </w:r>
      <w:r>
        <w:rPr>
          <w:rFonts w:hint="eastAsia"/>
          <w:b/>
          <w:bCs/>
          <w:sz w:val="21"/>
          <w:szCs w:val="21"/>
        </w:rPr>
        <w:t>mm桥架</w:t>
      </w:r>
    </w:p>
    <w:p w14:paraId="77F51439">
      <w:pPr>
        <w:numPr>
          <w:ilvl w:val="0"/>
          <w:numId w:val="3"/>
        </w:numPr>
        <w:ind w:firstLine="480"/>
        <w:rPr>
          <w:rFonts w:hAnsi="宋体"/>
        </w:rPr>
      </w:pPr>
      <w:r>
        <w:rPr>
          <w:rFonts w:hint="eastAsia" w:hAnsi="宋体"/>
        </w:rPr>
        <w:t>主厂房2楼#1-#4机组机组冷却水进水管处电缆桥架及电缆桥架防火综合整治；</w:t>
      </w:r>
    </w:p>
    <w:p w14:paraId="27DFB02F">
      <w:pPr>
        <w:ind w:firstLine="480" w:firstLineChars="200"/>
        <w:rPr>
          <w:rFonts w:hAnsi="宋体" w:cs="宋体"/>
        </w:rPr>
      </w:pPr>
      <w:r>
        <w:rPr>
          <w:rFonts w:hint="eastAsia" w:hAnsi="宋体" w:cs="宋体"/>
        </w:rPr>
        <w:t>主厂房2楼#1-#4机组机组冷却水进水管处改造后会新增阀门，需要对新增阀门的走向进行规划并安装桥架，局部位置存在电缆裸露，需要根据现场情况进行电缆桥架的安装。局部使用100mm*100mm或8</w:t>
      </w:r>
      <w:r>
        <w:rPr>
          <w:rFonts w:hAnsi="宋体" w:cs="宋体"/>
        </w:rPr>
        <w:t>0</w:t>
      </w:r>
      <w:r>
        <w:rPr>
          <w:rFonts w:hint="eastAsia" w:hAnsi="宋体" w:cs="宋体"/>
        </w:rPr>
        <w:t>mm</w:t>
      </w:r>
      <w:r>
        <w:rPr>
          <w:rFonts w:hAnsi="宋体" w:cs="宋体"/>
        </w:rPr>
        <w:t>*100</w:t>
      </w:r>
      <w:r>
        <w:rPr>
          <w:rFonts w:hint="eastAsia" w:hAnsi="宋体" w:cs="宋体"/>
        </w:rPr>
        <w:t>mm的桥架进行安装。（具体位置如下图所示）</w:t>
      </w:r>
    </w:p>
    <w:p w14:paraId="72479B4F">
      <w:pPr>
        <w:jc w:val="center"/>
      </w:pPr>
      <w:r>
        <w:drawing>
          <wp:inline distT="0" distB="0" distL="114300" distR="114300">
            <wp:extent cx="4768850" cy="3394710"/>
            <wp:effectExtent l="0" t="0" r="3175" b="5715"/>
            <wp:docPr id="1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7"/>
                    <pic:cNvPicPr>
                      <a:picLocks noChangeAspect="1"/>
                    </pic:cNvPicPr>
                  </pic:nvPicPr>
                  <pic:blipFill>
                    <a:blip r:embed="rId17"/>
                    <a:stretch>
                      <a:fillRect/>
                    </a:stretch>
                  </pic:blipFill>
                  <pic:spPr>
                    <a:xfrm>
                      <a:off x="0" y="0"/>
                      <a:ext cx="4768850" cy="3394710"/>
                    </a:xfrm>
                    <a:prstGeom prst="rect">
                      <a:avLst/>
                    </a:prstGeom>
                    <a:noFill/>
                    <a:ln>
                      <a:noFill/>
                    </a:ln>
                  </pic:spPr>
                </pic:pic>
              </a:graphicData>
            </a:graphic>
          </wp:inline>
        </w:drawing>
      </w:r>
    </w:p>
    <w:p w14:paraId="22BCEB83">
      <w:pPr>
        <w:spacing w:line="240" w:lineRule="auto"/>
        <w:jc w:val="center"/>
        <w:rPr>
          <w:b/>
          <w:bCs/>
          <w:sz w:val="21"/>
          <w:szCs w:val="21"/>
        </w:rPr>
      </w:pPr>
      <w:r>
        <w:rPr>
          <w:rFonts w:hint="eastAsia"/>
          <w:b/>
          <w:bCs/>
          <w:sz w:val="21"/>
          <w:szCs w:val="21"/>
        </w:rPr>
        <w:t>局部位置安装新桥架</w:t>
      </w:r>
    </w:p>
    <w:p w14:paraId="7B121327">
      <w:pPr>
        <w:jc w:val="center"/>
      </w:pPr>
    </w:p>
    <w:p w14:paraId="1EA6C4F1">
      <w:pPr>
        <w:jc w:val="center"/>
        <w:rPr>
          <w:b/>
          <w:bCs/>
          <w:sz w:val="21"/>
          <w:szCs w:val="21"/>
        </w:rPr>
      </w:pPr>
      <w:r>
        <w:drawing>
          <wp:inline distT="0" distB="0" distL="114300" distR="114300">
            <wp:extent cx="4831080" cy="3451225"/>
            <wp:effectExtent l="0" t="0" r="7620" b="6350"/>
            <wp:docPr id="1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6"/>
                    <pic:cNvPicPr>
                      <a:picLocks noChangeAspect="1"/>
                    </pic:cNvPicPr>
                  </pic:nvPicPr>
                  <pic:blipFill>
                    <a:blip r:embed="rId18"/>
                    <a:stretch>
                      <a:fillRect/>
                    </a:stretch>
                  </pic:blipFill>
                  <pic:spPr>
                    <a:xfrm>
                      <a:off x="0" y="0"/>
                      <a:ext cx="4831080" cy="3451225"/>
                    </a:xfrm>
                    <a:prstGeom prst="rect">
                      <a:avLst/>
                    </a:prstGeom>
                    <a:noFill/>
                    <a:ln>
                      <a:noFill/>
                    </a:ln>
                  </pic:spPr>
                </pic:pic>
              </a:graphicData>
            </a:graphic>
          </wp:inline>
        </w:drawing>
      </w:r>
    </w:p>
    <w:p w14:paraId="22EE4FC1">
      <w:pPr>
        <w:jc w:val="center"/>
        <w:rPr>
          <w:b/>
          <w:bCs/>
          <w:sz w:val="21"/>
          <w:szCs w:val="21"/>
        </w:rPr>
      </w:pPr>
      <w:r>
        <w:rPr>
          <w:rFonts w:hint="eastAsia"/>
          <w:b/>
          <w:bCs/>
          <w:sz w:val="21"/>
          <w:szCs w:val="21"/>
        </w:rPr>
        <w:t>冷却器进水管处阀门</w:t>
      </w:r>
    </w:p>
    <w:p w14:paraId="3522A528">
      <w:pPr>
        <w:jc w:val="center"/>
      </w:pPr>
    </w:p>
    <w:p w14:paraId="5A6C409F">
      <w:pPr>
        <w:ind w:firstLine="480" w:firstLineChars="200"/>
        <w:rPr>
          <w:rFonts w:hAnsi="宋体"/>
        </w:rPr>
      </w:pPr>
      <w:r>
        <w:rPr>
          <w:rFonts w:hint="eastAsia" w:hAnsi="宋体" w:cs="宋体"/>
        </w:rPr>
        <w:t>（4）主</w:t>
      </w:r>
      <w:r>
        <w:rPr>
          <w:rFonts w:hint="eastAsia" w:hAnsi="宋体"/>
        </w:rPr>
        <w:t>厂房1楼备用供水泵至机组冷却水管道电缆桥架及电缆桥架防火综合整治；</w:t>
      </w:r>
    </w:p>
    <w:p w14:paraId="0125657C">
      <w:pPr>
        <w:ind w:firstLine="480" w:firstLineChars="200"/>
        <w:rPr>
          <w:rFonts w:ascii="Times New Roman"/>
        </w:rPr>
      </w:pPr>
      <w:r>
        <w:rPr>
          <w:rFonts w:hint="eastAsia" w:hAnsi="宋体" w:cs="宋体"/>
        </w:rPr>
        <w:t>主厂房1楼</w:t>
      </w:r>
      <w:r>
        <w:rPr>
          <w:rFonts w:hint="eastAsia" w:hAnsi="宋体"/>
        </w:rPr>
        <w:t>备用供水泵至机组冷却水管道处由于后期改造需要更换阀门，阀门高度与原桥架存在干涉，现需拆除原来桥架根据现有情况进行桥架的重新规划。</w:t>
      </w:r>
    </w:p>
    <w:p w14:paraId="1F3B0375">
      <w:pPr>
        <w:spacing w:line="240" w:lineRule="auto"/>
        <w:jc w:val="center"/>
      </w:pPr>
      <w:r>
        <w:drawing>
          <wp:inline distT="0" distB="0" distL="114300" distR="114300">
            <wp:extent cx="5267960" cy="3808095"/>
            <wp:effectExtent l="0" t="0" r="8890" b="1905"/>
            <wp:docPr id="1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7"/>
                    <pic:cNvPicPr>
                      <a:picLocks noChangeAspect="1"/>
                    </pic:cNvPicPr>
                  </pic:nvPicPr>
                  <pic:blipFill>
                    <a:blip r:embed="rId19"/>
                    <a:stretch>
                      <a:fillRect/>
                    </a:stretch>
                  </pic:blipFill>
                  <pic:spPr>
                    <a:xfrm>
                      <a:off x="0" y="0"/>
                      <a:ext cx="5267960" cy="3808095"/>
                    </a:xfrm>
                    <a:prstGeom prst="rect">
                      <a:avLst/>
                    </a:prstGeom>
                    <a:noFill/>
                    <a:ln>
                      <a:noFill/>
                    </a:ln>
                  </pic:spPr>
                </pic:pic>
              </a:graphicData>
            </a:graphic>
          </wp:inline>
        </w:drawing>
      </w:r>
    </w:p>
    <w:p w14:paraId="42E571D7">
      <w:pPr>
        <w:pStyle w:val="9"/>
        <w:ind w:firstLine="482"/>
        <w:rPr>
          <w:rFonts w:hAnsi="宋体"/>
          <w:sz w:val="24"/>
          <w:szCs w:val="24"/>
        </w:rPr>
      </w:pPr>
      <w:r>
        <w:rPr>
          <w:rFonts w:hint="eastAsia" w:hAnsi="宋体" w:cs="宋体"/>
          <w:sz w:val="24"/>
          <w:szCs w:val="24"/>
        </w:rPr>
        <w:t>主厂房1楼</w:t>
      </w:r>
      <w:r>
        <w:rPr>
          <w:rFonts w:hint="eastAsia" w:hAnsi="宋体"/>
          <w:sz w:val="24"/>
          <w:szCs w:val="24"/>
        </w:rPr>
        <w:t>备用供</w:t>
      </w:r>
      <w:r>
        <w:rPr>
          <w:rFonts w:hint="eastAsia" w:hAnsi="宋体" w:cs="宋体"/>
          <w:sz w:val="24"/>
          <w:szCs w:val="24"/>
        </w:rPr>
        <w:t>水泵后期改造新装阀门与桥架干涉</w:t>
      </w:r>
    </w:p>
    <w:p w14:paraId="1B5F4C62">
      <w:pPr>
        <w:ind w:firstLine="480" w:firstLineChars="200"/>
        <w:rPr>
          <w:rFonts w:hAnsi="宋体"/>
        </w:rPr>
      </w:pPr>
      <w:r>
        <w:rPr>
          <w:rFonts w:hint="eastAsia" w:hAnsi="宋体" w:cs="宋体"/>
        </w:rPr>
        <w:t>（5）主</w:t>
      </w:r>
      <w:r>
        <w:rPr>
          <w:rFonts w:hint="eastAsia" w:hAnsi="宋体"/>
        </w:rPr>
        <w:t>厂房3楼水车室顶部局部电缆桥架</w:t>
      </w:r>
      <w:r>
        <w:rPr>
          <w:rFonts w:hint="eastAsia" w:hAnsi="宋体"/>
          <w:lang w:val="en-US" w:eastAsia="zh-CN"/>
        </w:rPr>
        <w:t>修补</w:t>
      </w:r>
      <w:r>
        <w:rPr>
          <w:rFonts w:hint="eastAsia" w:hAnsi="宋体"/>
        </w:rPr>
        <w:t>；</w:t>
      </w:r>
    </w:p>
    <w:p w14:paraId="438E603B">
      <w:pPr>
        <w:pStyle w:val="10"/>
      </w:pPr>
      <w:r>
        <w:drawing>
          <wp:inline distT="0" distB="0" distL="114300" distR="114300">
            <wp:extent cx="5299075" cy="3759200"/>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20"/>
                    <a:stretch>
                      <a:fillRect/>
                    </a:stretch>
                  </pic:blipFill>
                  <pic:spPr>
                    <a:xfrm>
                      <a:off x="0" y="0"/>
                      <a:ext cx="5306348" cy="3764271"/>
                    </a:xfrm>
                    <a:prstGeom prst="rect">
                      <a:avLst/>
                    </a:prstGeom>
                    <a:noFill/>
                    <a:ln>
                      <a:noFill/>
                    </a:ln>
                  </pic:spPr>
                </pic:pic>
              </a:graphicData>
            </a:graphic>
          </wp:inline>
        </w:drawing>
      </w:r>
    </w:p>
    <w:p w14:paraId="4C0D5373">
      <w:pPr>
        <w:jc w:val="center"/>
        <w:rPr>
          <w:rFonts w:hint="eastAsia" w:ascii="Cambria" w:hAnsi="宋体" w:eastAsia="宋体" w:cs="宋体"/>
          <w:b/>
          <w:bCs/>
          <w:lang w:val="en-US" w:eastAsia="zh-CN"/>
        </w:rPr>
      </w:pPr>
      <w:r>
        <w:rPr>
          <w:rFonts w:hint="eastAsia" w:ascii="Cambria" w:hAnsi="宋体" w:cs="宋体"/>
          <w:b/>
          <w:bCs/>
        </w:rPr>
        <w:t>3楼水车室区域顶部局部桥架</w:t>
      </w:r>
      <w:r>
        <w:rPr>
          <w:rFonts w:hint="eastAsia" w:ascii="Cambria" w:hAnsi="宋体" w:cs="宋体"/>
          <w:b/>
          <w:bCs/>
          <w:lang w:val="en-US" w:eastAsia="zh-CN"/>
        </w:rPr>
        <w:t>修补</w:t>
      </w:r>
    </w:p>
    <w:p w14:paraId="20EA5CF3">
      <w:pPr>
        <w:numPr>
          <w:ilvl w:val="0"/>
          <w:numId w:val="2"/>
        </w:numPr>
        <w:spacing w:after="120" w:afterLines="50" w:line="240" w:lineRule="auto"/>
        <w:outlineLvl w:val="0"/>
        <w:rPr>
          <w:rFonts w:ascii="Times New Roman"/>
          <w:b/>
          <w:bCs/>
          <w:sz w:val="28"/>
          <w:szCs w:val="28"/>
        </w:rPr>
      </w:pPr>
      <w:bookmarkStart w:id="9" w:name="_Toc2899"/>
      <w:bookmarkStart w:id="10" w:name="_Toc7840"/>
      <w:bookmarkStart w:id="11" w:name="_Toc15274"/>
      <w:r>
        <w:rPr>
          <w:rFonts w:ascii="Times New Roman"/>
          <w:b/>
          <w:bCs/>
          <w:sz w:val="28"/>
          <w:szCs w:val="28"/>
        </w:rPr>
        <w:t>标准和规范</w:t>
      </w:r>
      <w:bookmarkEnd w:id="9"/>
      <w:bookmarkEnd w:id="10"/>
    </w:p>
    <w:p w14:paraId="11024871">
      <w:pPr>
        <w:pStyle w:val="4"/>
        <w:ind w:left="0" w:leftChars="0" w:firstLine="480" w:firstLineChars="200"/>
        <w:rPr>
          <w:rFonts w:ascii="Times New Roman"/>
        </w:rPr>
      </w:pPr>
      <w:bookmarkStart w:id="12" w:name="_Hlt234756707"/>
      <w:bookmarkEnd w:id="12"/>
      <w:r>
        <w:rPr>
          <w:rFonts w:ascii="Times New Roman"/>
        </w:rPr>
        <w:t>本技术规范适用于按合同规定供应的设备。本规范仅对设备在设计、制造及试验方面提出技术要求。辅助设备各部件的详细结构和工艺要求，应由卖方根据实践经验按照本合同的要求提供，并在设备的设计文件中说明。卖方提供的设备应是技术先进、安全可靠、经济实用的。本章包括了制造设备的基本技术规范。如果该部分技术要求与专用技术条款冲突，以专用技术条款为准。</w:t>
      </w:r>
      <w:bookmarkStart w:id="13" w:name="_Hlt234724546"/>
      <w:bookmarkEnd w:id="13"/>
      <w:r>
        <w:rPr>
          <w:rFonts w:ascii="Times New Roman"/>
        </w:rPr>
        <w:t xml:space="preserve"> 除特别说明外，采用以下标准的最新版本应用于本工程：</w:t>
      </w:r>
    </w:p>
    <w:p w14:paraId="55225AA4">
      <w:pPr>
        <w:numPr>
          <w:ilvl w:val="0"/>
          <w:numId w:val="4"/>
        </w:numPr>
        <w:ind w:left="567" w:hanging="567"/>
        <w:rPr>
          <w:rFonts w:ascii="Times New Roman"/>
        </w:rPr>
      </w:pPr>
      <w:r>
        <w:rPr>
          <w:rFonts w:ascii="Times New Roman"/>
        </w:rPr>
        <w:t>《电力工程电缆设计规范》GB50217。</w:t>
      </w:r>
    </w:p>
    <w:p w14:paraId="6E84097C">
      <w:pPr>
        <w:numPr>
          <w:ilvl w:val="0"/>
          <w:numId w:val="4"/>
        </w:numPr>
        <w:ind w:left="567" w:hanging="567"/>
        <w:rPr>
          <w:rFonts w:ascii="Times New Roman"/>
        </w:rPr>
      </w:pPr>
      <w:r>
        <w:rPr>
          <w:rFonts w:ascii="Times New Roman"/>
        </w:rPr>
        <w:t>《电缆防火措施设计和施工验收标准》DLGJ154。</w:t>
      </w:r>
    </w:p>
    <w:p w14:paraId="6D0B0BC3">
      <w:pPr>
        <w:numPr>
          <w:ilvl w:val="0"/>
          <w:numId w:val="4"/>
        </w:numPr>
        <w:ind w:left="567" w:hanging="567"/>
        <w:rPr>
          <w:rFonts w:ascii="Times New Roman"/>
        </w:rPr>
      </w:pPr>
      <w:r>
        <w:rPr>
          <w:rFonts w:ascii="Times New Roman"/>
        </w:rPr>
        <w:t>《电力设备典型消防规程》DL5027。</w:t>
      </w:r>
    </w:p>
    <w:p w14:paraId="446CA328">
      <w:pPr>
        <w:numPr>
          <w:ilvl w:val="0"/>
          <w:numId w:val="4"/>
        </w:numPr>
        <w:ind w:left="567" w:hanging="567"/>
        <w:rPr>
          <w:rFonts w:ascii="Times New Roman"/>
        </w:rPr>
      </w:pPr>
      <w:r>
        <w:rPr>
          <w:rFonts w:ascii="Times New Roman"/>
        </w:rPr>
        <w:t>《火力发电厂与变电所设计防火规范》GB50229。</w:t>
      </w:r>
    </w:p>
    <w:p w14:paraId="34C2C34E">
      <w:pPr>
        <w:numPr>
          <w:ilvl w:val="0"/>
          <w:numId w:val="4"/>
        </w:numPr>
        <w:ind w:left="567" w:hanging="567"/>
        <w:rPr>
          <w:rFonts w:ascii="Times New Roman"/>
        </w:rPr>
      </w:pPr>
      <w:r>
        <w:rPr>
          <w:rFonts w:ascii="Times New Roman"/>
        </w:rPr>
        <w:t>《电气装置安装工程电缆线路施工及验收规范》GB 50168。</w:t>
      </w:r>
    </w:p>
    <w:p w14:paraId="3A655F2A">
      <w:pPr>
        <w:numPr>
          <w:ilvl w:val="0"/>
          <w:numId w:val="4"/>
        </w:numPr>
        <w:ind w:left="567" w:hanging="567"/>
        <w:rPr>
          <w:rFonts w:ascii="Times New Roman"/>
        </w:rPr>
      </w:pPr>
      <w:r>
        <w:rPr>
          <w:rFonts w:ascii="Times New Roman"/>
        </w:rPr>
        <w:t>《电气装置安装工程接地装置施工及验收规范》GB 50169。</w:t>
      </w:r>
    </w:p>
    <w:p w14:paraId="78D1A1F9">
      <w:pPr>
        <w:numPr>
          <w:ilvl w:val="0"/>
          <w:numId w:val="4"/>
        </w:numPr>
        <w:ind w:left="567" w:hanging="567"/>
        <w:rPr>
          <w:rFonts w:ascii="Times New Roman"/>
        </w:rPr>
      </w:pPr>
      <w:r>
        <w:rPr>
          <w:rFonts w:ascii="Times New Roman"/>
        </w:rPr>
        <w:t>《南方电网电力二次装备技术导则》Q/CSG1203005</w:t>
      </w:r>
    </w:p>
    <w:p w14:paraId="1E9C066D">
      <w:pPr>
        <w:numPr>
          <w:ilvl w:val="0"/>
          <w:numId w:val="4"/>
        </w:numPr>
        <w:ind w:left="567" w:hanging="567"/>
        <w:rPr>
          <w:rFonts w:ascii="Times New Roman"/>
        </w:rPr>
      </w:pPr>
      <w:r>
        <w:rPr>
          <w:rFonts w:ascii="Times New Roman"/>
        </w:rPr>
        <w:t>《水力发电厂二次接线设计规范》DL/T5132</w:t>
      </w:r>
    </w:p>
    <w:p w14:paraId="767F4306">
      <w:pPr>
        <w:numPr>
          <w:ilvl w:val="0"/>
          <w:numId w:val="4"/>
        </w:numPr>
        <w:ind w:left="567" w:hanging="567"/>
        <w:rPr>
          <w:rFonts w:ascii="Times New Roman"/>
        </w:rPr>
      </w:pPr>
      <w:r>
        <w:rPr>
          <w:rFonts w:ascii="Times New Roman"/>
        </w:rPr>
        <w:t>《钢结构工程施工质量验收规范》GB50205</w:t>
      </w:r>
    </w:p>
    <w:p w14:paraId="1A8320E9">
      <w:pPr>
        <w:numPr>
          <w:ilvl w:val="0"/>
          <w:numId w:val="4"/>
        </w:numPr>
        <w:ind w:left="567" w:hanging="567"/>
        <w:rPr>
          <w:rFonts w:ascii="Times New Roman"/>
        </w:rPr>
      </w:pPr>
      <w:r>
        <w:rPr>
          <w:rFonts w:ascii="Times New Roman"/>
        </w:rPr>
        <w:t>《节能耐腐蚀钢制电缆桥架》GB/T23639</w:t>
      </w:r>
    </w:p>
    <w:p w14:paraId="44871E21">
      <w:pPr>
        <w:numPr>
          <w:ilvl w:val="0"/>
          <w:numId w:val="4"/>
        </w:numPr>
        <w:ind w:left="567" w:hanging="567"/>
        <w:rPr>
          <w:rFonts w:ascii="Times New Roman"/>
        </w:rPr>
      </w:pPr>
      <w:r>
        <w:rPr>
          <w:rFonts w:ascii="Times New Roman"/>
        </w:rPr>
        <w:t>《电缆管理 电缆托盘系统和电缆梯架系统》GB/T21762</w:t>
      </w:r>
    </w:p>
    <w:p w14:paraId="1CB3FECB">
      <w:pPr>
        <w:numPr>
          <w:ilvl w:val="0"/>
          <w:numId w:val="4"/>
        </w:numPr>
        <w:ind w:left="567" w:hanging="567"/>
        <w:rPr>
          <w:rFonts w:ascii="Times New Roman"/>
        </w:rPr>
      </w:pPr>
      <w:r>
        <w:rPr>
          <w:rFonts w:ascii="Times New Roman"/>
        </w:rPr>
        <w:t>《电控配电用电缆桥架》JB/T 10216</w:t>
      </w:r>
    </w:p>
    <w:p w14:paraId="1E43D1B3">
      <w:pPr>
        <w:numPr>
          <w:ilvl w:val="0"/>
          <w:numId w:val="4"/>
        </w:numPr>
        <w:ind w:left="567" w:hanging="567"/>
        <w:rPr>
          <w:rFonts w:ascii="Times New Roman"/>
        </w:rPr>
      </w:pPr>
      <w:r>
        <w:rPr>
          <w:rFonts w:ascii="Times New Roman"/>
        </w:rPr>
        <w:t>《建筑材料及制品燃烧性能分级》GB 8624</w:t>
      </w:r>
    </w:p>
    <w:p w14:paraId="37541EE9">
      <w:pPr>
        <w:numPr>
          <w:ilvl w:val="0"/>
          <w:numId w:val="4"/>
        </w:numPr>
        <w:ind w:left="567" w:hanging="567"/>
        <w:rPr>
          <w:rFonts w:ascii="Times New Roman"/>
        </w:rPr>
      </w:pPr>
      <w:r>
        <w:rPr>
          <w:rFonts w:ascii="Times New Roman"/>
        </w:rPr>
        <w:t>《建筑材料难燃性试验方法》GB/T 8625</w:t>
      </w:r>
    </w:p>
    <w:p w14:paraId="39A29853">
      <w:pPr>
        <w:numPr>
          <w:ilvl w:val="0"/>
          <w:numId w:val="4"/>
        </w:numPr>
        <w:ind w:left="567" w:hanging="567"/>
        <w:rPr>
          <w:rFonts w:ascii="Times New Roman"/>
        </w:rPr>
      </w:pPr>
      <w:r>
        <w:rPr>
          <w:rFonts w:ascii="Times New Roman"/>
        </w:rPr>
        <w:t>《建筑构件耐火试验方法》GB/T 9978</w:t>
      </w:r>
    </w:p>
    <w:p w14:paraId="6B6838B8">
      <w:pPr>
        <w:numPr>
          <w:ilvl w:val="0"/>
          <w:numId w:val="4"/>
        </w:numPr>
        <w:ind w:left="567" w:hanging="567"/>
        <w:rPr>
          <w:rFonts w:ascii="Times New Roman"/>
        </w:rPr>
      </w:pPr>
      <w:r>
        <w:rPr>
          <w:rFonts w:ascii="Times New Roman"/>
        </w:rPr>
        <w:t>《电缆桥架》QB/T1453</w:t>
      </w:r>
    </w:p>
    <w:p w14:paraId="25FEFB8D">
      <w:pPr>
        <w:numPr>
          <w:ilvl w:val="0"/>
          <w:numId w:val="4"/>
        </w:numPr>
        <w:ind w:left="567" w:hanging="567"/>
        <w:rPr>
          <w:rFonts w:ascii="Times New Roman"/>
        </w:rPr>
      </w:pPr>
      <w:r>
        <w:rPr>
          <w:rFonts w:ascii="Times New Roman"/>
        </w:rPr>
        <w:t xml:space="preserve">《户内户外钢制电缆桥架防腐环境技术要求》JB/T 6743 </w:t>
      </w:r>
    </w:p>
    <w:p w14:paraId="75BDB899">
      <w:pPr>
        <w:numPr>
          <w:ilvl w:val="0"/>
          <w:numId w:val="4"/>
        </w:numPr>
        <w:ind w:left="567" w:hanging="567"/>
        <w:rPr>
          <w:rFonts w:ascii="Times New Roman"/>
        </w:rPr>
      </w:pPr>
      <w:r>
        <w:rPr>
          <w:rFonts w:hint="eastAsia" w:ascii="Times New Roman"/>
        </w:rPr>
        <w:t xml:space="preserve"> 《混凝土结构后锚固技术规程》JGJ</w:t>
      </w:r>
      <w:r>
        <w:rPr>
          <w:rFonts w:ascii="Times New Roman"/>
        </w:rPr>
        <w:t xml:space="preserve"> 145-2013</w:t>
      </w:r>
    </w:p>
    <w:p w14:paraId="777E5924">
      <w:pPr>
        <w:numPr>
          <w:ilvl w:val="0"/>
          <w:numId w:val="4"/>
        </w:numPr>
        <w:ind w:left="567" w:hanging="567"/>
        <w:rPr>
          <w:rFonts w:ascii="Times New Roman"/>
        </w:rPr>
      </w:pPr>
      <w:r>
        <w:rPr>
          <w:rFonts w:hint="eastAsia" w:ascii="Times New Roman"/>
        </w:rPr>
        <w:t>《混凝土用机械锚栓》JG</w:t>
      </w:r>
      <w:r>
        <w:rPr>
          <w:rFonts w:ascii="Times New Roman"/>
        </w:rPr>
        <w:t>/</w:t>
      </w:r>
      <w:r>
        <w:rPr>
          <w:rFonts w:hint="eastAsia" w:ascii="Times New Roman"/>
        </w:rPr>
        <w:t>T</w:t>
      </w:r>
      <w:r>
        <w:rPr>
          <w:rFonts w:ascii="Times New Roman"/>
        </w:rPr>
        <w:t xml:space="preserve"> 367-2017</w:t>
      </w:r>
    </w:p>
    <w:p w14:paraId="454B8ACB">
      <w:pPr>
        <w:numPr>
          <w:ilvl w:val="0"/>
          <w:numId w:val="4"/>
        </w:numPr>
        <w:ind w:left="567" w:hanging="567"/>
        <w:rPr>
          <w:rFonts w:ascii="Times New Roman"/>
        </w:rPr>
      </w:pPr>
      <w:r>
        <w:rPr>
          <w:rFonts w:hint="eastAsia" w:ascii="Times New Roman"/>
        </w:rPr>
        <w:t>《建筑与市政工程抗震通用规范》GB</w:t>
      </w:r>
      <w:r>
        <w:rPr>
          <w:rFonts w:ascii="Times New Roman"/>
        </w:rPr>
        <w:t>55002-2021</w:t>
      </w:r>
    </w:p>
    <w:p w14:paraId="08B22940">
      <w:pPr>
        <w:numPr>
          <w:ilvl w:val="0"/>
          <w:numId w:val="4"/>
        </w:numPr>
        <w:ind w:left="567" w:hanging="567"/>
        <w:rPr>
          <w:rFonts w:ascii="Times New Roman"/>
        </w:rPr>
      </w:pPr>
      <w:r>
        <w:rPr>
          <w:rFonts w:hint="eastAsia" w:ascii="Times New Roman"/>
        </w:rPr>
        <w:t xml:space="preserve"> 《防火封堵材料》</w:t>
      </w:r>
      <w:r>
        <w:rPr>
          <w:rFonts w:ascii="Times New Roman"/>
        </w:rPr>
        <w:t>GB23864-2009</w:t>
      </w:r>
    </w:p>
    <w:p w14:paraId="242E4BFE">
      <w:pPr>
        <w:numPr>
          <w:ilvl w:val="0"/>
          <w:numId w:val="4"/>
        </w:numPr>
        <w:ind w:left="567" w:hanging="567"/>
        <w:rPr>
          <w:rFonts w:ascii="Times New Roman"/>
        </w:rPr>
      </w:pPr>
      <w:r>
        <w:rPr>
          <w:rFonts w:hint="eastAsia" w:ascii="Times New Roman"/>
        </w:rPr>
        <w:t xml:space="preserve"> 《建筑防火封堵应用技术标准》GB/T 5l410-2020</w:t>
      </w:r>
    </w:p>
    <w:p w14:paraId="506F1857">
      <w:pPr>
        <w:numPr>
          <w:ilvl w:val="0"/>
          <w:numId w:val="4"/>
        </w:numPr>
        <w:ind w:left="567" w:hanging="567"/>
        <w:rPr>
          <w:rFonts w:ascii="Times New Roman"/>
        </w:rPr>
      </w:pPr>
      <w:r>
        <w:rPr>
          <w:rFonts w:hint="eastAsia" w:ascii="Times New Roman"/>
        </w:rPr>
        <w:t>《办生技【2022】26号 关于进一步加强变电站电缆沟电气火灾隐患整改的通知》。</w:t>
      </w:r>
    </w:p>
    <w:p w14:paraId="3EFF8111">
      <w:pPr>
        <w:pStyle w:val="4"/>
        <w:ind w:left="0" w:leftChars="0" w:firstLine="480" w:firstLineChars="200"/>
        <w:rPr>
          <w:rFonts w:ascii="Times New Roman"/>
        </w:rPr>
      </w:pPr>
      <w:r>
        <w:rPr>
          <w:rFonts w:ascii="Times New Roman"/>
        </w:rPr>
        <w:t>在上述标准中，优先采用中华人民共和国国家标准、行业标准、水电标准。在国内标准缺项或不完善时，可参考选用相应的国际标准或其它国家的标准。但选用的所有标准均须相当于或高于合同相应的IEC标准。当标准和技术协议不一致时，应按标准和技术协议要求最高的一方执行。</w:t>
      </w:r>
    </w:p>
    <w:p w14:paraId="73DAB5B8">
      <w:pPr>
        <w:pStyle w:val="4"/>
        <w:ind w:left="0" w:leftChars="0" w:firstLine="480" w:firstLineChars="200"/>
        <w:rPr>
          <w:rFonts w:ascii="Times New Roman"/>
          <w:b/>
          <w:bCs/>
          <w:sz w:val="28"/>
          <w:szCs w:val="28"/>
        </w:rPr>
      </w:pPr>
      <w:r>
        <w:rPr>
          <w:rFonts w:ascii="Times New Roman"/>
        </w:rPr>
        <w:t>使用的标准应是技术协议合同签订以前已颁布的最新版本。卖方应提供合同施工所涉及的标准、规范和规程。</w:t>
      </w:r>
    </w:p>
    <w:p w14:paraId="69C4A3C9">
      <w:pPr>
        <w:numPr>
          <w:ilvl w:val="0"/>
          <w:numId w:val="2"/>
        </w:numPr>
        <w:spacing w:after="120" w:afterLines="50" w:line="240" w:lineRule="auto"/>
        <w:outlineLvl w:val="0"/>
        <w:rPr>
          <w:rFonts w:ascii="Times New Roman"/>
          <w:b/>
          <w:bCs/>
          <w:sz w:val="28"/>
          <w:szCs w:val="28"/>
        </w:rPr>
      </w:pPr>
      <w:bookmarkStart w:id="14" w:name="_Toc24793"/>
      <w:r>
        <w:rPr>
          <w:rFonts w:ascii="Times New Roman"/>
          <w:b/>
          <w:bCs/>
          <w:sz w:val="28"/>
          <w:szCs w:val="28"/>
        </w:rPr>
        <w:t>工程要求</w:t>
      </w:r>
      <w:bookmarkEnd w:id="11"/>
      <w:bookmarkEnd w:id="14"/>
    </w:p>
    <w:p w14:paraId="4F03E8A6">
      <w:pPr>
        <w:numPr>
          <w:ilvl w:val="1"/>
          <w:numId w:val="2"/>
        </w:numPr>
        <w:spacing w:after="120" w:afterLines="50"/>
        <w:ind w:firstLine="482" w:firstLineChars="200"/>
        <w:outlineLvl w:val="0"/>
        <w:rPr>
          <w:rFonts w:ascii="Times New Roman"/>
          <w:b/>
          <w:bCs/>
        </w:rPr>
      </w:pPr>
      <w:bookmarkStart w:id="15" w:name="_Toc32635"/>
      <w:r>
        <w:rPr>
          <w:rFonts w:hint="eastAsia" w:ascii="Times New Roman"/>
          <w:b/>
          <w:bCs/>
        </w:rPr>
        <w:t>采购要求</w:t>
      </w:r>
      <w:bookmarkEnd w:id="15"/>
    </w:p>
    <w:p w14:paraId="25C579CB">
      <w:pPr>
        <w:numPr>
          <w:ilvl w:val="0"/>
          <w:numId w:val="5"/>
        </w:numPr>
        <w:ind w:left="0" w:firstLine="567"/>
        <w:rPr>
          <w:rFonts w:ascii="Times New Roman"/>
        </w:rPr>
      </w:pPr>
      <w:r>
        <w:rPr>
          <w:rFonts w:hint="eastAsia" w:ascii="Times New Roman"/>
        </w:rPr>
        <w:t>施工方需</w:t>
      </w:r>
      <w:r>
        <w:rPr>
          <w:rFonts w:ascii="Times New Roman"/>
        </w:rPr>
        <w:t>根据工程量清单及现场的勘察，并结合自身桥架产品及安装施工特点，对施工图进行二次深化设计，确定最终施工材料型号。</w:t>
      </w:r>
    </w:p>
    <w:p w14:paraId="60F92FE2">
      <w:pPr>
        <w:numPr>
          <w:ilvl w:val="0"/>
          <w:numId w:val="5"/>
        </w:numPr>
        <w:ind w:left="0" w:firstLine="567"/>
        <w:rPr>
          <w:rFonts w:ascii="Times New Roman"/>
        </w:rPr>
      </w:pPr>
      <w:r>
        <w:rPr>
          <w:rFonts w:hint="eastAsia" w:ascii="Times New Roman"/>
        </w:rPr>
        <w:t>在项目施工中影响安全的部位，施工方根据现场实际情况及自身桥架产品和安装施工特点提出设计优化建议。</w:t>
      </w:r>
    </w:p>
    <w:p w14:paraId="4AEC75CD">
      <w:pPr>
        <w:numPr>
          <w:ilvl w:val="0"/>
          <w:numId w:val="5"/>
        </w:numPr>
        <w:ind w:left="0" w:firstLine="567"/>
        <w:rPr>
          <w:rFonts w:ascii="Times New Roman"/>
        </w:rPr>
      </w:pPr>
      <w:r>
        <w:rPr>
          <w:rFonts w:hint="eastAsia" w:ascii="Times New Roman"/>
        </w:rPr>
        <w:t>工程范围内的新电缆桥架及其附件、防火封堵等材料（具体详见工程量清单表）的采购、包装、运输、现场施工、验收、调试、提供技术文件（包括图纸、型式试验数据和报告、标准和规范）等全部工作。</w:t>
      </w:r>
    </w:p>
    <w:p w14:paraId="29111DC2">
      <w:pPr>
        <w:numPr>
          <w:ilvl w:val="0"/>
          <w:numId w:val="5"/>
        </w:numPr>
        <w:ind w:left="0" w:firstLine="567"/>
        <w:rPr>
          <w:rFonts w:ascii="Times New Roman"/>
        </w:rPr>
      </w:pPr>
      <w:r>
        <w:rPr>
          <w:rFonts w:hint="eastAsia" w:ascii="Times New Roman"/>
        </w:rPr>
        <w:t>工程范围内的电缆整理，包括动力电缆和控制电缆分层布置、电缆固定、裸露电缆穿保护管敷设，其他电缆移位后如果电缆长度不够，也需要重新敷设，重新敷设工作由施工方负责，相关电缆由甲方提供。</w:t>
      </w:r>
    </w:p>
    <w:p w14:paraId="63997153">
      <w:pPr>
        <w:numPr>
          <w:ilvl w:val="0"/>
          <w:numId w:val="5"/>
        </w:numPr>
        <w:ind w:left="0" w:firstLine="567"/>
        <w:rPr>
          <w:rFonts w:ascii="Times New Roman"/>
        </w:rPr>
      </w:pPr>
      <w:r>
        <w:rPr>
          <w:rFonts w:hint="eastAsia" w:ascii="Times New Roman"/>
        </w:rPr>
        <w:t>工程范围内的电缆防火，包括屏柜和孔洞的防火封堵、刷涂防火涂料，现场设置阻火墙及电缆转接箱。</w:t>
      </w:r>
    </w:p>
    <w:p w14:paraId="70E80A4A">
      <w:pPr>
        <w:numPr>
          <w:ilvl w:val="0"/>
          <w:numId w:val="5"/>
        </w:numPr>
        <w:ind w:left="0" w:firstLine="567"/>
        <w:rPr>
          <w:rFonts w:ascii="Times New Roman"/>
        </w:rPr>
      </w:pPr>
      <w:r>
        <w:rPr>
          <w:rFonts w:hint="eastAsia" w:ascii="Times New Roman"/>
        </w:rPr>
        <w:t>工程范围内电缆桥架的防腐、接地。</w:t>
      </w:r>
    </w:p>
    <w:p w14:paraId="6B43961E">
      <w:pPr>
        <w:numPr>
          <w:ilvl w:val="0"/>
          <w:numId w:val="5"/>
        </w:numPr>
        <w:ind w:left="0" w:firstLine="567"/>
        <w:rPr>
          <w:rFonts w:ascii="Times New Roman"/>
        </w:rPr>
      </w:pPr>
      <w:r>
        <w:rPr>
          <w:rFonts w:hint="eastAsia" w:ascii="Times New Roman"/>
        </w:rPr>
        <w:t>根据现场优化情况，对涉及的箱体、控制柜等的拆除及恢复。</w:t>
      </w:r>
    </w:p>
    <w:p w14:paraId="26B17D8F">
      <w:pPr>
        <w:numPr>
          <w:ilvl w:val="0"/>
          <w:numId w:val="5"/>
        </w:numPr>
        <w:ind w:left="0" w:firstLine="567"/>
        <w:rPr>
          <w:rFonts w:ascii="Times New Roman"/>
        </w:rPr>
      </w:pPr>
      <w:r>
        <w:rPr>
          <w:rFonts w:hint="eastAsia" w:ascii="Times New Roman"/>
        </w:rPr>
        <w:t>工程范围内的旧电缆桥架、槽盒、防火材料、废旧电缆、施工废料等拆除并外运。</w:t>
      </w:r>
    </w:p>
    <w:p w14:paraId="4A702E99">
      <w:pPr>
        <w:numPr>
          <w:ilvl w:val="0"/>
          <w:numId w:val="5"/>
        </w:numPr>
        <w:ind w:left="0" w:firstLine="567"/>
        <w:rPr>
          <w:rFonts w:ascii="Times New Roman"/>
        </w:rPr>
      </w:pPr>
      <w:r>
        <w:rPr>
          <w:rFonts w:hint="eastAsia" w:ascii="Times New Roman"/>
        </w:rPr>
        <w:t>工程范围内墙体防护以及恢复工作，包含墙体防护、墙体恢复工作（因施工导致墙面破损的）。</w:t>
      </w:r>
    </w:p>
    <w:p w14:paraId="7CB7A3D0">
      <w:pPr>
        <w:numPr>
          <w:ilvl w:val="0"/>
          <w:numId w:val="5"/>
        </w:numPr>
        <w:ind w:left="0" w:firstLine="567"/>
        <w:rPr>
          <w:rFonts w:ascii="Times New Roman"/>
        </w:rPr>
      </w:pPr>
      <w:r>
        <w:rPr>
          <w:rFonts w:hint="eastAsia" w:ascii="Times New Roman"/>
        </w:rPr>
        <w:t>提供电缆桥架施工安装工艺说明书。</w:t>
      </w:r>
    </w:p>
    <w:p w14:paraId="34657312">
      <w:pPr>
        <w:numPr>
          <w:ilvl w:val="0"/>
          <w:numId w:val="5"/>
        </w:numPr>
        <w:ind w:left="0" w:firstLine="567"/>
        <w:rPr>
          <w:rFonts w:ascii="Times New Roman"/>
        </w:rPr>
      </w:pPr>
      <w:r>
        <w:rPr>
          <w:rFonts w:hint="eastAsia" w:ascii="Times New Roman"/>
        </w:rPr>
        <w:t>提供竣工资料。</w:t>
      </w:r>
    </w:p>
    <w:p w14:paraId="7FF28B9B">
      <w:pPr>
        <w:numPr>
          <w:ilvl w:val="0"/>
          <w:numId w:val="5"/>
        </w:numPr>
        <w:ind w:left="0" w:firstLine="567"/>
        <w:rPr>
          <w:rFonts w:ascii="Times New Roman"/>
        </w:rPr>
      </w:pPr>
      <w:r>
        <w:rPr>
          <w:rFonts w:hint="eastAsia" w:ascii="Times New Roman"/>
        </w:rPr>
        <w:t>保证期内的维修、维护保养和缺陷修复。</w:t>
      </w:r>
    </w:p>
    <w:p w14:paraId="77A085D1">
      <w:pPr>
        <w:numPr>
          <w:ilvl w:val="0"/>
          <w:numId w:val="5"/>
        </w:numPr>
        <w:ind w:left="0" w:firstLine="567"/>
        <w:rPr>
          <w:rFonts w:ascii="Times New Roman"/>
        </w:rPr>
      </w:pPr>
      <w:r>
        <w:rPr>
          <w:rFonts w:hint="eastAsia" w:ascii="Times New Roman"/>
        </w:rPr>
        <w:t>工程进度需要配合机组检修多次进厂进行施工。</w:t>
      </w:r>
    </w:p>
    <w:p w14:paraId="060D1071">
      <w:pPr>
        <w:numPr>
          <w:ilvl w:val="0"/>
          <w:numId w:val="5"/>
        </w:numPr>
        <w:ind w:left="0" w:firstLine="567"/>
        <w:rPr>
          <w:rFonts w:ascii="Times New Roman"/>
        </w:rPr>
      </w:pPr>
      <w:r>
        <w:rPr>
          <w:rFonts w:hint="eastAsia" w:ascii="Times New Roman"/>
        </w:rPr>
        <w:t>需要按照要求编制施工方案及现场风险管控。</w:t>
      </w:r>
    </w:p>
    <w:p w14:paraId="5FC4B1AF">
      <w:pPr>
        <w:numPr>
          <w:ilvl w:val="0"/>
          <w:numId w:val="5"/>
        </w:numPr>
        <w:ind w:left="0" w:firstLine="567"/>
        <w:rPr>
          <w:rFonts w:ascii="Times New Roman"/>
        </w:rPr>
      </w:pPr>
      <w:r>
        <w:rPr>
          <w:rFonts w:hint="eastAsia" w:ascii="Times New Roman"/>
        </w:rPr>
        <w:t>施工方将承担整个工程施工图设计内容的全部施工工作，按本技术规范书所列的国家规程、规范要求验收合格，并负责保修一年。</w:t>
      </w:r>
    </w:p>
    <w:p w14:paraId="3586E0DC">
      <w:pPr>
        <w:numPr>
          <w:ilvl w:val="0"/>
          <w:numId w:val="5"/>
        </w:numPr>
        <w:ind w:left="0" w:firstLine="567"/>
        <w:rPr>
          <w:rFonts w:ascii="Times New Roman"/>
          <w:b/>
          <w:bCs/>
        </w:rPr>
      </w:pPr>
      <w:r>
        <w:rPr>
          <w:rFonts w:hint="eastAsia" w:ascii="Times New Roman"/>
          <w:b/>
          <w:bCs/>
        </w:rPr>
        <w:t>结算方式：本项目价款为据实结算，项目竣工验收合格后，乙方根据最终核算后的合同价款并提供等额增值税专用发票，甲方在60日内向乙方付清项目款，银行转账。</w:t>
      </w:r>
    </w:p>
    <w:p w14:paraId="552A5E34">
      <w:pPr>
        <w:numPr>
          <w:ilvl w:val="1"/>
          <w:numId w:val="2"/>
        </w:numPr>
        <w:spacing w:after="120" w:afterLines="50"/>
        <w:ind w:firstLine="482" w:firstLineChars="200"/>
        <w:outlineLvl w:val="0"/>
        <w:rPr>
          <w:rFonts w:ascii="Times New Roman"/>
          <w:b/>
          <w:bCs/>
        </w:rPr>
      </w:pPr>
      <w:bookmarkStart w:id="16" w:name="_Toc22231302"/>
      <w:bookmarkStart w:id="17" w:name="_Toc21638186"/>
      <w:bookmarkStart w:id="18" w:name="_Toc17000"/>
      <w:r>
        <w:rPr>
          <w:rFonts w:hint="eastAsia" w:ascii="Times New Roman"/>
          <w:b/>
          <w:bCs/>
        </w:rPr>
        <w:t>文件、图纸与资料</w:t>
      </w:r>
      <w:bookmarkEnd w:id="16"/>
      <w:bookmarkEnd w:id="17"/>
      <w:bookmarkEnd w:id="18"/>
    </w:p>
    <w:p w14:paraId="72467E92">
      <w:pPr>
        <w:ind w:firstLine="480" w:firstLineChars="200"/>
        <w:rPr>
          <w:rFonts w:ascii="Times New Roman"/>
          <w:szCs w:val="21"/>
        </w:rPr>
      </w:pPr>
      <w:r>
        <w:rPr>
          <w:rFonts w:ascii="Times New Roman"/>
          <w:szCs w:val="21"/>
        </w:rPr>
        <w:t>（1）</w:t>
      </w:r>
      <w:r>
        <w:rPr>
          <w:rFonts w:hint="eastAsia" w:ascii="Times New Roman"/>
          <w:szCs w:val="21"/>
        </w:rPr>
        <w:t>施工方</w:t>
      </w:r>
      <w:r>
        <w:rPr>
          <w:rFonts w:ascii="Times New Roman"/>
          <w:szCs w:val="21"/>
        </w:rPr>
        <w:t>应提交</w:t>
      </w:r>
      <w:r>
        <w:rPr>
          <w:rFonts w:hint="eastAsia" w:ascii="Times New Roman"/>
          <w:szCs w:val="21"/>
        </w:rPr>
        <w:t>施工设计</w:t>
      </w:r>
      <w:r>
        <w:rPr>
          <w:rFonts w:ascii="Times New Roman"/>
          <w:szCs w:val="21"/>
        </w:rPr>
        <w:t>图纸、技术文件等，并应提供相关图纸文件的电子版。</w:t>
      </w:r>
    </w:p>
    <w:p w14:paraId="5DAD80FC">
      <w:pPr>
        <w:ind w:firstLine="480" w:firstLineChars="200"/>
        <w:rPr>
          <w:rFonts w:ascii="Times New Roman"/>
          <w:szCs w:val="21"/>
        </w:rPr>
      </w:pPr>
      <w:r>
        <w:rPr>
          <w:rFonts w:ascii="Times New Roman"/>
          <w:szCs w:val="21"/>
        </w:rPr>
        <w:t>（2）竣工资料</w:t>
      </w:r>
      <w:bookmarkStart w:id="61" w:name="_GoBack"/>
      <w:bookmarkEnd w:id="61"/>
    </w:p>
    <w:p w14:paraId="2352B54D">
      <w:pPr>
        <w:ind w:firstLine="480" w:firstLineChars="200"/>
        <w:rPr>
          <w:rFonts w:ascii="Times New Roman"/>
          <w:szCs w:val="21"/>
        </w:rPr>
      </w:pPr>
      <w:r>
        <w:rPr>
          <w:rFonts w:ascii="Times New Roman"/>
          <w:szCs w:val="21"/>
        </w:rPr>
        <w:t>工程竣工验收前，</w:t>
      </w:r>
      <w:r>
        <w:rPr>
          <w:rFonts w:hint="eastAsia" w:ascii="Times New Roman"/>
          <w:szCs w:val="21"/>
        </w:rPr>
        <w:t>施工方</w:t>
      </w:r>
      <w:r>
        <w:rPr>
          <w:rFonts w:ascii="Times New Roman"/>
          <w:szCs w:val="21"/>
        </w:rPr>
        <w:t>应按规范规定编制竣工资料，竣工资料至少应包括：</w:t>
      </w:r>
    </w:p>
    <w:p w14:paraId="57454AA5">
      <w:pPr>
        <w:ind w:left="284" w:firstLine="480" w:firstLineChars="200"/>
        <w:rPr>
          <w:rFonts w:ascii="Times New Roman"/>
          <w:szCs w:val="21"/>
        </w:rPr>
      </w:pPr>
      <w:r>
        <w:rPr>
          <w:rFonts w:ascii="Times New Roman"/>
          <w:szCs w:val="21"/>
        </w:rPr>
        <w:t>①电缆桥架布置</w:t>
      </w:r>
      <w:r>
        <w:rPr>
          <w:rFonts w:hint="eastAsia" w:ascii="Times New Roman"/>
          <w:szCs w:val="21"/>
        </w:rPr>
        <w:t>竣工图；</w:t>
      </w:r>
    </w:p>
    <w:p w14:paraId="03A4E1F8">
      <w:pPr>
        <w:ind w:left="284" w:firstLine="480" w:firstLineChars="200"/>
        <w:rPr>
          <w:rFonts w:ascii="Times New Roman"/>
          <w:szCs w:val="21"/>
        </w:rPr>
      </w:pPr>
      <w:r>
        <w:rPr>
          <w:rFonts w:ascii="Times New Roman"/>
          <w:szCs w:val="21"/>
        </w:rPr>
        <w:t xml:space="preserve">②设计修改通知单及修改图纸汇编； </w:t>
      </w:r>
    </w:p>
    <w:p w14:paraId="22181118">
      <w:pPr>
        <w:ind w:left="284" w:firstLine="480" w:firstLineChars="200"/>
        <w:rPr>
          <w:rFonts w:ascii="Times New Roman"/>
          <w:szCs w:val="21"/>
        </w:rPr>
      </w:pPr>
      <w:r>
        <w:rPr>
          <w:rFonts w:ascii="Times New Roman"/>
          <w:szCs w:val="21"/>
        </w:rPr>
        <w:t>③ 施工安装技术文件；</w:t>
      </w:r>
    </w:p>
    <w:p w14:paraId="4F8796E6">
      <w:pPr>
        <w:ind w:left="284" w:firstLine="480" w:firstLineChars="200"/>
        <w:rPr>
          <w:rFonts w:ascii="Times New Roman"/>
          <w:szCs w:val="21"/>
        </w:rPr>
      </w:pPr>
      <w:r>
        <w:rPr>
          <w:rFonts w:ascii="Times New Roman"/>
          <w:szCs w:val="21"/>
        </w:rPr>
        <w:t>④安装记录；</w:t>
      </w:r>
    </w:p>
    <w:p w14:paraId="3841962F">
      <w:pPr>
        <w:ind w:left="284" w:firstLine="480" w:firstLineChars="200"/>
        <w:rPr>
          <w:rFonts w:ascii="Times New Roman"/>
          <w:szCs w:val="21"/>
        </w:rPr>
      </w:pPr>
      <w:r>
        <w:rPr>
          <w:rFonts w:ascii="Times New Roman"/>
          <w:szCs w:val="21"/>
        </w:rPr>
        <w:t>⑤竣工工程量清单；</w:t>
      </w:r>
    </w:p>
    <w:p w14:paraId="26D50A5E">
      <w:pPr>
        <w:ind w:left="284" w:firstLine="480" w:firstLineChars="200"/>
        <w:rPr>
          <w:rFonts w:ascii="Times New Roman"/>
        </w:rPr>
      </w:pPr>
      <w:r>
        <w:rPr>
          <w:rFonts w:ascii="Times New Roman"/>
          <w:szCs w:val="21"/>
        </w:rPr>
        <w:t>⑥竣工结算资料；</w:t>
      </w:r>
    </w:p>
    <w:p w14:paraId="06464F1F">
      <w:pPr>
        <w:ind w:left="284" w:firstLine="480" w:firstLineChars="200"/>
        <w:rPr>
          <w:rFonts w:ascii="Times New Roman"/>
          <w:szCs w:val="21"/>
        </w:rPr>
      </w:pPr>
      <w:r>
        <w:rPr>
          <w:rFonts w:ascii="Times New Roman"/>
          <w:szCs w:val="21"/>
        </w:rPr>
        <w:t>⑦双方认为必要的资料或文件。</w:t>
      </w:r>
    </w:p>
    <w:p w14:paraId="780CE38B">
      <w:pPr>
        <w:ind w:left="284" w:firstLine="480" w:firstLineChars="200"/>
      </w:pPr>
      <w:r>
        <w:rPr>
          <w:rFonts w:hint="eastAsia"/>
        </w:rPr>
        <w:t>⑧材料明细清单表。</w:t>
      </w:r>
    </w:p>
    <w:p w14:paraId="7C76994E">
      <w:pPr>
        <w:ind w:firstLine="480" w:firstLineChars="200"/>
        <w:rPr>
          <w:rFonts w:ascii="Times New Roman"/>
          <w:szCs w:val="21"/>
        </w:rPr>
      </w:pPr>
      <w:r>
        <w:rPr>
          <w:rFonts w:ascii="Times New Roman"/>
          <w:szCs w:val="21"/>
        </w:rPr>
        <w:t>竣工资料应完整、清晰、符合存档要求（图符采用A3或A4），在竣工后</w:t>
      </w:r>
      <w:r>
        <w:rPr>
          <w:rFonts w:hint="eastAsia" w:ascii="Times New Roman"/>
          <w:szCs w:val="21"/>
        </w:rPr>
        <w:t>5天</w:t>
      </w:r>
      <w:r>
        <w:rPr>
          <w:rFonts w:ascii="Times New Roman"/>
          <w:szCs w:val="21"/>
        </w:rPr>
        <w:t>内提交，竣工资料需有</w:t>
      </w:r>
      <w:r>
        <w:rPr>
          <w:rFonts w:hint="eastAsia" w:ascii="Times New Roman"/>
          <w:szCs w:val="21"/>
        </w:rPr>
        <w:t>施工方</w:t>
      </w:r>
      <w:r>
        <w:rPr>
          <w:rFonts w:ascii="Times New Roman"/>
          <w:szCs w:val="21"/>
        </w:rPr>
        <w:t>技术负责人的签字</w:t>
      </w:r>
      <w:r>
        <w:rPr>
          <w:rFonts w:hint="eastAsia" w:ascii="Times New Roman"/>
          <w:szCs w:val="21"/>
        </w:rPr>
        <w:t>并加盖公章</w:t>
      </w:r>
      <w:r>
        <w:rPr>
          <w:rFonts w:ascii="Times New Roman"/>
          <w:szCs w:val="21"/>
        </w:rPr>
        <w:t>。</w:t>
      </w:r>
    </w:p>
    <w:p w14:paraId="6B908293">
      <w:pPr>
        <w:ind w:firstLine="420"/>
      </w:pPr>
    </w:p>
    <w:p w14:paraId="4B65646B">
      <w:pPr>
        <w:numPr>
          <w:ilvl w:val="1"/>
          <w:numId w:val="2"/>
        </w:numPr>
        <w:spacing w:after="120" w:afterLines="50"/>
        <w:ind w:firstLine="482" w:firstLineChars="200"/>
        <w:outlineLvl w:val="0"/>
        <w:rPr>
          <w:rFonts w:ascii="Times New Roman"/>
          <w:b/>
          <w:bCs/>
        </w:rPr>
      </w:pPr>
      <w:bookmarkStart w:id="19" w:name="_Toc21638187"/>
      <w:bookmarkStart w:id="20" w:name="_Toc26583"/>
      <w:bookmarkStart w:id="21" w:name="_Toc22231303"/>
      <w:r>
        <w:rPr>
          <w:rFonts w:hint="eastAsia" w:ascii="Times New Roman"/>
          <w:b/>
          <w:bCs/>
        </w:rPr>
        <w:t>电缆桥架的交付和接收</w:t>
      </w:r>
      <w:bookmarkEnd w:id="19"/>
      <w:bookmarkEnd w:id="20"/>
      <w:bookmarkEnd w:id="21"/>
    </w:p>
    <w:p w14:paraId="490DAA76">
      <w:pPr>
        <w:ind w:firstLine="420"/>
        <w:rPr>
          <w:rFonts w:ascii="Times New Roman"/>
          <w:szCs w:val="21"/>
        </w:rPr>
      </w:pPr>
      <w:r>
        <w:rPr>
          <w:rFonts w:ascii="Times New Roman"/>
          <w:szCs w:val="21"/>
        </w:rPr>
        <w:t>电缆桥架采用工地现场交付和接收方式。在现场交付的产品及其技术文件，业主会同</w:t>
      </w:r>
      <w:r>
        <w:rPr>
          <w:rFonts w:hint="eastAsia" w:ascii="Times New Roman"/>
          <w:szCs w:val="21"/>
        </w:rPr>
        <w:t>施工方</w:t>
      </w:r>
      <w:r>
        <w:rPr>
          <w:rFonts w:ascii="Times New Roman"/>
          <w:szCs w:val="21"/>
        </w:rPr>
        <w:t>根据合同文件共同检查清点无误后，在现场办理交付和接收手续。</w:t>
      </w:r>
    </w:p>
    <w:p w14:paraId="2F4DB520">
      <w:pPr>
        <w:numPr>
          <w:ilvl w:val="1"/>
          <w:numId w:val="2"/>
        </w:numPr>
        <w:spacing w:after="120" w:afterLines="50"/>
        <w:ind w:firstLine="482" w:firstLineChars="200"/>
        <w:outlineLvl w:val="0"/>
        <w:rPr>
          <w:rFonts w:ascii="Times New Roman"/>
          <w:b/>
          <w:bCs/>
        </w:rPr>
      </w:pPr>
      <w:bookmarkStart w:id="22" w:name="_Toc21638188"/>
      <w:bookmarkStart w:id="23" w:name="_Toc22231304"/>
      <w:bookmarkStart w:id="24" w:name="_Toc3284"/>
      <w:r>
        <w:rPr>
          <w:rFonts w:hint="eastAsia" w:ascii="Times New Roman"/>
          <w:b/>
          <w:bCs/>
        </w:rPr>
        <w:t>现场运输和仓储管理</w:t>
      </w:r>
      <w:bookmarkEnd w:id="22"/>
      <w:bookmarkEnd w:id="23"/>
      <w:bookmarkEnd w:id="24"/>
    </w:p>
    <w:p w14:paraId="641C56DC">
      <w:pPr>
        <w:ind w:firstLine="420"/>
        <w:rPr>
          <w:rFonts w:ascii="Times New Roman"/>
          <w:szCs w:val="21"/>
        </w:rPr>
      </w:pPr>
      <w:r>
        <w:rPr>
          <w:rFonts w:ascii="Times New Roman"/>
          <w:szCs w:val="21"/>
        </w:rPr>
        <w:t>（1）</w:t>
      </w:r>
      <w:r>
        <w:rPr>
          <w:rFonts w:hint="eastAsia" w:ascii="Times New Roman"/>
          <w:szCs w:val="21"/>
        </w:rPr>
        <w:t>施工方</w:t>
      </w:r>
      <w:r>
        <w:rPr>
          <w:rFonts w:ascii="Times New Roman"/>
          <w:szCs w:val="21"/>
        </w:rPr>
        <w:t>在接收电缆桥架后，应对接收的产品及其技术文件的到货卸车、损伤签证、沿程保护，吊运入库、现场运输和仓储保管承担责任。</w:t>
      </w:r>
    </w:p>
    <w:p w14:paraId="5AAC4CA8">
      <w:pPr>
        <w:ind w:firstLine="420"/>
        <w:rPr>
          <w:rFonts w:ascii="Times New Roman"/>
          <w:szCs w:val="21"/>
        </w:rPr>
      </w:pPr>
      <w:r>
        <w:rPr>
          <w:rFonts w:ascii="Times New Roman"/>
          <w:szCs w:val="21"/>
        </w:rPr>
        <w:t>（2）对有防潮和防锈蚀要求的设备、部件和特殊材料，</w:t>
      </w:r>
      <w:r>
        <w:rPr>
          <w:rFonts w:hint="eastAsia" w:ascii="Times New Roman"/>
          <w:szCs w:val="21"/>
        </w:rPr>
        <w:t>施工方</w:t>
      </w:r>
      <w:r>
        <w:rPr>
          <w:rFonts w:ascii="Times New Roman"/>
          <w:szCs w:val="21"/>
        </w:rPr>
        <w:t>应按供货商技术文件要求，采取特殊保护措施。</w:t>
      </w:r>
    </w:p>
    <w:p w14:paraId="08707878">
      <w:pPr>
        <w:ind w:firstLine="420"/>
        <w:rPr>
          <w:rFonts w:ascii="Times New Roman"/>
          <w:szCs w:val="21"/>
        </w:rPr>
      </w:pPr>
      <w:r>
        <w:rPr>
          <w:rFonts w:ascii="Times New Roman"/>
          <w:szCs w:val="21"/>
        </w:rPr>
        <w:t>（3）对露天存放或在安装场地临时存放的设备和部件，应由</w:t>
      </w:r>
      <w:r>
        <w:rPr>
          <w:rFonts w:hint="eastAsia" w:ascii="Times New Roman"/>
          <w:szCs w:val="21"/>
        </w:rPr>
        <w:t>施工方</w:t>
      </w:r>
      <w:r>
        <w:rPr>
          <w:rFonts w:ascii="Times New Roman"/>
          <w:szCs w:val="21"/>
        </w:rPr>
        <w:t>进行覆盖保护和采取存放场地的排水措施。</w:t>
      </w:r>
    </w:p>
    <w:p w14:paraId="5D14C21E">
      <w:pPr>
        <w:numPr>
          <w:ilvl w:val="1"/>
          <w:numId w:val="2"/>
        </w:numPr>
        <w:spacing w:after="120" w:afterLines="50"/>
        <w:ind w:firstLine="482" w:firstLineChars="200"/>
        <w:outlineLvl w:val="0"/>
        <w:rPr>
          <w:rFonts w:ascii="Times New Roman"/>
          <w:b/>
          <w:bCs/>
        </w:rPr>
      </w:pPr>
      <w:bookmarkStart w:id="25" w:name="_Toc32304"/>
      <w:bookmarkStart w:id="26" w:name="_Toc21638189"/>
      <w:bookmarkStart w:id="27" w:name="_Toc22231305"/>
      <w:r>
        <w:rPr>
          <w:rFonts w:hint="eastAsia" w:ascii="Times New Roman"/>
          <w:b/>
          <w:bCs/>
        </w:rPr>
        <w:t>电缆桥架的缺陷处理</w:t>
      </w:r>
      <w:bookmarkEnd w:id="25"/>
      <w:bookmarkEnd w:id="26"/>
      <w:bookmarkEnd w:id="27"/>
    </w:p>
    <w:p w14:paraId="33BD98C2">
      <w:pPr>
        <w:ind w:firstLine="480" w:firstLineChars="200"/>
        <w:rPr>
          <w:rFonts w:ascii="Times New Roman"/>
          <w:szCs w:val="21"/>
        </w:rPr>
      </w:pPr>
      <w:r>
        <w:rPr>
          <w:rFonts w:ascii="Times New Roman"/>
          <w:szCs w:val="21"/>
        </w:rPr>
        <w:t>（1）安装过程中发现的设备缺陷，应由</w:t>
      </w:r>
      <w:r>
        <w:rPr>
          <w:rFonts w:hint="eastAsia" w:ascii="Times New Roman"/>
          <w:szCs w:val="21"/>
        </w:rPr>
        <w:t>施工方</w:t>
      </w:r>
      <w:r>
        <w:rPr>
          <w:rFonts w:ascii="Times New Roman"/>
          <w:szCs w:val="21"/>
        </w:rPr>
        <w:t>负责修复，修复费用由</w:t>
      </w:r>
      <w:r>
        <w:rPr>
          <w:rFonts w:hint="eastAsia" w:ascii="Times New Roman"/>
          <w:szCs w:val="21"/>
        </w:rPr>
        <w:t>施工方</w:t>
      </w:r>
      <w:r>
        <w:rPr>
          <w:rFonts w:ascii="Times New Roman"/>
          <w:szCs w:val="21"/>
        </w:rPr>
        <w:t>承担。</w:t>
      </w:r>
    </w:p>
    <w:p w14:paraId="426CF145">
      <w:pPr>
        <w:ind w:firstLine="480" w:firstLineChars="200"/>
        <w:rPr>
          <w:rFonts w:ascii="Times New Roman"/>
          <w:szCs w:val="21"/>
        </w:rPr>
      </w:pPr>
      <w:r>
        <w:rPr>
          <w:rFonts w:ascii="Times New Roman"/>
          <w:szCs w:val="21"/>
        </w:rPr>
        <w:t>（2）缺陷修复后，</w:t>
      </w:r>
      <w:r>
        <w:rPr>
          <w:rFonts w:hint="eastAsia" w:ascii="Times New Roman"/>
          <w:szCs w:val="21"/>
        </w:rPr>
        <w:t>施工方</w:t>
      </w:r>
      <w:r>
        <w:rPr>
          <w:rFonts w:ascii="Times New Roman"/>
          <w:szCs w:val="21"/>
        </w:rPr>
        <w:t>应编写“设备缺陷检查和修复报告”，经</w:t>
      </w:r>
      <w:r>
        <w:rPr>
          <w:rFonts w:hint="eastAsia" w:ascii="Times New Roman"/>
          <w:szCs w:val="21"/>
        </w:rPr>
        <w:t>业主方</w:t>
      </w:r>
      <w:r>
        <w:rPr>
          <w:rFonts w:ascii="Times New Roman"/>
          <w:szCs w:val="21"/>
        </w:rPr>
        <w:t>代表共同签字后作为电缆桥架质量验收的附件。</w:t>
      </w:r>
    </w:p>
    <w:p w14:paraId="142B866A">
      <w:pPr>
        <w:numPr>
          <w:ilvl w:val="1"/>
          <w:numId w:val="2"/>
        </w:numPr>
        <w:spacing w:after="120" w:afterLines="50"/>
        <w:ind w:firstLine="482" w:firstLineChars="200"/>
        <w:outlineLvl w:val="0"/>
        <w:rPr>
          <w:rFonts w:ascii="Times New Roman"/>
          <w:b/>
          <w:bCs/>
        </w:rPr>
      </w:pPr>
      <w:bookmarkStart w:id="28" w:name="_Toc26776"/>
      <w:bookmarkStart w:id="29" w:name="_Toc21638190"/>
      <w:bookmarkStart w:id="30" w:name="_Toc22231306"/>
      <w:r>
        <w:rPr>
          <w:rFonts w:hint="eastAsia" w:ascii="Times New Roman"/>
          <w:b/>
          <w:bCs/>
        </w:rPr>
        <w:t>工程施工管理</w:t>
      </w:r>
      <w:bookmarkEnd w:id="28"/>
      <w:bookmarkEnd w:id="29"/>
      <w:bookmarkEnd w:id="30"/>
    </w:p>
    <w:p w14:paraId="16F63B2E">
      <w:pPr>
        <w:numPr>
          <w:ilvl w:val="0"/>
          <w:numId w:val="6"/>
        </w:numPr>
        <w:ind w:left="0" w:firstLine="567"/>
        <w:rPr>
          <w:rFonts w:ascii="Times New Roman"/>
          <w:szCs w:val="21"/>
        </w:rPr>
      </w:pPr>
      <w:r>
        <w:rPr>
          <w:rFonts w:ascii="Times New Roman"/>
          <w:szCs w:val="21"/>
        </w:rPr>
        <w:t>工程施工总进度计划</w:t>
      </w:r>
    </w:p>
    <w:p w14:paraId="4464CF9E">
      <w:pPr>
        <w:ind w:firstLine="480" w:firstLineChars="200"/>
        <w:rPr>
          <w:rFonts w:ascii="Times New Roman"/>
          <w:szCs w:val="21"/>
        </w:rPr>
      </w:pPr>
      <w:r>
        <w:rPr>
          <w:rFonts w:hint="eastAsia" w:ascii="Times New Roman"/>
          <w:szCs w:val="21"/>
        </w:rPr>
        <w:t>施工方</w:t>
      </w:r>
      <w:r>
        <w:rPr>
          <w:rFonts w:ascii="Times New Roman"/>
          <w:szCs w:val="21"/>
        </w:rPr>
        <w:t>在</w:t>
      </w:r>
      <w:r>
        <w:rPr>
          <w:rFonts w:hint="eastAsia" w:ascii="Times New Roman"/>
          <w:szCs w:val="21"/>
        </w:rPr>
        <w:t>业主方指定时间</w:t>
      </w:r>
      <w:r>
        <w:rPr>
          <w:rFonts w:ascii="Times New Roman"/>
          <w:szCs w:val="21"/>
        </w:rPr>
        <w:t>内，向</w:t>
      </w:r>
      <w:r>
        <w:rPr>
          <w:rFonts w:hint="eastAsia" w:ascii="Times New Roman"/>
          <w:szCs w:val="21"/>
        </w:rPr>
        <w:t>业主方</w:t>
      </w:r>
      <w:r>
        <w:rPr>
          <w:rFonts w:ascii="Times New Roman"/>
          <w:szCs w:val="21"/>
        </w:rPr>
        <w:t>递交完成本工程项目的详细施工总进度网络计划，该施工总进度网络计划应表明各项作业的计划程序；</w:t>
      </w:r>
      <w:r>
        <w:rPr>
          <w:rFonts w:hint="eastAsia" w:ascii="Times New Roman"/>
          <w:szCs w:val="21"/>
        </w:rPr>
        <w:t>需要明确多次进场时间点，</w:t>
      </w:r>
      <w:r>
        <w:rPr>
          <w:rFonts w:ascii="Times New Roman"/>
          <w:szCs w:val="21"/>
        </w:rPr>
        <w:t>各项工程的开工日期和完工日期；材料和设备的交货安排等。</w:t>
      </w:r>
    </w:p>
    <w:p w14:paraId="519D5080">
      <w:pPr>
        <w:numPr>
          <w:ilvl w:val="0"/>
          <w:numId w:val="6"/>
        </w:numPr>
        <w:ind w:left="0" w:firstLine="567"/>
        <w:rPr>
          <w:rFonts w:ascii="Times New Roman"/>
          <w:szCs w:val="21"/>
        </w:rPr>
      </w:pPr>
      <w:r>
        <w:rPr>
          <w:rFonts w:ascii="Times New Roman"/>
          <w:szCs w:val="21"/>
        </w:rPr>
        <w:t>工程进度实施报告</w:t>
      </w:r>
    </w:p>
    <w:p w14:paraId="3B6AEE4A">
      <w:pPr>
        <w:ind w:firstLine="480" w:firstLineChars="200"/>
        <w:rPr>
          <w:rFonts w:ascii="Times New Roman"/>
          <w:szCs w:val="21"/>
        </w:rPr>
      </w:pPr>
      <w:r>
        <w:rPr>
          <w:rFonts w:hint="eastAsia" w:ascii="Times New Roman"/>
          <w:szCs w:val="21"/>
        </w:rPr>
        <w:t>施工方</w:t>
      </w:r>
      <w:r>
        <w:rPr>
          <w:rFonts w:ascii="Times New Roman"/>
          <w:szCs w:val="21"/>
        </w:rPr>
        <w:t>在</w:t>
      </w:r>
      <w:r>
        <w:rPr>
          <w:rFonts w:hint="eastAsia" w:ascii="Times New Roman"/>
          <w:szCs w:val="21"/>
        </w:rPr>
        <w:t>施工</w:t>
      </w:r>
      <w:r>
        <w:rPr>
          <w:rFonts w:ascii="Times New Roman"/>
          <w:szCs w:val="21"/>
        </w:rPr>
        <w:t>之前向</w:t>
      </w:r>
      <w:r>
        <w:rPr>
          <w:rFonts w:hint="eastAsia" w:ascii="Times New Roman"/>
          <w:szCs w:val="21"/>
        </w:rPr>
        <w:t>业主方</w:t>
      </w:r>
      <w:r>
        <w:rPr>
          <w:rFonts w:ascii="Times New Roman"/>
          <w:szCs w:val="21"/>
        </w:rPr>
        <w:t>递交上月的工程进度实施报告，报告应附有适当的说明，形象进度的示意图或照片，以满足</w:t>
      </w:r>
      <w:r>
        <w:rPr>
          <w:rFonts w:hint="eastAsia" w:ascii="Times New Roman"/>
          <w:szCs w:val="21"/>
        </w:rPr>
        <w:t>业主方</w:t>
      </w:r>
      <w:r>
        <w:rPr>
          <w:rFonts w:ascii="Times New Roman"/>
          <w:szCs w:val="21"/>
        </w:rPr>
        <w:t>能有效的审批工程进度，否则</w:t>
      </w:r>
      <w:r>
        <w:rPr>
          <w:rFonts w:hint="eastAsia" w:ascii="Times New Roman"/>
          <w:szCs w:val="21"/>
        </w:rPr>
        <w:t>业主方</w:t>
      </w:r>
      <w:r>
        <w:rPr>
          <w:rFonts w:ascii="Times New Roman"/>
          <w:szCs w:val="21"/>
        </w:rPr>
        <w:t>有权要求重报。</w:t>
      </w:r>
    </w:p>
    <w:p w14:paraId="76346C65">
      <w:pPr>
        <w:numPr>
          <w:ilvl w:val="0"/>
          <w:numId w:val="6"/>
        </w:numPr>
        <w:ind w:left="0" w:firstLine="567"/>
        <w:rPr>
          <w:rFonts w:ascii="Times New Roman"/>
          <w:szCs w:val="21"/>
        </w:rPr>
      </w:pPr>
      <w:r>
        <w:rPr>
          <w:rFonts w:hint="eastAsia" w:ascii="Times New Roman"/>
          <w:szCs w:val="21"/>
        </w:rPr>
        <w:t>施工工程量清单</w:t>
      </w:r>
    </w:p>
    <w:p w14:paraId="51FC78C5">
      <w:pPr>
        <w:ind w:firstLine="480" w:firstLineChars="200"/>
      </w:pPr>
      <w:r>
        <w:rPr>
          <w:rFonts w:hint="eastAsia" w:ascii="Times New Roman"/>
          <w:szCs w:val="21"/>
        </w:rPr>
        <w:t>施工方</w:t>
      </w:r>
      <w:r>
        <w:rPr>
          <w:rFonts w:ascii="Times New Roman"/>
          <w:szCs w:val="21"/>
        </w:rPr>
        <w:t>在项目施工过程中，应按照工程量清单所列项目，</w:t>
      </w:r>
      <w:r>
        <w:rPr>
          <w:rFonts w:hint="eastAsia" w:ascii="Times New Roman"/>
          <w:szCs w:val="21"/>
        </w:rPr>
        <w:t>在每道安装工序完成</w:t>
      </w:r>
      <w:r>
        <w:rPr>
          <w:rFonts w:ascii="Times New Roman"/>
          <w:szCs w:val="21"/>
        </w:rPr>
        <w:t>后</w:t>
      </w:r>
      <w:r>
        <w:rPr>
          <w:rFonts w:hint="eastAsia" w:ascii="Times New Roman"/>
          <w:szCs w:val="21"/>
        </w:rPr>
        <w:t>据实</w:t>
      </w:r>
      <w:r>
        <w:rPr>
          <w:rFonts w:ascii="Times New Roman"/>
          <w:szCs w:val="21"/>
        </w:rPr>
        <w:t>提供所完成的工程量</w:t>
      </w:r>
      <w:r>
        <w:rPr>
          <w:rFonts w:hint="eastAsia" w:ascii="Times New Roman"/>
          <w:szCs w:val="21"/>
        </w:rPr>
        <w:t>报表</w:t>
      </w:r>
      <w:r>
        <w:rPr>
          <w:rFonts w:ascii="Times New Roman"/>
          <w:szCs w:val="21"/>
        </w:rPr>
        <w:t>报</w:t>
      </w:r>
      <w:r>
        <w:rPr>
          <w:rFonts w:hint="eastAsia" w:ascii="Times New Roman"/>
          <w:szCs w:val="21"/>
        </w:rPr>
        <w:t>招标单位</w:t>
      </w:r>
      <w:r>
        <w:rPr>
          <w:rFonts w:ascii="Times New Roman"/>
          <w:szCs w:val="21"/>
        </w:rPr>
        <w:t>审批，</w:t>
      </w:r>
      <w:r>
        <w:rPr>
          <w:rFonts w:hint="eastAsia" w:ascii="Times New Roman"/>
          <w:szCs w:val="21"/>
        </w:rPr>
        <w:t>经业主</w:t>
      </w:r>
      <w:r>
        <w:rPr>
          <w:rFonts w:ascii="Times New Roman"/>
          <w:szCs w:val="21"/>
        </w:rPr>
        <w:t>审批</w:t>
      </w:r>
      <w:r>
        <w:rPr>
          <w:rFonts w:hint="eastAsia" w:ascii="Times New Roman"/>
          <w:szCs w:val="21"/>
        </w:rPr>
        <w:t>后的报表将作为项目的结算依据。</w:t>
      </w:r>
    </w:p>
    <w:p w14:paraId="18942891">
      <w:pPr>
        <w:numPr>
          <w:ilvl w:val="1"/>
          <w:numId w:val="2"/>
        </w:numPr>
        <w:spacing w:after="120" w:afterLines="50"/>
        <w:ind w:firstLine="482" w:firstLineChars="200"/>
        <w:outlineLvl w:val="0"/>
        <w:rPr>
          <w:rFonts w:ascii="Times New Roman"/>
          <w:b/>
          <w:bCs/>
        </w:rPr>
      </w:pPr>
      <w:bookmarkStart w:id="31" w:name="_Toc22231308"/>
      <w:bookmarkStart w:id="32" w:name="_Toc3994"/>
      <w:bookmarkStart w:id="33" w:name="_Toc21638192"/>
      <w:r>
        <w:rPr>
          <w:rFonts w:hint="eastAsia" w:ascii="Times New Roman"/>
          <w:b/>
          <w:bCs/>
        </w:rPr>
        <w:t>对施工方的要求</w:t>
      </w:r>
      <w:bookmarkEnd w:id="31"/>
      <w:bookmarkEnd w:id="32"/>
      <w:bookmarkEnd w:id="33"/>
    </w:p>
    <w:p w14:paraId="5CA1C4CB">
      <w:pPr>
        <w:numPr>
          <w:ilvl w:val="0"/>
          <w:numId w:val="7"/>
        </w:numPr>
        <w:rPr>
          <w:rFonts w:ascii="Times New Roman"/>
          <w:szCs w:val="21"/>
        </w:rPr>
      </w:pPr>
      <w:r>
        <w:rPr>
          <w:rFonts w:ascii="Times New Roman"/>
          <w:szCs w:val="21"/>
        </w:rPr>
        <w:t>施工技术文件应齐全有效，如施工图、施工组织设计、质量计划、工艺评定标准，及相关技术标准、规范、标准图等。</w:t>
      </w:r>
    </w:p>
    <w:p w14:paraId="40E8EE6F">
      <w:pPr>
        <w:numPr>
          <w:ilvl w:val="0"/>
          <w:numId w:val="7"/>
        </w:numPr>
        <w:rPr>
          <w:rFonts w:ascii="Times New Roman"/>
          <w:szCs w:val="21"/>
        </w:rPr>
      </w:pPr>
      <w:r>
        <w:rPr>
          <w:rFonts w:ascii="Times New Roman"/>
          <w:szCs w:val="21"/>
        </w:rPr>
        <w:t>参与施工的作业人员应具备相应的施工技术资质，需要时应安排对该项施工作业的适应性培训，考核合格者才能准许上岗作业。高空作业人员需要具备登高证。</w:t>
      </w:r>
    </w:p>
    <w:p w14:paraId="658A7D2B">
      <w:pPr>
        <w:numPr>
          <w:ilvl w:val="0"/>
          <w:numId w:val="7"/>
        </w:numPr>
        <w:rPr>
          <w:rFonts w:ascii="Times New Roman"/>
          <w:szCs w:val="21"/>
        </w:rPr>
      </w:pPr>
      <w:r>
        <w:rPr>
          <w:rFonts w:ascii="Times New Roman"/>
          <w:szCs w:val="21"/>
        </w:rPr>
        <w:t>本项施工作业应使用的机具性能必须满足施工特性需要，且操作安全可靠，用于检测的计量器具量程、精确度应符合测量对象的要求，且在规定的有规检定周期内。</w:t>
      </w:r>
    </w:p>
    <w:p w14:paraId="2CE9E216">
      <w:pPr>
        <w:numPr>
          <w:ilvl w:val="0"/>
          <w:numId w:val="7"/>
        </w:numPr>
        <w:rPr>
          <w:rFonts w:ascii="Times New Roman"/>
          <w:szCs w:val="21"/>
        </w:rPr>
      </w:pPr>
      <w:r>
        <w:rPr>
          <w:rFonts w:ascii="Times New Roman"/>
          <w:szCs w:val="21"/>
        </w:rPr>
        <w:t>施工环境</w:t>
      </w:r>
    </w:p>
    <w:p w14:paraId="3796EC66">
      <w:pPr>
        <w:autoSpaceDE w:val="0"/>
        <w:autoSpaceDN w:val="0"/>
        <w:adjustRightInd w:val="0"/>
        <w:snapToGrid w:val="0"/>
        <w:ind w:left="454" w:right="156" w:firstLine="240" w:firstLineChars="100"/>
        <w:rPr>
          <w:rFonts w:ascii="Times New Roman"/>
          <w:kern w:val="0"/>
          <w:szCs w:val="21"/>
        </w:rPr>
      </w:pPr>
      <w:r>
        <w:rPr>
          <w:rFonts w:ascii="Times New Roman"/>
          <w:kern w:val="0"/>
          <w:szCs w:val="21"/>
        </w:rPr>
        <w:t>① 现场电缆均为带电运行，施工期间需注意施工人员的人身安全。</w:t>
      </w:r>
    </w:p>
    <w:p w14:paraId="7D3E4A5E">
      <w:pPr>
        <w:autoSpaceDE w:val="0"/>
        <w:autoSpaceDN w:val="0"/>
        <w:adjustRightInd w:val="0"/>
        <w:snapToGrid w:val="0"/>
        <w:ind w:left="454" w:right="156" w:firstLine="240" w:firstLineChars="100"/>
        <w:rPr>
          <w:rFonts w:ascii="Times New Roman"/>
          <w:kern w:val="0"/>
          <w:szCs w:val="21"/>
        </w:rPr>
      </w:pPr>
      <w:r>
        <w:rPr>
          <w:rFonts w:ascii="Times New Roman"/>
          <w:kern w:val="0"/>
          <w:szCs w:val="21"/>
        </w:rPr>
        <w:t>② 现场用电用火需注意做好消防措施。</w:t>
      </w:r>
      <w:bookmarkStart w:id="34" w:name="_Toc446167879"/>
    </w:p>
    <w:p w14:paraId="273E1203">
      <w:pPr>
        <w:numPr>
          <w:ilvl w:val="0"/>
          <w:numId w:val="7"/>
        </w:numPr>
        <w:rPr>
          <w:rFonts w:ascii="Times New Roman"/>
          <w:szCs w:val="21"/>
        </w:rPr>
      </w:pPr>
      <w:r>
        <w:rPr>
          <w:rFonts w:hint="eastAsia" w:ascii="Times New Roman"/>
          <w:szCs w:val="21"/>
        </w:rPr>
        <w:t>施工方需要再业主方规定时间内进行现场勘察并完成三维建模示意图并交付业主方进行审核。</w:t>
      </w:r>
    </w:p>
    <w:p w14:paraId="4FC2A260">
      <w:pPr>
        <w:numPr>
          <w:ilvl w:val="0"/>
          <w:numId w:val="7"/>
        </w:numPr>
        <w:rPr>
          <w:rFonts w:ascii="Times New Roman"/>
          <w:szCs w:val="21"/>
        </w:rPr>
      </w:pPr>
      <w:r>
        <w:rPr>
          <w:rFonts w:hint="eastAsia" w:ascii="Times New Roman"/>
          <w:szCs w:val="21"/>
        </w:rPr>
        <w:t>施工方施工需结合业主方机组改造时间，部分位置允许带电作业，需做好相应的防护，水车室内等位置需要结合机组改造时进行作业。</w:t>
      </w:r>
    </w:p>
    <w:bookmarkEnd w:id="34"/>
    <w:p w14:paraId="60A610DF">
      <w:pPr>
        <w:numPr>
          <w:ilvl w:val="1"/>
          <w:numId w:val="2"/>
        </w:numPr>
        <w:spacing w:after="120" w:afterLines="50"/>
        <w:ind w:firstLine="482" w:firstLineChars="200"/>
        <w:outlineLvl w:val="0"/>
        <w:rPr>
          <w:rFonts w:ascii="Times New Roman"/>
          <w:b/>
          <w:bCs/>
        </w:rPr>
      </w:pPr>
      <w:bookmarkStart w:id="35" w:name="_Toc22231309"/>
      <w:bookmarkStart w:id="36" w:name="_Toc17109"/>
      <w:bookmarkStart w:id="37" w:name="_Toc21638193"/>
      <w:r>
        <w:rPr>
          <w:rFonts w:hint="eastAsia" w:ascii="Times New Roman"/>
          <w:b/>
          <w:bCs/>
        </w:rPr>
        <w:t>对施工方的要求和说明</w:t>
      </w:r>
      <w:bookmarkEnd w:id="35"/>
      <w:bookmarkEnd w:id="36"/>
      <w:bookmarkEnd w:id="37"/>
    </w:p>
    <w:p w14:paraId="7D078692">
      <w:pPr>
        <w:numPr>
          <w:ilvl w:val="0"/>
          <w:numId w:val="8"/>
        </w:numPr>
        <w:rPr>
          <w:rFonts w:ascii="Times New Roman"/>
          <w:szCs w:val="21"/>
        </w:rPr>
      </w:pPr>
      <w:r>
        <w:rPr>
          <w:rFonts w:hint="eastAsia" w:ascii="Times New Roman"/>
        </w:rPr>
        <w:t>鲁布革</w:t>
      </w:r>
      <w:r>
        <w:rPr>
          <w:rFonts w:ascii="Times New Roman"/>
        </w:rPr>
        <w:t>水电厂</w:t>
      </w:r>
      <w:r>
        <w:rPr>
          <w:rFonts w:ascii="Times New Roman"/>
          <w:szCs w:val="21"/>
        </w:rPr>
        <w:t>为已建工程，并已投入运行。</w:t>
      </w:r>
      <w:r>
        <w:rPr>
          <w:rFonts w:hint="eastAsia" w:ascii="Times New Roman"/>
          <w:szCs w:val="21"/>
        </w:rPr>
        <w:t>施工方</w:t>
      </w:r>
      <w:r>
        <w:rPr>
          <w:rFonts w:ascii="Times New Roman"/>
          <w:szCs w:val="21"/>
        </w:rPr>
        <w:t>在施工时需与运行单位保持密切联系，做好安全防护措施。</w:t>
      </w:r>
    </w:p>
    <w:p w14:paraId="381EAACE">
      <w:pPr>
        <w:numPr>
          <w:ilvl w:val="0"/>
          <w:numId w:val="8"/>
        </w:numPr>
        <w:rPr>
          <w:rFonts w:ascii="Times New Roman"/>
          <w:szCs w:val="21"/>
        </w:rPr>
      </w:pPr>
      <w:r>
        <w:rPr>
          <w:rFonts w:ascii="Times New Roman"/>
          <w:szCs w:val="21"/>
        </w:rPr>
        <w:t>电缆桥架与接地网连接，负责接地线焊接后的敷设及防锈处理。接地线应直接与接地网的接地干线相连，不得形成串接的方式，双引下线应分别接入地网。</w:t>
      </w:r>
    </w:p>
    <w:p w14:paraId="0FD90C73">
      <w:pPr>
        <w:numPr>
          <w:ilvl w:val="0"/>
          <w:numId w:val="8"/>
        </w:numPr>
        <w:rPr>
          <w:rFonts w:ascii="Times New Roman"/>
          <w:szCs w:val="21"/>
        </w:rPr>
      </w:pPr>
      <w:r>
        <w:rPr>
          <w:rFonts w:ascii="Times New Roman"/>
          <w:szCs w:val="21"/>
        </w:rPr>
        <w:t>设备正式移交之前的运行、维护应由</w:t>
      </w:r>
      <w:r>
        <w:rPr>
          <w:rFonts w:hint="eastAsia" w:ascii="Times New Roman"/>
          <w:szCs w:val="21"/>
        </w:rPr>
        <w:t>施工方</w:t>
      </w:r>
      <w:r>
        <w:rPr>
          <w:rFonts w:ascii="Times New Roman"/>
          <w:szCs w:val="21"/>
        </w:rPr>
        <w:t>负责。试运行期间发现的缺陷、发生的事故，如因施工或管理不善所致，应由</w:t>
      </w:r>
      <w:r>
        <w:rPr>
          <w:rFonts w:hint="eastAsia" w:ascii="Times New Roman"/>
          <w:szCs w:val="21"/>
        </w:rPr>
        <w:t>施工方</w:t>
      </w:r>
      <w:r>
        <w:rPr>
          <w:rFonts w:ascii="Times New Roman"/>
          <w:szCs w:val="21"/>
        </w:rPr>
        <w:t>负责修复、处理，且不得向</w:t>
      </w:r>
      <w:r>
        <w:rPr>
          <w:rFonts w:hint="eastAsia" w:ascii="Times New Roman"/>
          <w:szCs w:val="21"/>
        </w:rPr>
        <w:t>业主方</w:t>
      </w:r>
      <w:r>
        <w:rPr>
          <w:rFonts w:ascii="Times New Roman"/>
          <w:szCs w:val="21"/>
        </w:rPr>
        <w:t>索取额外费用。</w:t>
      </w:r>
    </w:p>
    <w:p w14:paraId="26B4326A">
      <w:pPr>
        <w:numPr>
          <w:ilvl w:val="1"/>
          <w:numId w:val="2"/>
        </w:numPr>
        <w:spacing w:after="120" w:afterLines="50"/>
        <w:ind w:firstLine="482" w:firstLineChars="200"/>
        <w:outlineLvl w:val="0"/>
        <w:rPr>
          <w:rFonts w:ascii="Times New Roman"/>
          <w:b/>
          <w:bCs/>
        </w:rPr>
      </w:pPr>
      <w:bookmarkStart w:id="38" w:name="_Toc21638194"/>
      <w:bookmarkStart w:id="39" w:name="_Toc24461"/>
      <w:bookmarkStart w:id="40" w:name="_Toc22231310"/>
      <w:r>
        <w:rPr>
          <w:rFonts w:hint="eastAsia" w:ascii="Times New Roman"/>
          <w:b/>
          <w:bCs/>
        </w:rPr>
        <w:t>文明施工要求和措施</w:t>
      </w:r>
      <w:bookmarkEnd w:id="38"/>
      <w:bookmarkEnd w:id="39"/>
      <w:bookmarkEnd w:id="40"/>
    </w:p>
    <w:p w14:paraId="57624A4D">
      <w:pPr>
        <w:numPr>
          <w:ilvl w:val="0"/>
          <w:numId w:val="9"/>
        </w:numPr>
        <w:rPr>
          <w:rFonts w:ascii="Times New Roman"/>
          <w:szCs w:val="21"/>
        </w:rPr>
      </w:pPr>
      <w:bookmarkStart w:id="41" w:name="_Toc5868"/>
      <w:r>
        <w:rPr>
          <w:rFonts w:hint="eastAsia" w:ascii="Times New Roman"/>
          <w:szCs w:val="21"/>
        </w:rPr>
        <w:t>办理工作票许可手续并布置好安全措施后，工作班成员方可进入作业现场。</w:t>
      </w:r>
    </w:p>
    <w:p w14:paraId="7AD9C4BE">
      <w:pPr>
        <w:numPr>
          <w:ilvl w:val="0"/>
          <w:numId w:val="9"/>
        </w:numPr>
        <w:rPr>
          <w:rFonts w:ascii="Times New Roman"/>
          <w:szCs w:val="21"/>
        </w:rPr>
      </w:pPr>
      <w:r>
        <w:rPr>
          <w:rFonts w:hint="eastAsia" w:ascii="Times New Roman"/>
          <w:szCs w:val="21"/>
        </w:rPr>
        <w:t>工作前对所有施工人员进行现场安全教育，交待现场安全注意事项。</w:t>
      </w:r>
    </w:p>
    <w:p w14:paraId="4CAD3552">
      <w:pPr>
        <w:numPr>
          <w:ilvl w:val="0"/>
          <w:numId w:val="9"/>
        </w:numPr>
        <w:rPr>
          <w:rFonts w:ascii="Times New Roman"/>
          <w:szCs w:val="21"/>
        </w:rPr>
      </w:pPr>
      <w:r>
        <w:rPr>
          <w:rFonts w:hint="eastAsia" w:ascii="Times New Roman"/>
          <w:szCs w:val="21"/>
        </w:rPr>
        <w:t>施工作业必须有安全技术措施，并在施工前进行交底。已交底的措施，未经技术</w:t>
      </w:r>
    </w:p>
    <w:p w14:paraId="6E65D98E">
      <w:pPr>
        <w:numPr>
          <w:ilvl w:val="0"/>
          <w:numId w:val="9"/>
        </w:numPr>
        <w:rPr>
          <w:rFonts w:ascii="Times New Roman"/>
          <w:szCs w:val="21"/>
        </w:rPr>
      </w:pPr>
      <w:r>
        <w:rPr>
          <w:rFonts w:hint="eastAsia" w:ascii="Times New Roman"/>
          <w:szCs w:val="21"/>
        </w:rPr>
        <w:t>负责人同意，不得擅自变更。</w:t>
      </w:r>
    </w:p>
    <w:p w14:paraId="3A833E3D">
      <w:pPr>
        <w:numPr>
          <w:ilvl w:val="0"/>
          <w:numId w:val="9"/>
        </w:numPr>
        <w:rPr>
          <w:rFonts w:ascii="Times New Roman"/>
          <w:szCs w:val="21"/>
        </w:rPr>
      </w:pPr>
      <w:r>
        <w:rPr>
          <w:rFonts w:hint="eastAsia" w:ascii="Times New Roman"/>
          <w:szCs w:val="21"/>
        </w:rPr>
        <w:t>做到工完、料尽、场清。施工时，材料定量供应，有序摆放，使场地容易清理。</w:t>
      </w:r>
    </w:p>
    <w:p w14:paraId="68A8EA5C">
      <w:pPr>
        <w:numPr>
          <w:ilvl w:val="0"/>
          <w:numId w:val="2"/>
        </w:numPr>
        <w:spacing w:after="120" w:afterLines="50" w:line="240" w:lineRule="auto"/>
        <w:outlineLvl w:val="0"/>
        <w:rPr>
          <w:rFonts w:ascii="Times New Roman"/>
          <w:b/>
          <w:bCs/>
          <w:sz w:val="28"/>
          <w:szCs w:val="28"/>
        </w:rPr>
      </w:pPr>
      <w:bookmarkStart w:id="42" w:name="_Toc6297"/>
      <w:r>
        <w:rPr>
          <w:rFonts w:ascii="Times New Roman"/>
          <w:b/>
          <w:bCs/>
          <w:sz w:val="28"/>
          <w:szCs w:val="28"/>
        </w:rPr>
        <w:t>技术规范要求</w:t>
      </w:r>
      <w:bookmarkEnd w:id="41"/>
      <w:bookmarkEnd w:id="42"/>
    </w:p>
    <w:p w14:paraId="746B3B9E">
      <w:pPr>
        <w:numPr>
          <w:ilvl w:val="1"/>
          <w:numId w:val="2"/>
        </w:numPr>
        <w:spacing w:after="120" w:afterLines="50" w:line="240" w:lineRule="auto"/>
        <w:outlineLvl w:val="0"/>
        <w:rPr>
          <w:rFonts w:ascii="Times New Roman"/>
          <w:b/>
          <w:bCs/>
          <w:sz w:val="28"/>
          <w:szCs w:val="28"/>
        </w:rPr>
      </w:pPr>
      <w:bookmarkStart w:id="43" w:name="_Toc26765"/>
      <w:r>
        <w:rPr>
          <w:rFonts w:ascii="Times New Roman"/>
          <w:b/>
          <w:bCs/>
          <w:sz w:val="28"/>
          <w:szCs w:val="28"/>
        </w:rPr>
        <w:t>桥架部分技术要求</w:t>
      </w:r>
      <w:bookmarkEnd w:id="43"/>
    </w:p>
    <w:p w14:paraId="2BC768D3">
      <w:pPr>
        <w:spacing w:before="120" w:beforeLines="50" w:line="440" w:lineRule="exact"/>
        <w:rPr>
          <w:rFonts w:ascii="Times New Roman"/>
        </w:rPr>
      </w:pPr>
      <w:r>
        <w:rPr>
          <w:rFonts w:ascii="Times New Roman"/>
        </w:rPr>
        <w:t>5.3.1 电缆桥架结构型式</w:t>
      </w:r>
    </w:p>
    <w:p w14:paraId="751D562C">
      <w:pPr>
        <w:widowControl/>
        <w:spacing w:line="440" w:lineRule="exact"/>
        <w:ind w:firstLine="480" w:firstLineChars="200"/>
        <w:jc w:val="left"/>
        <w:rPr>
          <w:rFonts w:ascii="Times New Roman"/>
        </w:rPr>
      </w:pPr>
      <w:r>
        <w:rPr>
          <w:rFonts w:ascii="Times New Roman"/>
          <w:szCs w:val="21"/>
        </w:rPr>
        <w:t>（1）</w:t>
      </w:r>
      <w:r>
        <w:rPr>
          <w:rFonts w:ascii="Times New Roman"/>
        </w:rPr>
        <w:t>电缆桥架型式为不锈钢制电缆桥架，采用托盘式，带电缆桥架护罩。所有电缆桥架型式与规格根据设计文件及现场整改需要确定。</w:t>
      </w:r>
    </w:p>
    <w:p w14:paraId="44486D9B">
      <w:pPr>
        <w:widowControl/>
        <w:spacing w:line="440" w:lineRule="exact"/>
        <w:ind w:firstLine="480" w:firstLineChars="200"/>
        <w:jc w:val="left"/>
        <w:rPr>
          <w:rFonts w:ascii="Times New Roman"/>
        </w:rPr>
      </w:pPr>
      <w:r>
        <w:rPr>
          <w:rFonts w:ascii="Times New Roman"/>
          <w:szCs w:val="21"/>
        </w:rPr>
        <w:t>（2）</w:t>
      </w:r>
      <w:r>
        <w:rPr>
          <w:rFonts w:ascii="Times New Roman"/>
        </w:rPr>
        <w:t>穿墙电缆、楼板底电缆及其它大量电缆引出的部位，应充分考虑电缆检修维护及电缆串层要求。采用吊顶式安装，一侧面或两侧面加装可拆卸式活动柜门封闭，活动柜门结构合理，采用电柜门锁固定，易于开启关闭，便于电缆检修维护。</w:t>
      </w:r>
    </w:p>
    <w:p w14:paraId="470E113F">
      <w:pPr>
        <w:widowControl/>
        <w:spacing w:line="440" w:lineRule="exact"/>
        <w:ind w:firstLine="480" w:firstLineChars="200"/>
        <w:jc w:val="left"/>
        <w:rPr>
          <w:rFonts w:ascii="Times New Roman"/>
        </w:rPr>
      </w:pPr>
      <w:r>
        <w:rPr>
          <w:rFonts w:ascii="Times New Roman"/>
          <w:szCs w:val="21"/>
        </w:rPr>
        <w:t>（3）</w:t>
      </w:r>
      <w:r>
        <w:rPr>
          <w:rFonts w:ascii="Times New Roman"/>
        </w:rPr>
        <w:t>电缆交叉、换层处，电缆不断地更新，不可避免地存在电缆交织缠绕现象，同时电缆走向中也有多处电缆分支、交叉。从现场实际情况出发，针对这些地方设置专用的电缆转换箱，将换层、交叉的电缆集中到电缆转换箱内，保证整体工程的整洁。</w:t>
      </w:r>
    </w:p>
    <w:p w14:paraId="2B74B129">
      <w:pPr>
        <w:pStyle w:val="7"/>
        <w:ind w:firstLine="480"/>
        <w:rPr>
          <w:rFonts w:ascii="Times New Roman"/>
        </w:rPr>
      </w:pPr>
      <w:r>
        <w:rPr>
          <w:rFonts w:ascii="Times New Roman"/>
          <w:szCs w:val="21"/>
        </w:rPr>
        <w:t>（4）</w:t>
      </w:r>
      <w:r>
        <w:rPr>
          <w:rFonts w:ascii="Times New Roman"/>
        </w:rPr>
        <w:t>所有到用电负荷的电缆，如果没有埋管，均采用电缆桥架并带盖板封闭。</w:t>
      </w:r>
    </w:p>
    <w:p w14:paraId="5A45CBAF">
      <w:pPr>
        <w:pStyle w:val="7"/>
        <w:ind w:firstLine="0" w:firstLineChars="0"/>
        <w:rPr>
          <w:rFonts w:ascii="Times New Roman"/>
        </w:rPr>
      </w:pPr>
      <w:r>
        <w:rPr>
          <w:rFonts w:ascii="Times New Roman"/>
        </w:rPr>
        <w:t>5.3.2 主要技术特性</w:t>
      </w:r>
    </w:p>
    <w:p w14:paraId="309037A4">
      <w:pPr>
        <w:widowControl/>
        <w:spacing w:line="440" w:lineRule="exact"/>
        <w:ind w:firstLine="480" w:firstLineChars="200"/>
        <w:jc w:val="left"/>
        <w:rPr>
          <w:rFonts w:ascii="Times New Roman"/>
        </w:rPr>
      </w:pPr>
      <w:r>
        <w:rPr>
          <w:rFonts w:ascii="Times New Roman"/>
          <w:szCs w:val="21"/>
        </w:rPr>
        <w:t>（1）</w:t>
      </w:r>
      <w:r>
        <w:rPr>
          <w:rFonts w:ascii="Times New Roman"/>
        </w:rPr>
        <w:t>电缆桥架、活动柜门及百叶封板所用钢板采用304不锈钢钢板；包箱门及百叶封板厚度为2.0mm，包箱护罩（蒙皮）厚度为1.5mm。100mm宽的桥架及护罩厚度为1.2mm。</w:t>
      </w:r>
    </w:p>
    <w:p w14:paraId="755C8320">
      <w:pPr>
        <w:widowControl/>
        <w:spacing w:line="440" w:lineRule="exact"/>
        <w:ind w:firstLine="480" w:firstLineChars="200"/>
        <w:jc w:val="left"/>
        <w:rPr>
          <w:rFonts w:ascii="Times New Roman"/>
        </w:rPr>
      </w:pPr>
      <w:r>
        <w:rPr>
          <w:rFonts w:ascii="Times New Roman"/>
          <w:szCs w:val="21"/>
        </w:rPr>
        <w:t>（2）</w:t>
      </w:r>
      <w:r>
        <w:rPr>
          <w:rFonts w:ascii="Times New Roman"/>
        </w:rPr>
        <w:t>不锈钢电缆桥架应采用材料牌号为06Cr19Ni10N《常用不锈钢成分》(GB/T 20878-2007）（对应美标牌号304）的不锈钢。</w:t>
      </w:r>
    </w:p>
    <w:p w14:paraId="7A65366B">
      <w:pPr>
        <w:widowControl/>
        <w:spacing w:line="440" w:lineRule="exact"/>
        <w:ind w:firstLine="480" w:firstLineChars="200"/>
        <w:jc w:val="left"/>
        <w:rPr>
          <w:rFonts w:ascii="Times New Roman"/>
        </w:rPr>
      </w:pPr>
      <w:r>
        <w:rPr>
          <w:rFonts w:ascii="Times New Roman"/>
          <w:szCs w:val="21"/>
        </w:rPr>
        <w:t>（3）</w:t>
      </w:r>
      <w:r>
        <w:rPr>
          <w:rFonts w:ascii="Times New Roman"/>
        </w:rPr>
        <w:t>桥架表面为国标拉丝面，材料需要有保护膜包裹保护；</w:t>
      </w:r>
    </w:p>
    <w:p w14:paraId="0A707185">
      <w:pPr>
        <w:widowControl/>
        <w:spacing w:line="440" w:lineRule="exact"/>
        <w:ind w:firstLine="480" w:firstLineChars="200"/>
        <w:jc w:val="left"/>
        <w:rPr>
          <w:rFonts w:ascii="Times New Roman"/>
        </w:rPr>
      </w:pPr>
      <w:r>
        <w:rPr>
          <w:rFonts w:ascii="Times New Roman"/>
          <w:szCs w:val="21"/>
        </w:rPr>
        <w:t>（4）</w:t>
      </w:r>
      <w:r>
        <w:rPr>
          <w:rFonts w:ascii="Times New Roman"/>
        </w:rPr>
        <w:t>电缆桥架内外表面不得有易损坏电缆的毛刺，表面应光洁平整，不得有刮痕、花斑等；电缆槽架要方正，不得有变形；</w:t>
      </w:r>
    </w:p>
    <w:p w14:paraId="0E00CB7D">
      <w:pPr>
        <w:widowControl/>
        <w:spacing w:line="440" w:lineRule="exact"/>
        <w:ind w:firstLine="480" w:firstLineChars="200"/>
        <w:jc w:val="left"/>
        <w:rPr>
          <w:rFonts w:ascii="Times New Roman"/>
        </w:rPr>
      </w:pPr>
      <w:r>
        <w:rPr>
          <w:rFonts w:ascii="Times New Roman"/>
          <w:szCs w:val="21"/>
        </w:rPr>
        <w:t>（5）</w:t>
      </w:r>
      <w:r>
        <w:rPr>
          <w:rFonts w:ascii="Times New Roman"/>
        </w:rPr>
        <w:t>电缆桥架系统具有可靠的电气连接并接地，接地点具有明显的标志，接地扁钢的截面积为5×50mm，搭接长度满足与厂房接地网相连接的要求；</w:t>
      </w:r>
    </w:p>
    <w:p w14:paraId="15904DAD">
      <w:pPr>
        <w:widowControl/>
        <w:spacing w:line="440" w:lineRule="exact"/>
        <w:ind w:firstLine="480" w:firstLineChars="200"/>
        <w:jc w:val="left"/>
        <w:rPr>
          <w:rFonts w:ascii="Times New Roman"/>
        </w:rPr>
      </w:pPr>
      <w:r>
        <w:rPr>
          <w:rFonts w:ascii="Times New Roman"/>
          <w:szCs w:val="21"/>
        </w:rPr>
        <w:t>（6）</w:t>
      </w:r>
      <w:r>
        <w:rPr>
          <w:rFonts w:ascii="Times New Roman"/>
        </w:rPr>
        <w:t>电缆桥架具有足够的刚度和强度及稳定性，且符合下列规定：</w:t>
      </w:r>
    </w:p>
    <w:p w14:paraId="63551861">
      <w:pPr>
        <w:widowControl/>
        <w:numPr>
          <w:ilvl w:val="0"/>
          <w:numId w:val="10"/>
        </w:numPr>
        <w:spacing w:line="440" w:lineRule="exact"/>
        <w:jc w:val="left"/>
        <w:rPr>
          <w:rFonts w:ascii="Times New Roman"/>
        </w:rPr>
      </w:pPr>
      <w:r>
        <w:rPr>
          <w:rFonts w:ascii="Times New Roman"/>
        </w:rPr>
        <w:t>电缆桥架的强度满足电缆及其附件荷重和安装维护的受力要求，并考虑短暂上人的附加集中荷载900N；</w:t>
      </w:r>
    </w:p>
    <w:p w14:paraId="3F729405">
      <w:pPr>
        <w:widowControl/>
        <w:numPr>
          <w:ilvl w:val="0"/>
          <w:numId w:val="10"/>
        </w:numPr>
        <w:spacing w:line="440" w:lineRule="exact"/>
        <w:jc w:val="left"/>
        <w:rPr>
          <w:rFonts w:ascii="Times New Roman"/>
        </w:rPr>
      </w:pPr>
      <w:r>
        <w:rPr>
          <w:rFonts w:ascii="Times New Roman"/>
        </w:rPr>
        <w:t>电缆桥架的承载能力，不超过使桥架最初产生永久变形时的最大荷载除以安全系数为1.5的数值；</w:t>
      </w:r>
    </w:p>
    <w:p w14:paraId="07664D97">
      <w:pPr>
        <w:widowControl/>
        <w:numPr>
          <w:ilvl w:val="0"/>
          <w:numId w:val="10"/>
        </w:numPr>
        <w:spacing w:line="440" w:lineRule="exact"/>
        <w:jc w:val="left"/>
        <w:rPr>
          <w:rFonts w:ascii="Times New Roman"/>
        </w:rPr>
      </w:pPr>
      <w:r>
        <w:rPr>
          <w:rFonts w:ascii="Times New Roman"/>
        </w:rPr>
        <w:t>电缆桥架在允许均布承载作用下的相对挠度值不大于1/200；</w:t>
      </w:r>
    </w:p>
    <w:p w14:paraId="07677C51">
      <w:pPr>
        <w:widowControl/>
        <w:numPr>
          <w:ilvl w:val="0"/>
          <w:numId w:val="10"/>
        </w:numPr>
        <w:spacing w:line="440" w:lineRule="exact"/>
        <w:jc w:val="left"/>
        <w:rPr>
          <w:rFonts w:ascii="Times New Roman"/>
        </w:rPr>
      </w:pPr>
      <w:r>
        <w:rPr>
          <w:rFonts w:ascii="Times New Roman"/>
        </w:rPr>
        <w:t>托臂在允许承载下的偏斜与臂长比值不超过1/100。</w:t>
      </w:r>
    </w:p>
    <w:p w14:paraId="1BBD9DF5">
      <w:pPr>
        <w:widowControl/>
        <w:numPr>
          <w:ilvl w:val="0"/>
          <w:numId w:val="10"/>
        </w:numPr>
        <w:spacing w:line="440" w:lineRule="exact"/>
        <w:jc w:val="left"/>
        <w:rPr>
          <w:rFonts w:ascii="Times New Roman"/>
        </w:rPr>
      </w:pPr>
      <w:r>
        <w:rPr>
          <w:rFonts w:ascii="Times New Roman"/>
        </w:rPr>
        <w:t>电缆桥架层与层之间的距离为150～300mm，电缆桥架直线段超过30m时应留有不小于20mm的伸缩缝，伸缩缝应有可靠的电气连接。</w:t>
      </w:r>
    </w:p>
    <w:p w14:paraId="01B11AFB">
      <w:pPr>
        <w:widowControl/>
        <w:numPr>
          <w:ilvl w:val="0"/>
          <w:numId w:val="10"/>
        </w:numPr>
        <w:spacing w:line="440" w:lineRule="exact"/>
        <w:jc w:val="left"/>
        <w:rPr>
          <w:rFonts w:ascii="Times New Roman"/>
        </w:rPr>
      </w:pPr>
      <w:r>
        <w:rPr>
          <w:rFonts w:ascii="Times New Roman"/>
        </w:rPr>
        <w:t>电缆桥架拐弯或水平电缆桥架与垂直电缆桥架的连接处要求圆滑、平整并满足电缆弯曲半径的要求，且应考虑进入桥架内敷设电缆的方便。</w:t>
      </w:r>
    </w:p>
    <w:p w14:paraId="1BF0F15A">
      <w:pPr>
        <w:widowControl/>
        <w:numPr>
          <w:ilvl w:val="0"/>
          <w:numId w:val="10"/>
        </w:numPr>
        <w:spacing w:line="440" w:lineRule="exact"/>
        <w:jc w:val="left"/>
        <w:rPr>
          <w:rFonts w:ascii="Times New Roman"/>
        </w:rPr>
      </w:pPr>
      <w:r>
        <w:rPr>
          <w:rFonts w:ascii="Times New Roman"/>
        </w:rPr>
        <w:t>电缆桥架成型后断面形状均匀，无弯曲、拧曲、裂缝、边沿毛刺等缺陷；几何尺寸极限偏差其长、宽、高分别不大于：JS16级、JS18级、JS17级。</w:t>
      </w:r>
    </w:p>
    <w:p w14:paraId="655B4CF8">
      <w:pPr>
        <w:widowControl/>
        <w:numPr>
          <w:ilvl w:val="0"/>
          <w:numId w:val="10"/>
        </w:numPr>
        <w:spacing w:line="440" w:lineRule="exact"/>
        <w:jc w:val="left"/>
        <w:rPr>
          <w:rFonts w:ascii="Times New Roman"/>
        </w:rPr>
      </w:pPr>
      <w:r>
        <w:rPr>
          <w:rFonts w:ascii="Times New Roman"/>
        </w:rPr>
        <w:t>电缆桥架在承受安全工作载荷(SWL)时，其相对挠度：钢制的不宜大于1/200，见下表3：</w:t>
      </w:r>
    </w:p>
    <w:tbl>
      <w:tblPr>
        <w:tblStyle w:val="16"/>
        <w:tblW w:w="839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02"/>
        <w:gridCol w:w="2229"/>
        <w:gridCol w:w="2544"/>
        <w:gridCol w:w="2517"/>
      </w:tblGrid>
      <w:tr w14:paraId="3D70D15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8392" w:type="dxa"/>
            <w:gridSpan w:val="4"/>
            <w:tcBorders>
              <w:tl2br w:val="nil"/>
              <w:tr2bl w:val="nil"/>
            </w:tcBorders>
            <w:vAlign w:val="center"/>
          </w:tcPr>
          <w:p w14:paraId="2BD43010">
            <w:pPr>
              <w:widowControl/>
              <w:spacing w:line="240" w:lineRule="auto"/>
              <w:jc w:val="center"/>
              <w:rPr>
                <w:rFonts w:ascii="Times New Roman" w:eastAsiaTheme="minorEastAsia"/>
                <w:kern w:val="0"/>
                <w:sz w:val="21"/>
                <w:szCs w:val="21"/>
              </w:rPr>
            </w:pPr>
            <w:r>
              <w:rPr>
                <w:rFonts w:ascii="Times New Roman" w:eastAsiaTheme="minorEastAsia"/>
                <w:sz w:val="21"/>
                <w:szCs w:val="21"/>
              </w:rPr>
              <w:t>表3  电缆桥架安全工作载荷（SWL）</w:t>
            </w:r>
          </w:p>
        </w:tc>
      </w:tr>
      <w:tr w14:paraId="0C88A9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1102" w:type="dxa"/>
            <w:tcBorders>
              <w:tl2br w:val="nil"/>
              <w:tr2bl w:val="nil"/>
            </w:tcBorders>
            <w:vAlign w:val="center"/>
          </w:tcPr>
          <w:p w14:paraId="00A051CA">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高度</w:t>
            </w:r>
          </w:p>
          <w:p w14:paraId="75BC9A3E">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mm</w:t>
            </w:r>
          </w:p>
        </w:tc>
        <w:tc>
          <w:tcPr>
            <w:tcW w:w="2229" w:type="dxa"/>
            <w:tcBorders>
              <w:tl2br w:val="nil"/>
              <w:tr2bl w:val="nil"/>
            </w:tcBorders>
            <w:vAlign w:val="center"/>
          </w:tcPr>
          <w:p w14:paraId="6A755118">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额定均布载荷</w:t>
            </w:r>
          </w:p>
          <w:p w14:paraId="09D6EBF0">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N/m</w:t>
            </w:r>
          </w:p>
        </w:tc>
        <w:tc>
          <w:tcPr>
            <w:tcW w:w="2544" w:type="dxa"/>
            <w:tcBorders>
              <w:tl2br w:val="nil"/>
              <w:tr2bl w:val="nil"/>
            </w:tcBorders>
            <w:vAlign w:val="center"/>
          </w:tcPr>
          <w:p w14:paraId="0EDB0227">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支吊跨距</w:t>
            </w:r>
          </w:p>
          <w:p w14:paraId="086F463B">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m</w:t>
            </w:r>
          </w:p>
        </w:tc>
        <w:tc>
          <w:tcPr>
            <w:tcW w:w="2517" w:type="dxa"/>
            <w:tcBorders>
              <w:tl2br w:val="nil"/>
              <w:tr2bl w:val="nil"/>
            </w:tcBorders>
            <w:vAlign w:val="center"/>
          </w:tcPr>
          <w:p w14:paraId="35821009">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挠度值(不大于)</w:t>
            </w:r>
          </w:p>
          <w:p w14:paraId="5BDAC435">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mm</w:t>
            </w:r>
          </w:p>
        </w:tc>
      </w:tr>
      <w:tr w14:paraId="38F211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1102" w:type="dxa"/>
            <w:tcBorders>
              <w:tl2br w:val="nil"/>
              <w:tr2bl w:val="nil"/>
            </w:tcBorders>
            <w:vAlign w:val="center"/>
          </w:tcPr>
          <w:p w14:paraId="322FF3FC">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60</w:t>
            </w:r>
          </w:p>
          <w:p w14:paraId="5797A8DF">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75</w:t>
            </w:r>
          </w:p>
        </w:tc>
        <w:tc>
          <w:tcPr>
            <w:tcW w:w="2229" w:type="dxa"/>
            <w:tcBorders>
              <w:tl2br w:val="nil"/>
              <w:tr2bl w:val="nil"/>
            </w:tcBorders>
            <w:vAlign w:val="center"/>
          </w:tcPr>
          <w:p w14:paraId="2EAABBE8">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1000</w:t>
            </w:r>
          </w:p>
        </w:tc>
        <w:tc>
          <w:tcPr>
            <w:tcW w:w="2544" w:type="dxa"/>
            <w:tcBorders>
              <w:tl2br w:val="nil"/>
              <w:tr2bl w:val="nil"/>
            </w:tcBorders>
            <w:vAlign w:val="center"/>
          </w:tcPr>
          <w:p w14:paraId="52A44BE2">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1.5</w:t>
            </w:r>
          </w:p>
        </w:tc>
        <w:tc>
          <w:tcPr>
            <w:tcW w:w="2517" w:type="dxa"/>
            <w:tcBorders>
              <w:tl2br w:val="nil"/>
              <w:tr2bl w:val="nil"/>
            </w:tcBorders>
            <w:vAlign w:val="center"/>
          </w:tcPr>
          <w:p w14:paraId="109B4240">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4.00</w:t>
            </w:r>
          </w:p>
        </w:tc>
      </w:tr>
      <w:tr w14:paraId="00AF0F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1102" w:type="dxa"/>
            <w:tcBorders>
              <w:tl2br w:val="nil"/>
              <w:tr2bl w:val="nil"/>
            </w:tcBorders>
            <w:vAlign w:val="center"/>
          </w:tcPr>
          <w:p w14:paraId="79F0CD27">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100</w:t>
            </w:r>
          </w:p>
        </w:tc>
        <w:tc>
          <w:tcPr>
            <w:tcW w:w="2229" w:type="dxa"/>
            <w:tcBorders>
              <w:tl2br w:val="nil"/>
              <w:tr2bl w:val="nil"/>
            </w:tcBorders>
            <w:vAlign w:val="center"/>
          </w:tcPr>
          <w:p w14:paraId="4F6514CC">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2000</w:t>
            </w:r>
          </w:p>
          <w:p w14:paraId="5EB777F3">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1500</w:t>
            </w:r>
          </w:p>
          <w:p w14:paraId="5FEBA52E">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500</w:t>
            </w:r>
          </w:p>
        </w:tc>
        <w:tc>
          <w:tcPr>
            <w:tcW w:w="2544" w:type="dxa"/>
            <w:tcBorders>
              <w:tl2br w:val="nil"/>
              <w:tr2bl w:val="nil"/>
            </w:tcBorders>
            <w:vAlign w:val="center"/>
          </w:tcPr>
          <w:p w14:paraId="560B5416">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1.5</w:t>
            </w:r>
          </w:p>
          <w:p w14:paraId="3223C476">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3.0</w:t>
            </w:r>
          </w:p>
          <w:p w14:paraId="3F057595">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4.5</w:t>
            </w:r>
          </w:p>
        </w:tc>
        <w:tc>
          <w:tcPr>
            <w:tcW w:w="2517" w:type="dxa"/>
            <w:tcBorders>
              <w:tl2br w:val="nil"/>
              <w:tr2bl w:val="nil"/>
            </w:tcBorders>
            <w:vAlign w:val="center"/>
          </w:tcPr>
          <w:p w14:paraId="20558299">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4.00</w:t>
            </w:r>
          </w:p>
          <w:p w14:paraId="4C1343D8">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8.00</w:t>
            </w:r>
          </w:p>
          <w:p w14:paraId="3FFA8028">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22.50</w:t>
            </w:r>
          </w:p>
        </w:tc>
      </w:tr>
      <w:tr w14:paraId="671497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1102" w:type="dxa"/>
            <w:tcBorders>
              <w:tl2br w:val="nil"/>
              <w:tr2bl w:val="nil"/>
            </w:tcBorders>
            <w:vAlign w:val="center"/>
          </w:tcPr>
          <w:p w14:paraId="449FC259">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150</w:t>
            </w:r>
          </w:p>
        </w:tc>
        <w:tc>
          <w:tcPr>
            <w:tcW w:w="2229" w:type="dxa"/>
            <w:tcBorders>
              <w:tl2br w:val="nil"/>
              <w:tr2bl w:val="nil"/>
            </w:tcBorders>
            <w:vAlign w:val="center"/>
          </w:tcPr>
          <w:p w14:paraId="2C1800BB">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2500</w:t>
            </w:r>
          </w:p>
          <w:p w14:paraId="5C9F4949">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1500</w:t>
            </w:r>
          </w:p>
          <w:p w14:paraId="13323CA9">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750</w:t>
            </w:r>
          </w:p>
        </w:tc>
        <w:tc>
          <w:tcPr>
            <w:tcW w:w="2544" w:type="dxa"/>
            <w:tcBorders>
              <w:tl2br w:val="nil"/>
              <w:tr2bl w:val="nil"/>
            </w:tcBorders>
            <w:vAlign w:val="center"/>
          </w:tcPr>
          <w:p w14:paraId="15D5212C">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1.5</w:t>
            </w:r>
          </w:p>
          <w:p w14:paraId="417DE866">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3.0</w:t>
            </w:r>
          </w:p>
          <w:p w14:paraId="5443A6E4">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4.5</w:t>
            </w:r>
          </w:p>
        </w:tc>
        <w:tc>
          <w:tcPr>
            <w:tcW w:w="2517" w:type="dxa"/>
            <w:tcBorders>
              <w:tl2br w:val="nil"/>
              <w:tr2bl w:val="nil"/>
            </w:tcBorders>
            <w:vAlign w:val="center"/>
          </w:tcPr>
          <w:p w14:paraId="3E4BB486">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4.00</w:t>
            </w:r>
          </w:p>
          <w:p w14:paraId="658EC445">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8.00</w:t>
            </w:r>
          </w:p>
          <w:p w14:paraId="5A77EBF6">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22.50</w:t>
            </w:r>
          </w:p>
        </w:tc>
      </w:tr>
      <w:tr w14:paraId="025E09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1102" w:type="dxa"/>
            <w:tcBorders>
              <w:tl2br w:val="nil"/>
              <w:tr2bl w:val="nil"/>
            </w:tcBorders>
            <w:vAlign w:val="center"/>
          </w:tcPr>
          <w:p w14:paraId="4791A659">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200</w:t>
            </w:r>
          </w:p>
        </w:tc>
        <w:tc>
          <w:tcPr>
            <w:tcW w:w="2229" w:type="dxa"/>
            <w:tcBorders>
              <w:tl2br w:val="nil"/>
              <w:tr2bl w:val="nil"/>
            </w:tcBorders>
            <w:vAlign w:val="center"/>
          </w:tcPr>
          <w:p w14:paraId="2C62785E">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3000</w:t>
            </w:r>
          </w:p>
          <w:p w14:paraId="610F3A4A">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2000</w:t>
            </w:r>
          </w:p>
          <w:p w14:paraId="088A643D">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1000</w:t>
            </w:r>
          </w:p>
        </w:tc>
        <w:tc>
          <w:tcPr>
            <w:tcW w:w="2544" w:type="dxa"/>
            <w:tcBorders>
              <w:tl2br w:val="nil"/>
              <w:tr2bl w:val="nil"/>
            </w:tcBorders>
            <w:vAlign w:val="center"/>
          </w:tcPr>
          <w:p w14:paraId="07076DCA">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1.5</w:t>
            </w:r>
          </w:p>
          <w:p w14:paraId="45767029">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3.0</w:t>
            </w:r>
          </w:p>
          <w:p w14:paraId="79417066">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4.5</w:t>
            </w:r>
          </w:p>
        </w:tc>
        <w:tc>
          <w:tcPr>
            <w:tcW w:w="2517" w:type="dxa"/>
            <w:tcBorders>
              <w:tl2br w:val="nil"/>
              <w:tr2bl w:val="nil"/>
            </w:tcBorders>
            <w:vAlign w:val="center"/>
          </w:tcPr>
          <w:p w14:paraId="53EF7C16">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4.00</w:t>
            </w:r>
          </w:p>
          <w:p w14:paraId="09613195">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8.00</w:t>
            </w:r>
          </w:p>
          <w:p w14:paraId="4BBF9C2C">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22.50</w:t>
            </w:r>
          </w:p>
        </w:tc>
      </w:tr>
      <w:tr w14:paraId="1AE440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8392" w:type="dxa"/>
            <w:gridSpan w:val="4"/>
            <w:tcBorders>
              <w:tl2br w:val="nil"/>
              <w:tr2bl w:val="nil"/>
            </w:tcBorders>
            <w:vAlign w:val="center"/>
          </w:tcPr>
          <w:p w14:paraId="24F27015">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注：其它支吊跨距的额定均布载荷由制造厂在技术文件中给出或由供需双方协议约定。</w:t>
            </w:r>
          </w:p>
        </w:tc>
      </w:tr>
    </w:tbl>
    <w:p w14:paraId="2FC65189">
      <w:pPr>
        <w:widowControl/>
        <w:spacing w:line="440" w:lineRule="exact"/>
        <w:ind w:left="420" w:firstLine="480" w:firstLineChars="200"/>
        <w:jc w:val="left"/>
        <w:rPr>
          <w:rFonts w:ascii="Times New Roman"/>
        </w:rPr>
      </w:pPr>
      <w:r>
        <w:rPr>
          <w:rFonts w:ascii="Times New Roman"/>
        </w:rPr>
        <w:t>注：</w:t>
      </w:r>
      <w:r>
        <w:rPr>
          <w:rFonts w:hint="eastAsia" w:ascii="Times New Roman"/>
        </w:rPr>
        <w:t>施工方</w:t>
      </w:r>
      <w:r>
        <w:rPr>
          <w:rFonts w:ascii="Times New Roman"/>
        </w:rPr>
        <w:t>可以用载荷曲线图、表格或类似形式给出安全工作载荷(SWL)。</w:t>
      </w:r>
    </w:p>
    <w:p w14:paraId="5DD1A7D9">
      <w:pPr>
        <w:widowControl/>
        <w:numPr>
          <w:ilvl w:val="255"/>
          <w:numId w:val="0"/>
        </w:numPr>
        <w:spacing w:line="440" w:lineRule="exact"/>
        <w:ind w:firstLine="480" w:firstLineChars="200"/>
        <w:jc w:val="left"/>
        <w:rPr>
          <w:rFonts w:ascii="Times New Roman"/>
        </w:rPr>
      </w:pPr>
      <w:r>
        <w:rPr>
          <w:rFonts w:ascii="Times New Roman"/>
          <w:szCs w:val="21"/>
        </w:rPr>
        <w:t>（7）</w:t>
      </w:r>
      <w:r>
        <w:rPr>
          <w:rFonts w:ascii="Times New Roman"/>
        </w:rPr>
        <w:t>螺栓、螺母、平垫、弹垫及半圆头方颈螺栓，应分别符合相关规定。</w:t>
      </w:r>
    </w:p>
    <w:p w14:paraId="760D4CB6">
      <w:pPr>
        <w:pStyle w:val="7"/>
        <w:spacing w:before="120" w:beforeLines="50"/>
        <w:ind w:firstLine="0" w:firstLineChars="0"/>
        <w:rPr>
          <w:rFonts w:ascii="Times New Roman"/>
        </w:rPr>
      </w:pPr>
      <w:r>
        <w:rPr>
          <w:rFonts w:ascii="Times New Roman"/>
        </w:rPr>
        <w:t>5.3.3 支架规格</w:t>
      </w:r>
    </w:p>
    <w:p w14:paraId="74236189">
      <w:pPr>
        <w:widowControl/>
        <w:numPr>
          <w:ilvl w:val="0"/>
          <w:numId w:val="11"/>
        </w:numPr>
        <w:spacing w:line="440" w:lineRule="exact"/>
        <w:jc w:val="left"/>
        <w:rPr>
          <w:rFonts w:ascii="Times New Roman"/>
        </w:rPr>
      </w:pPr>
      <w:r>
        <w:rPr>
          <w:rFonts w:ascii="Times New Roman"/>
        </w:rPr>
        <w:t>立柱的材料为型钢，选用8号槽钢。托臂的材料由优质冷轧钢板加工制作，材料的厚度为3mm，立柱及托臂均采用电镀锌处理。</w:t>
      </w:r>
    </w:p>
    <w:p w14:paraId="63F9BA2E">
      <w:pPr>
        <w:widowControl/>
        <w:numPr>
          <w:ilvl w:val="0"/>
          <w:numId w:val="11"/>
        </w:numPr>
        <w:spacing w:line="440" w:lineRule="exact"/>
        <w:jc w:val="left"/>
        <w:rPr>
          <w:rFonts w:ascii="Times New Roman"/>
        </w:rPr>
      </w:pPr>
      <w:r>
        <w:rPr>
          <w:rFonts w:ascii="Times New Roman"/>
        </w:rPr>
        <w:t>各种类型的支吊架应能承受相应规格(层数)托盘、梯架的安全工作载荷((SWL&gt;,满足强度、刚度及稳定性的要求。钢制吊架的横担或侧壁固定的托臂在承受安全工作载荷((SWL)时的最大挠度值与其支吊架本身长度之比不宜大于1/100。详见表3  电缆桥架安全工作载荷（SWL）</w:t>
      </w:r>
      <w:r>
        <w:rPr>
          <w:rFonts w:hint="eastAsia" w:ascii="Times New Roman"/>
        </w:rPr>
        <w:t>。</w:t>
      </w:r>
    </w:p>
    <w:p w14:paraId="11CE5EDE">
      <w:pPr>
        <w:widowControl/>
        <w:numPr>
          <w:ilvl w:val="0"/>
          <w:numId w:val="11"/>
        </w:numPr>
        <w:spacing w:line="440" w:lineRule="exact"/>
        <w:jc w:val="left"/>
        <w:rPr>
          <w:rFonts w:ascii="Times New Roman"/>
        </w:rPr>
      </w:pPr>
      <w:r>
        <w:rPr>
          <w:rFonts w:ascii="Times New Roman"/>
        </w:rPr>
        <w:t>支、吊架立柱固定托臂的开孔位置或焊接位置，应能满足多层设置时层间中心距为200、250、300mm的要求。</w:t>
      </w:r>
    </w:p>
    <w:p w14:paraId="1B26F6D0">
      <w:pPr>
        <w:widowControl/>
        <w:numPr>
          <w:ilvl w:val="0"/>
          <w:numId w:val="11"/>
        </w:numPr>
        <w:spacing w:line="440" w:lineRule="exact"/>
        <w:jc w:val="left"/>
        <w:rPr>
          <w:rFonts w:ascii="Times New Roman"/>
        </w:rPr>
      </w:pPr>
      <w:r>
        <w:rPr>
          <w:rFonts w:ascii="Times New Roman"/>
        </w:rPr>
        <w:t>焊接件：焊缝表面均匀、不得有漏焊、裂纹、夹渣、烧穿、弧坑等缺陷。</w:t>
      </w:r>
    </w:p>
    <w:p w14:paraId="61201381">
      <w:pPr>
        <w:widowControl/>
        <w:numPr>
          <w:ilvl w:val="0"/>
          <w:numId w:val="11"/>
        </w:numPr>
        <w:spacing w:line="440" w:lineRule="exact"/>
        <w:jc w:val="left"/>
      </w:pPr>
      <w:r>
        <w:rPr>
          <w:rFonts w:ascii="Times New Roman"/>
        </w:rPr>
        <w:t>表面防护层：支架内外表面采用镀锌工艺，镀锌防腐层技术指标应符合表4的规定：</w:t>
      </w:r>
    </w:p>
    <w:tbl>
      <w:tblPr>
        <w:tblStyle w:val="16"/>
        <w:tblW w:w="8346"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27"/>
        <w:gridCol w:w="893"/>
        <w:gridCol w:w="1511"/>
        <w:gridCol w:w="1455"/>
        <w:gridCol w:w="806"/>
        <w:gridCol w:w="1298"/>
        <w:gridCol w:w="1456"/>
      </w:tblGrid>
      <w:tr w14:paraId="705D9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9" w:hRule="atLeast"/>
          <w:tblCellSpacing w:w="0" w:type="dxa"/>
          <w:jc w:val="center"/>
        </w:trPr>
        <w:tc>
          <w:tcPr>
            <w:tcW w:w="8346" w:type="dxa"/>
            <w:gridSpan w:val="7"/>
            <w:tcBorders>
              <w:tl2br w:val="nil"/>
              <w:tr2bl w:val="nil"/>
            </w:tcBorders>
            <w:vAlign w:val="center"/>
          </w:tcPr>
          <w:p w14:paraId="561DB74F">
            <w:pPr>
              <w:widowControl/>
              <w:spacing w:line="240" w:lineRule="auto"/>
              <w:ind w:firstLine="2730" w:firstLineChars="1300"/>
              <w:jc w:val="left"/>
              <w:rPr>
                <w:rFonts w:ascii="Times New Roman" w:eastAsiaTheme="minorEastAsia"/>
                <w:kern w:val="0"/>
                <w:sz w:val="21"/>
                <w:szCs w:val="21"/>
              </w:rPr>
            </w:pPr>
            <w:r>
              <w:rPr>
                <w:rFonts w:ascii="Times New Roman"/>
                <w:sz w:val="21"/>
                <w:szCs w:val="21"/>
              </w:rPr>
              <w:t>表4  镀锌防腐层技术指标</w:t>
            </w:r>
          </w:p>
        </w:tc>
      </w:tr>
      <w:tr w14:paraId="4FF80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1820" w:type="dxa"/>
            <w:gridSpan w:val="2"/>
            <w:tcBorders>
              <w:tl2br w:val="nil"/>
              <w:tr2bl w:val="nil"/>
            </w:tcBorders>
            <w:vAlign w:val="center"/>
          </w:tcPr>
          <w:p w14:paraId="2651323A">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防护层方式</w:t>
            </w:r>
          </w:p>
        </w:tc>
        <w:tc>
          <w:tcPr>
            <w:tcW w:w="1511" w:type="dxa"/>
            <w:tcBorders>
              <w:tl2br w:val="nil"/>
              <w:tr2bl w:val="nil"/>
            </w:tcBorders>
            <w:vAlign w:val="center"/>
          </w:tcPr>
          <w:p w14:paraId="302B5DB5">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热镀锌</w:t>
            </w:r>
          </w:p>
        </w:tc>
        <w:tc>
          <w:tcPr>
            <w:tcW w:w="1455" w:type="dxa"/>
            <w:tcBorders>
              <w:tl2br w:val="nil"/>
              <w:tr2bl w:val="nil"/>
            </w:tcBorders>
            <w:vAlign w:val="center"/>
          </w:tcPr>
          <w:p w14:paraId="22FC66DD">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电镀锌或锌合金</w:t>
            </w:r>
          </w:p>
        </w:tc>
        <w:tc>
          <w:tcPr>
            <w:tcW w:w="806" w:type="dxa"/>
            <w:tcBorders>
              <w:tl2br w:val="nil"/>
              <w:tr2bl w:val="nil"/>
            </w:tcBorders>
            <w:vAlign w:val="center"/>
          </w:tcPr>
          <w:p w14:paraId="5F728FD3">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热固型粉末静电喷涂</w:t>
            </w:r>
          </w:p>
        </w:tc>
        <w:tc>
          <w:tcPr>
            <w:tcW w:w="1298" w:type="dxa"/>
            <w:tcBorders>
              <w:tl2br w:val="nil"/>
              <w:tr2bl w:val="nil"/>
            </w:tcBorders>
            <w:vAlign w:val="center"/>
          </w:tcPr>
          <w:p w14:paraId="630A67CD">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喷漆</w:t>
            </w:r>
          </w:p>
        </w:tc>
        <w:tc>
          <w:tcPr>
            <w:tcW w:w="1456" w:type="dxa"/>
            <w:tcBorders>
              <w:tl2br w:val="nil"/>
              <w:tr2bl w:val="nil"/>
            </w:tcBorders>
            <w:vAlign w:val="center"/>
          </w:tcPr>
          <w:p w14:paraId="52E694FF">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镀锌+喷涂或喷漆</w:t>
            </w:r>
          </w:p>
        </w:tc>
      </w:tr>
      <w:tr w14:paraId="1FE56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tblCellSpacing w:w="0" w:type="dxa"/>
          <w:jc w:val="center"/>
        </w:trPr>
        <w:tc>
          <w:tcPr>
            <w:tcW w:w="927" w:type="dxa"/>
            <w:vMerge w:val="restart"/>
            <w:tcBorders>
              <w:tl2br w:val="nil"/>
              <w:tr2bl w:val="nil"/>
            </w:tcBorders>
            <w:vAlign w:val="center"/>
          </w:tcPr>
          <w:p w14:paraId="407A6A86">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防护层厚度 μm</w:t>
            </w:r>
          </w:p>
        </w:tc>
        <w:tc>
          <w:tcPr>
            <w:tcW w:w="893" w:type="dxa"/>
            <w:tcBorders>
              <w:tl2br w:val="nil"/>
              <w:tr2bl w:val="nil"/>
            </w:tcBorders>
            <w:vAlign w:val="center"/>
          </w:tcPr>
          <w:p w14:paraId="0BB3590F">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支架</w:t>
            </w:r>
          </w:p>
        </w:tc>
        <w:tc>
          <w:tcPr>
            <w:tcW w:w="1511" w:type="dxa"/>
            <w:tcBorders>
              <w:tl2br w:val="nil"/>
              <w:tr2bl w:val="nil"/>
            </w:tcBorders>
            <w:vAlign w:val="center"/>
          </w:tcPr>
          <w:p w14:paraId="7F309BDF">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≥65</w:t>
            </w:r>
          </w:p>
        </w:tc>
        <w:tc>
          <w:tcPr>
            <w:tcW w:w="1455" w:type="dxa"/>
            <w:tcBorders>
              <w:tl2br w:val="nil"/>
              <w:tr2bl w:val="nil"/>
            </w:tcBorders>
            <w:vAlign w:val="center"/>
          </w:tcPr>
          <w:p w14:paraId="0901E78F">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≥12</w:t>
            </w:r>
          </w:p>
        </w:tc>
        <w:tc>
          <w:tcPr>
            <w:tcW w:w="806" w:type="dxa"/>
            <w:tcBorders>
              <w:tl2br w:val="nil"/>
              <w:tr2bl w:val="nil"/>
            </w:tcBorders>
            <w:vAlign w:val="center"/>
          </w:tcPr>
          <w:p w14:paraId="77DA901D">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≥60</w:t>
            </w:r>
          </w:p>
        </w:tc>
        <w:tc>
          <w:tcPr>
            <w:tcW w:w="1298" w:type="dxa"/>
            <w:tcBorders>
              <w:tl2br w:val="nil"/>
              <w:tr2bl w:val="nil"/>
            </w:tcBorders>
            <w:vAlign w:val="center"/>
          </w:tcPr>
          <w:p w14:paraId="642ADB7F">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≥50</w:t>
            </w:r>
          </w:p>
        </w:tc>
        <w:tc>
          <w:tcPr>
            <w:tcW w:w="1456" w:type="dxa"/>
            <w:tcBorders>
              <w:tl2br w:val="nil"/>
              <w:tr2bl w:val="nil"/>
            </w:tcBorders>
            <w:vAlign w:val="center"/>
          </w:tcPr>
          <w:p w14:paraId="106C10DE">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≥60</w:t>
            </w:r>
          </w:p>
        </w:tc>
      </w:tr>
      <w:tr w14:paraId="765AC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927" w:type="dxa"/>
            <w:vMerge w:val="continue"/>
            <w:tcBorders>
              <w:tl2br w:val="nil"/>
              <w:tr2bl w:val="nil"/>
            </w:tcBorders>
            <w:vAlign w:val="center"/>
          </w:tcPr>
          <w:p w14:paraId="3FDB7F02">
            <w:pPr>
              <w:widowControl/>
              <w:spacing w:line="240" w:lineRule="auto"/>
              <w:jc w:val="left"/>
              <w:rPr>
                <w:rFonts w:ascii="Times New Roman" w:eastAsiaTheme="minorEastAsia"/>
                <w:kern w:val="0"/>
                <w:sz w:val="21"/>
                <w:szCs w:val="21"/>
              </w:rPr>
            </w:pPr>
          </w:p>
        </w:tc>
        <w:tc>
          <w:tcPr>
            <w:tcW w:w="893" w:type="dxa"/>
            <w:tcBorders>
              <w:tl2br w:val="nil"/>
              <w:tr2bl w:val="nil"/>
            </w:tcBorders>
            <w:vAlign w:val="center"/>
          </w:tcPr>
          <w:p w14:paraId="2B6DD331">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螺栓</w:t>
            </w:r>
          </w:p>
        </w:tc>
        <w:tc>
          <w:tcPr>
            <w:tcW w:w="1511" w:type="dxa"/>
            <w:tcBorders>
              <w:tl2br w:val="nil"/>
              <w:tr2bl w:val="nil"/>
            </w:tcBorders>
            <w:vAlign w:val="center"/>
          </w:tcPr>
          <w:p w14:paraId="039658DC">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(≥M20) ≥45</w:t>
            </w:r>
          </w:p>
          <w:p w14:paraId="20028E7A">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(M10~M20) ≥35</w:t>
            </w:r>
          </w:p>
          <w:p w14:paraId="3C8DF3C2">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(≤M10) ≥20</w:t>
            </w:r>
          </w:p>
        </w:tc>
        <w:tc>
          <w:tcPr>
            <w:tcW w:w="1455" w:type="dxa"/>
            <w:tcBorders>
              <w:tl2br w:val="nil"/>
              <w:tr2bl w:val="nil"/>
            </w:tcBorders>
            <w:vAlign w:val="center"/>
          </w:tcPr>
          <w:p w14:paraId="02ED9D9A">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(≥M14) ≥12</w:t>
            </w:r>
          </w:p>
          <w:p w14:paraId="3BF6CA6A">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(M8~M12) ≥9</w:t>
            </w:r>
          </w:p>
          <w:p w14:paraId="54019E75">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(≤M6) ≥6</w:t>
            </w:r>
          </w:p>
        </w:tc>
        <w:tc>
          <w:tcPr>
            <w:tcW w:w="806" w:type="dxa"/>
            <w:tcBorders>
              <w:tl2br w:val="nil"/>
              <w:tr2bl w:val="nil"/>
            </w:tcBorders>
            <w:vAlign w:val="center"/>
          </w:tcPr>
          <w:p w14:paraId="07393930">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w:t>
            </w:r>
          </w:p>
        </w:tc>
        <w:tc>
          <w:tcPr>
            <w:tcW w:w="1298" w:type="dxa"/>
            <w:tcBorders>
              <w:tl2br w:val="nil"/>
              <w:tr2bl w:val="nil"/>
            </w:tcBorders>
            <w:vAlign w:val="center"/>
          </w:tcPr>
          <w:p w14:paraId="63703BA7">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w:t>
            </w:r>
          </w:p>
        </w:tc>
        <w:tc>
          <w:tcPr>
            <w:tcW w:w="1456" w:type="dxa"/>
            <w:tcBorders>
              <w:tl2br w:val="nil"/>
              <w:tr2bl w:val="nil"/>
            </w:tcBorders>
            <w:vAlign w:val="center"/>
          </w:tcPr>
          <w:p w14:paraId="65C70F4F">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(≥M14) ≥12</w:t>
            </w:r>
          </w:p>
          <w:p w14:paraId="35C59AAB">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(M8~M12) ≥9</w:t>
            </w:r>
          </w:p>
          <w:p w14:paraId="72F780FD">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(≤M6) ≥6</w:t>
            </w:r>
          </w:p>
        </w:tc>
      </w:tr>
      <w:tr w14:paraId="4F57E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9" w:hRule="atLeast"/>
          <w:tblCellSpacing w:w="0" w:type="dxa"/>
          <w:jc w:val="center"/>
        </w:trPr>
        <w:tc>
          <w:tcPr>
            <w:tcW w:w="1820" w:type="dxa"/>
            <w:gridSpan w:val="2"/>
            <w:tcBorders>
              <w:tl2br w:val="nil"/>
              <w:tr2bl w:val="nil"/>
            </w:tcBorders>
            <w:vAlign w:val="center"/>
          </w:tcPr>
          <w:p w14:paraId="2180D7CE">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镀、涂层附着力</w:t>
            </w:r>
          </w:p>
        </w:tc>
        <w:tc>
          <w:tcPr>
            <w:tcW w:w="2966" w:type="dxa"/>
            <w:gridSpan w:val="2"/>
            <w:tcBorders>
              <w:tl2br w:val="nil"/>
              <w:tr2bl w:val="nil"/>
            </w:tcBorders>
            <w:vAlign w:val="center"/>
          </w:tcPr>
          <w:p w14:paraId="163217C3">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规程试验应不脱落</w:t>
            </w:r>
          </w:p>
        </w:tc>
        <w:tc>
          <w:tcPr>
            <w:tcW w:w="2104" w:type="dxa"/>
            <w:gridSpan w:val="2"/>
            <w:tcBorders>
              <w:tl2br w:val="nil"/>
              <w:tr2bl w:val="nil"/>
            </w:tcBorders>
            <w:vAlign w:val="center"/>
          </w:tcPr>
          <w:p w14:paraId="57C65741">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规程试验不低于2级</w:t>
            </w:r>
          </w:p>
        </w:tc>
        <w:tc>
          <w:tcPr>
            <w:tcW w:w="1456" w:type="dxa"/>
            <w:tcBorders>
              <w:tl2br w:val="nil"/>
              <w:tr2bl w:val="nil"/>
            </w:tcBorders>
            <w:vAlign w:val="center"/>
          </w:tcPr>
          <w:p w14:paraId="10FA6E67">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分别符合镀锌和喷涂的要求</w:t>
            </w:r>
          </w:p>
        </w:tc>
      </w:tr>
      <w:tr w14:paraId="4DEF5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8346" w:type="dxa"/>
            <w:gridSpan w:val="7"/>
            <w:tcBorders>
              <w:tl2br w:val="nil"/>
              <w:tr2bl w:val="nil"/>
            </w:tcBorders>
            <w:vAlign w:val="center"/>
          </w:tcPr>
          <w:p w14:paraId="729AD151">
            <w:pPr>
              <w:widowControl/>
              <w:spacing w:line="240" w:lineRule="auto"/>
              <w:jc w:val="left"/>
              <w:rPr>
                <w:rFonts w:ascii="Times New Roman" w:eastAsiaTheme="minorEastAsia"/>
                <w:kern w:val="0"/>
                <w:sz w:val="21"/>
                <w:szCs w:val="21"/>
              </w:rPr>
            </w:pPr>
            <w:r>
              <w:rPr>
                <w:rFonts w:ascii="Times New Roman" w:eastAsiaTheme="minorEastAsia"/>
                <w:kern w:val="0"/>
                <w:sz w:val="21"/>
                <w:szCs w:val="21"/>
              </w:rPr>
              <w:t>注：1、镀锌+喷涂或喷漆时，其中电镀锌厚度≥4μm，以测得的总厚度判定；</w:t>
            </w:r>
          </w:p>
          <w:p w14:paraId="12B472A7">
            <w:pPr>
              <w:widowControl/>
              <w:spacing w:line="240" w:lineRule="auto"/>
              <w:jc w:val="center"/>
              <w:rPr>
                <w:rFonts w:ascii="Times New Roman" w:eastAsiaTheme="minorEastAsia"/>
                <w:kern w:val="0"/>
                <w:sz w:val="21"/>
                <w:szCs w:val="21"/>
              </w:rPr>
            </w:pPr>
            <w:r>
              <w:rPr>
                <w:rFonts w:ascii="Times New Roman" w:eastAsiaTheme="minorEastAsia"/>
                <w:kern w:val="0"/>
                <w:sz w:val="21"/>
                <w:szCs w:val="21"/>
              </w:rPr>
              <w:t>2、电镀锌其平面最薄处的厚度不应低于表中规定的80%，且不应超过20%的测试点。</w:t>
            </w:r>
          </w:p>
        </w:tc>
      </w:tr>
    </w:tbl>
    <w:p w14:paraId="2DEBAE2D">
      <w:pPr>
        <w:numPr>
          <w:ilvl w:val="1"/>
          <w:numId w:val="2"/>
        </w:numPr>
        <w:spacing w:after="120" w:afterLines="50" w:line="240" w:lineRule="auto"/>
        <w:outlineLvl w:val="0"/>
        <w:rPr>
          <w:rFonts w:ascii="Times New Roman"/>
          <w:b/>
          <w:bCs/>
          <w:sz w:val="28"/>
          <w:szCs w:val="28"/>
        </w:rPr>
      </w:pPr>
      <w:bookmarkStart w:id="44" w:name="_Toc21638202"/>
      <w:bookmarkStart w:id="45" w:name="_Toc22231316"/>
      <w:bookmarkStart w:id="46" w:name="_Toc19798"/>
      <w:r>
        <w:rPr>
          <w:rFonts w:ascii="Times New Roman"/>
          <w:b/>
          <w:bCs/>
          <w:sz w:val="28"/>
          <w:szCs w:val="28"/>
        </w:rPr>
        <w:t>电缆桥架安装</w:t>
      </w:r>
      <w:bookmarkEnd w:id="44"/>
      <w:r>
        <w:rPr>
          <w:rFonts w:ascii="Times New Roman"/>
          <w:b/>
          <w:bCs/>
          <w:sz w:val="28"/>
          <w:szCs w:val="28"/>
        </w:rPr>
        <w:t>要求</w:t>
      </w:r>
      <w:bookmarkEnd w:id="45"/>
      <w:bookmarkEnd w:id="46"/>
    </w:p>
    <w:p w14:paraId="04A176C4">
      <w:pPr>
        <w:snapToGrid w:val="0"/>
        <w:spacing w:before="120" w:beforeLines="50"/>
        <w:ind w:firstLine="720" w:firstLineChars="300"/>
      </w:pPr>
      <w:r>
        <w:rPr>
          <w:rFonts w:ascii="Times New Roman"/>
          <w:szCs w:val="21"/>
        </w:rPr>
        <w:t>电缆桥架安装总体规划</w:t>
      </w:r>
      <w:r>
        <w:rPr>
          <w:rFonts w:ascii="Times New Roman"/>
          <w:bCs/>
          <w:szCs w:val="21"/>
        </w:rPr>
        <w:t>（施工过程中可根据现场实际情况优化调整）</w:t>
      </w:r>
      <w:r>
        <w:rPr>
          <w:rFonts w:ascii="Times New Roman"/>
          <w:szCs w:val="21"/>
        </w:rPr>
        <w:t>：</w:t>
      </w:r>
    </w:p>
    <w:p w14:paraId="38F82F92">
      <w:pPr>
        <w:numPr>
          <w:ilvl w:val="0"/>
          <w:numId w:val="12"/>
        </w:numPr>
        <w:ind w:left="26"/>
        <w:rPr>
          <w:rFonts w:hAnsi="宋体"/>
        </w:rPr>
      </w:pPr>
      <w:r>
        <w:rPr>
          <w:rFonts w:hint="eastAsia" w:hAnsi="宋体"/>
        </w:rPr>
        <w:t>主厂房3楼水车室内主体采用500*100与600*100的桥架进行连接；压油罐处主体采用500*150的桥架进行安装，局部采用600*100、100*100零星桥架进行安装。</w:t>
      </w:r>
    </w:p>
    <w:p w14:paraId="49CED1F0">
      <w:pPr>
        <w:numPr>
          <w:ilvl w:val="0"/>
          <w:numId w:val="12"/>
        </w:numPr>
        <w:ind w:left="26"/>
        <w:rPr>
          <w:rFonts w:hAnsi="宋体"/>
        </w:rPr>
      </w:pPr>
      <w:r>
        <w:rPr>
          <w:rFonts w:hint="eastAsia" w:hAnsi="宋体"/>
        </w:rPr>
        <w:t>厂房2楼主体采用100*100桥架进行安装，局部位置采用100*80桥架进行安装。</w:t>
      </w:r>
    </w:p>
    <w:p w14:paraId="3965CFEB">
      <w:pPr>
        <w:numPr>
          <w:ilvl w:val="0"/>
          <w:numId w:val="12"/>
        </w:numPr>
        <w:ind w:left="26"/>
        <w:rPr>
          <w:rFonts w:ascii="Times New Roman"/>
          <w:szCs w:val="21"/>
        </w:rPr>
      </w:pPr>
      <w:r>
        <w:rPr>
          <w:rFonts w:hint="eastAsia" w:ascii="Times New Roman"/>
          <w:szCs w:val="21"/>
        </w:rPr>
        <w:t>电缆交汇严重处，为了便于后期电缆的敷设与维护，设计转接箱，转接箱内安装支架，确保电缆固定牢靠规整。</w:t>
      </w:r>
    </w:p>
    <w:p w14:paraId="07CC8743">
      <w:pPr>
        <w:numPr>
          <w:ilvl w:val="0"/>
          <w:numId w:val="12"/>
        </w:numPr>
        <w:ind w:left="26"/>
        <w:rPr>
          <w:rFonts w:ascii="Times New Roman"/>
          <w:szCs w:val="21"/>
        </w:rPr>
      </w:pPr>
      <w:r>
        <w:rPr>
          <w:rFonts w:hint="eastAsia" w:ascii="Times New Roman"/>
          <w:szCs w:val="21"/>
        </w:rPr>
        <w:t>托臂水平安装间距约为1200mm，可根据现场电缆桥架实际承重情况作相应调整；垂直梯架支架安装间距约为1000mm。</w:t>
      </w:r>
    </w:p>
    <w:p w14:paraId="71258884">
      <w:pPr>
        <w:rPr>
          <w:rFonts w:ascii="Times New Roman"/>
          <w:szCs w:val="21"/>
        </w:rPr>
      </w:pPr>
      <w:r>
        <w:rPr>
          <w:rFonts w:ascii="Times New Roman"/>
          <w:szCs w:val="21"/>
        </w:rPr>
        <w:t>5.4.1 电缆桥架安装应符合下列规定：</w:t>
      </w:r>
    </w:p>
    <w:p w14:paraId="53F9B6DC">
      <w:pPr>
        <w:numPr>
          <w:ilvl w:val="0"/>
          <w:numId w:val="13"/>
        </w:numPr>
        <w:rPr>
          <w:rFonts w:ascii="Times New Roman"/>
          <w:szCs w:val="21"/>
        </w:rPr>
      </w:pPr>
      <w:r>
        <w:rPr>
          <w:rFonts w:ascii="Times New Roman"/>
          <w:szCs w:val="21"/>
        </w:rPr>
        <w:t>施工方在向电缆桥架制造商提供订单前，应对现场电缆桥架的布置及走向进行复测，绘制复测图</w:t>
      </w:r>
      <w:r>
        <w:rPr>
          <w:rFonts w:hint="eastAsia" w:ascii="Times New Roman"/>
          <w:szCs w:val="21"/>
        </w:rPr>
        <w:t>及二次深化设计图</w:t>
      </w:r>
      <w:r>
        <w:rPr>
          <w:rFonts w:ascii="Times New Roman"/>
          <w:szCs w:val="21"/>
        </w:rPr>
        <w:t>；</w:t>
      </w:r>
    </w:p>
    <w:p w14:paraId="115C1E6E">
      <w:pPr>
        <w:numPr>
          <w:ilvl w:val="0"/>
          <w:numId w:val="13"/>
        </w:numPr>
        <w:rPr>
          <w:rFonts w:ascii="Times New Roman"/>
          <w:szCs w:val="21"/>
        </w:rPr>
      </w:pPr>
      <w:r>
        <w:rPr>
          <w:rFonts w:ascii="Times New Roman"/>
          <w:szCs w:val="21"/>
        </w:rPr>
        <w:t>宜采用标准产品及工厂预制件；</w:t>
      </w:r>
    </w:p>
    <w:p w14:paraId="33BE29EE">
      <w:pPr>
        <w:numPr>
          <w:ilvl w:val="0"/>
          <w:numId w:val="13"/>
        </w:numPr>
        <w:rPr>
          <w:rFonts w:ascii="Times New Roman"/>
          <w:szCs w:val="21"/>
        </w:rPr>
      </w:pPr>
      <w:r>
        <w:rPr>
          <w:rFonts w:ascii="Times New Roman"/>
          <w:szCs w:val="21"/>
        </w:rPr>
        <w:t>托盘、梯架分段应合理，连接部位不应置于穿墙、楼板孔洞内。</w:t>
      </w:r>
    </w:p>
    <w:p w14:paraId="2BC81FD0">
      <w:pPr>
        <w:rPr>
          <w:rFonts w:ascii="Times New Roman"/>
          <w:szCs w:val="21"/>
        </w:rPr>
      </w:pPr>
      <w:r>
        <w:rPr>
          <w:rFonts w:ascii="Times New Roman"/>
          <w:szCs w:val="21"/>
        </w:rPr>
        <w:t>5.4.2 电缆桥架安装应在下列条件具备后进行：</w:t>
      </w:r>
    </w:p>
    <w:p w14:paraId="1F0E7956">
      <w:pPr>
        <w:numPr>
          <w:ilvl w:val="0"/>
          <w:numId w:val="14"/>
        </w:numPr>
        <w:rPr>
          <w:rFonts w:ascii="Times New Roman"/>
          <w:szCs w:val="21"/>
        </w:rPr>
      </w:pPr>
      <w:r>
        <w:rPr>
          <w:rFonts w:ascii="Times New Roman"/>
          <w:szCs w:val="21"/>
        </w:rPr>
        <w:t>土建施工已结束，井道封顶已完工，周围环境干净；</w:t>
      </w:r>
    </w:p>
    <w:p w14:paraId="253BB06F">
      <w:pPr>
        <w:numPr>
          <w:ilvl w:val="0"/>
          <w:numId w:val="14"/>
        </w:numPr>
        <w:rPr>
          <w:rFonts w:ascii="Times New Roman"/>
          <w:szCs w:val="21"/>
        </w:rPr>
      </w:pPr>
      <w:r>
        <w:rPr>
          <w:rFonts w:ascii="Times New Roman"/>
          <w:szCs w:val="21"/>
        </w:rPr>
        <w:t>穿越墙面、楼板的孔洞位置正确；</w:t>
      </w:r>
    </w:p>
    <w:p w14:paraId="708BE84C">
      <w:pPr>
        <w:numPr>
          <w:ilvl w:val="0"/>
          <w:numId w:val="14"/>
        </w:numPr>
        <w:rPr>
          <w:rFonts w:ascii="Times New Roman"/>
          <w:szCs w:val="21"/>
        </w:rPr>
      </w:pPr>
      <w:r>
        <w:rPr>
          <w:rFonts w:ascii="Times New Roman"/>
          <w:szCs w:val="21"/>
        </w:rPr>
        <w:t>需连接的电气设备位置已确定。</w:t>
      </w:r>
    </w:p>
    <w:p w14:paraId="1B43BFAB">
      <w:pPr>
        <w:rPr>
          <w:rFonts w:ascii="Times New Roman"/>
          <w:szCs w:val="21"/>
        </w:rPr>
      </w:pPr>
      <w:r>
        <w:rPr>
          <w:rFonts w:ascii="Times New Roman"/>
          <w:szCs w:val="21"/>
        </w:rPr>
        <w:t>5.4.3 不锈钢制托盘、梯架本体之间的连接应牢固可靠，与保护导体的连接应符合下列规定：</w:t>
      </w:r>
    </w:p>
    <w:p w14:paraId="2C2101BA">
      <w:pPr>
        <w:numPr>
          <w:ilvl w:val="0"/>
          <w:numId w:val="15"/>
        </w:numPr>
        <w:rPr>
          <w:rFonts w:ascii="Times New Roman"/>
          <w:szCs w:val="21"/>
        </w:rPr>
      </w:pPr>
      <w:r>
        <w:rPr>
          <w:rFonts w:ascii="Times New Roman"/>
          <w:szCs w:val="21"/>
        </w:rPr>
        <w:t>托盘、梯架全长不大于30m时，不应少于2处与保护导体可靠连接；全长大于30m时，每隔20m-30m应增加一个连接点，起始端和终点端均应可靠接地；</w:t>
      </w:r>
    </w:p>
    <w:p w14:paraId="5BD05700">
      <w:pPr>
        <w:numPr>
          <w:ilvl w:val="0"/>
          <w:numId w:val="15"/>
        </w:numPr>
        <w:rPr>
          <w:rFonts w:ascii="Times New Roman"/>
          <w:szCs w:val="21"/>
        </w:rPr>
      </w:pPr>
      <w:r>
        <w:rPr>
          <w:rFonts w:ascii="Times New Roman"/>
          <w:szCs w:val="21"/>
        </w:rPr>
        <w:t>托盘、梯架本体之间连接板的两端应采用截面不小于4mm</w:t>
      </w:r>
      <w:r>
        <w:rPr>
          <w:rFonts w:ascii="Times New Roman"/>
          <w:szCs w:val="21"/>
          <w:vertAlign w:val="superscript"/>
        </w:rPr>
        <w:t>2</w:t>
      </w:r>
      <w:r>
        <w:rPr>
          <w:rFonts w:ascii="Times New Roman"/>
          <w:szCs w:val="21"/>
        </w:rPr>
        <w:t>的铜芯跨接线跨接；</w:t>
      </w:r>
    </w:p>
    <w:p w14:paraId="46EDBCC9">
      <w:pPr>
        <w:numPr>
          <w:ilvl w:val="0"/>
          <w:numId w:val="15"/>
        </w:numPr>
        <w:rPr>
          <w:rFonts w:ascii="Times New Roman"/>
          <w:szCs w:val="21"/>
        </w:rPr>
      </w:pPr>
      <w:r>
        <w:rPr>
          <w:rFonts w:ascii="Times New Roman"/>
          <w:szCs w:val="21"/>
        </w:rPr>
        <w:t>托盘、梯架之间不跨接保护联结导体时，连接板每端不应少于2个有防松螺帽或防松垫圈的连接固定螺栓；</w:t>
      </w:r>
    </w:p>
    <w:p w14:paraId="3205AD75">
      <w:pPr>
        <w:numPr>
          <w:ilvl w:val="0"/>
          <w:numId w:val="15"/>
        </w:numPr>
        <w:rPr>
          <w:rFonts w:ascii="Times New Roman"/>
          <w:szCs w:val="21"/>
        </w:rPr>
      </w:pPr>
      <w:r>
        <w:rPr>
          <w:rFonts w:ascii="Times New Roman"/>
          <w:szCs w:val="21"/>
        </w:rPr>
        <w:t>当托盘、梯架表面有绝缘涂层时，应将接地点或需要电气连接处的绝缘涂层清理干净或其他确保电气连接的措施。</w:t>
      </w:r>
    </w:p>
    <w:p w14:paraId="3B7C0725">
      <w:pPr>
        <w:rPr>
          <w:rFonts w:ascii="Times New Roman"/>
          <w:szCs w:val="21"/>
        </w:rPr>
      </w:pPr>
      <w:r>
        <w:rPr>
          <w:rFonts w:ascii="Times New Roman"/>
          <w:szCs w:val="21"/>
        </w:rPr>
        <w:t>5.4.4 托盘、梯架转弯、分支处宜采用专用连接配件，其弯曲半径不应小于其内各电缆最小允许转弯半径的最大值。</w:t>
      </w:r>
    </w:p>
    <w:p w14:paraId="2C94840C">
      <w:pPr>
        <w:rPr>
          <w:rFonts w:ascii="Times New Roman"/>
          <w:szCs w:val="21"/>
        </w:rPr>
      </w:pPr>
      <w:r>
        <w:rPr>
          <w:rFonts w:ascii="Times New Roman"/>
          <w:szCs w:val="21"/>
        </w:rPr>
        <w:t>5.4.5 当直线段托盘、梯架直线段长度超过30m时，应设置伸缩装置；当托盘、梯架跨越建筑物变形缝处时，应设置补偿装置。</w:t>
      </w:r>
    </w:p>
    <w:p w14:paraId="40586872">
      <w:pPr>
        <w:rPr>
          <w:rFonts w:ascii="Times New Roman"/>
          <w:szCs w:val="21"/>
        </w:rPr>
      </w:pPr>
      <w:r>
        <w:rPr>
          <w:rFonts w:ascii="Times New Roman"/>
          <w:szCs w:val="21"/>
        </w:rPr>
        <w:t>5.4.6 托盘、梯架与支架间及与连接板的固定螺栓应紧固无遗漏，螺母应位于托盘、梯架外侧。</w:t>
      </w:r>
    </w:p>
    <w:p w14:paraId="4052ACEB">
      <w:pPr>
        <w:rPr>
          <w:rFonts w:ascii="Times New Roman"/>
          <w:szCs w:val="21"/>
        </w:rPr>
      </w:pPr>
      <w:r>
        <w:rPr>
          <w:rFonts w:ascii="Times New Roman"/>
          <w:szCs w:val="21"/>
        </w:rPr>
        <w:t>5.4.7 当设计无要求时，托盘、梯架安装应符合下列规定：</w:t>
      </w:r>
    </w:p>
    <w:p w14:paraId="23D94D75">
      <w:pPr>
        <w:numPr>
          <w:ilvl w:val="0"/>
          <w:numId w:val="16"/>
        </w:numPr>
        <w:rPr>
          <w:rFonts w:ascii="Times New Roman"/>
          <w:szCs w:val="21"/>
        </w:rPr>
      </w:pPr>
      <w:r>
        <w:rPr>
          <w:rFonts w:ascii="Times New Roman"/>
          <w:szCs w:val="21"/>
        </w:rPr>
        <w:t>托盘、梯架安装应牢固，横平竖直，沿梯架、托盘水平走向的支架左右偏差不应大于10mm，其高低偏差不应大于5mm；</w:t>
      </w:r>
    </w:p>
    <w:p w14:paraId="02934263">
      <w:pPr>
        <w:numPr>
          <w:ilvl w:val="0"/>
          <w:numId w:val="16"/>
        </w:numPr>
        <w:rPr>
          <w:rFonts w:ascii="Times New Roman"/>
          <w:szCs w:val="21"/>
        </w:rPr>
      </w:pPr>
      <w:r>
        <w:rPr>
          <w:rFonts w:ascii="Times New Roman"/>
          <w:szCs w:val="21"/>
        </w:rPr>
        <w:t>托盘、梯架宜敷设在易燃易爆气体管道和热力管道的下方；</w:t>
      </w:r>
    </w:p>
    <w:p w14:paraId="0AFE8976">
      <w:pPr>
        <w:numPr>
          <w:ilvl w:val="0"/>
          <w:numId w:val="16"/>
        </w:numPr>
        <w:rPr>
          <w:rFonts w:ascii="Times New Roman"/>
          <w:szCs w:val="21"/>
        </w:rPr>
      </w:pPr>
      <w:r>
        <w:rPr>
          <w:rFonts w:ascii="Times New Roman"/>
          <w:szCs w:val="21"/>
        </w:rPr>
        <w:t>托盘、梯架与水管同侧上下敷设时，宜安装在水管的上方；</w:t>
      </w:r>
    </w:p>
    <w:p w14:paraId="26161800">
      <w:pPr>
        <w:numPr>
          <w:ilvl w:val="0"/>
          <w:numId w:val="16"/>
        </w:numPr>
        <w:rPr>
          <w:rFonts w:ascii="Times New Roman"/>
          <w:szCs w:val="21"/>
        </w:rPr>
      </w:pPr>
      <w:r>
        <w:rPr>
          <w:rFonts w:ascii="Times New Roman"/>
          <w:szCs w:val="21"/>
        </w:rPr>
        <w:t>与热水管、蒸气管平行上下敷设时，应敷设在热水管、蒸气管的下方；</w:t>
      </w:r>
    </w:p>
    <w:p w14:paraId="632D1CD5">
      <w:pPr>
        <w:numPr>
          <w:ilvl w:val="0"/>
          <w:numId w:val="16"/>
        </w:numPr>
        <w:rPr>
          <w:rFonts w:ascii="Times New Roman"/>
          <w:szCs w:val="21"/>
        </w:rPr>
      </w:pPr>
      <w:r>
        <w:rPr>
          <w:rFonts w:ascii="Times New Roman"/>
          <w:szCs w:val="21"/>
        </w:rPr>
        <w:t>托盘、梯架周围的空间应满足线缆敷设、维护的需要；</w:t>
      </w:r>
    </w:p>
    <w:p w14:paraId="1E3FE97D">
      <w:pPr>
        <w:numPr>
          <w:ilvl w:val="0"/>
          <w:numId w:val="16"/>
        </w:numPr>
        <w:rPr>
          <w:rFonts w:ascii="Times New Roman"/>
          <w:szCs w:val="21"/>
        </w:rPr>
      </w:pPr>
      <w:r>
        <w:rPr>
          <w:rFonts w:ascii="Times New Roman"/>
          <w:szCs w:val="21"/>
        </w:rPr>
        <w:t>敷设在电气竖井内穿楼板处和穿越不同防火区的托盘、梯架，应有防火封堵措施；</w:t>
      </w:r>
    </w:p>
    <w:p w14:paraId="69DF48F1">
      <w:pPr>
        <w:numPr>
          <w:ilvl w:val="0"/>
          <w:numId w:val="16"/>
        </w:numPr>
        <w:rPr>
          <w:rFonts w:ascii="Times New Roman"/>
          <w:szCs w:val="21"/>
        </w:rPr>
      </w:pPr>
      <w:r>
        <w:rPr>
          <w:rFonts w:ascii="Times New Roman"/>
          <w:szCs w:val="21"/>
        </w:rPr>
        <w:t>对于敷设在室外的托盘、梯架，当进入室内或配电箱(柜)时应有防雨水措施。由室外较高处引向室内时，托盘、梯架应先向下倾斜，然后水平引人室内。当采用托盘时，宜在室外水平段改用一段梯架，并在墙体交接处采用封堵防渗。</w:t>
      </w:r>
    </w:p>
    <w:p w14:paraId="708DA94E">
      <w:pPr>
        <w:numPr>
          <w:ilvl w:val="0"/>
          <w:numId w:val="16"/>
        </w:numPr>
        <w:rPr>
          <w:rFonts w:ascii="Times New Roman"/>
          <w:szCs w:val="21"/>
        </w:rPr>
      </w:pPr>
      <w:r>
        <w:rPr>
          <w:rFonts w:ascii="Times New Roman"/>
          <w:szCs w:val="21"/>
        </w:rPr>
        <w:t>有防雷要求的电缆桥架，外壳应与防雷接地装置可靠连接。</w:t>
      </w:r>
    </w:p>
    <w:p w14:paraId="0D254EFF">
      <w:pPr>
        <w:rPr>
          <w:rFonts w:ascii="Times New Roman"/>
          <w:szCs w:val="21"/>
        </w:rPr>
      </w:pPr>
      <w:r>
        <w:rPr>
          <w:rFonts w:ascii="Times New Roman"/>
          <w:szCs w:val="21"/>
        </w:rPr>
        <w:t>5.4.8 支、吊架设置应符合设计或产品技术文件要求，支、吊架安装应垂直、无明显扭曲，并应符合下列规定：</w:t>
      </w:r>
    </w:p>
    <w:p w14:paraId="08A7821C">
      <w:pPr>
        <w:numPr>
          <w:ilvl w:val="0"/>
          <w:numId w:val="17"/>
        </w:numPr>
        <w:rPr>
          <w:rFonts w:ascii="Times New Roman"/>
          <w:szCs w:val="21"/>
        </w:rPr>
      </w:pPr>
      <w:r>
        <w:rPr>
          <w:rFonts w:ascii="Times New Roman"/>
          <w:szCs w:val="21"/>
        </w:rPr>
        <w:t>水平安装的支架间距宜为1000mm-1500mm，转角安装的支架间距宜为300mm-600mm；垂直安装的支架间距不应大于2000mm；</w:t>
      </w:r>
    </w:p>
    <w:p w14:paraId="3DAAB770">
      <w:pPr>
        <w:numPr>
          <w:ilvl w:val="0"/>
          <w:numId w:val="17"/>
        </w:numPr>
        <w:rPr>
          <w:rFonts w:ascii="Times New Roman"/>
          <w:szCs w:val="21"/>
        </w:rPr>
      </w:pPr>
      <w:r>
        <w:rPr>
          <w:rFonts w:ascii="Times New Roman"/>
          <w:szCs w:val="21"/>
        </w:rPr>
        <w:t>敷设在电气竖井内的电缆托盘或梯架，其固定支架不应安装在固定电缆的横担上，且每隔3层-5层应设置承重支架；</w:t>
      </w:r>
    </w:p>
    <w:p w14:paraId="06827721">
      <w:pPr>
        <w:numPr>
          <w:ilvl w:val="0"/>
          <w:numId w:val="17"/>
        </w:numPr>
        <w:rPr>
          <w:rFonts w:ascii="Times New Roman"/>
          <w:szCs w:val="21"/>
        </w:rPr>
      </w:pPr>
      <w:r>
        <w:rPr>
          <w:rFonts w:ascii="Times New Roman"/>
          <w:szCs w:val="21"/>
        </w:rPr>
        <w:t>与预埋件焊接固定时，焊缝应饱满，且不应大于8mm，焊缝长度不应少于25mm；</w:t>
      </w:r>
    </w:p>
    <w:p w14:paraId="27436289">
      <w:pPr>
        <w:numPr>
          <w:ilvl w:val="0"/>
          <w:numId w:val="17"/>
        </w:numPr>
        <w:rPr>
          <w:rFonts w:ascii="Times New Roman"/>
          <w:szCs w:val="21"/>
        </w:rPr>
      </w:pPr>
      <w:r>
        <w:rPr>
          <w:rFonts w:ascii="Times New Roman"/>
          <w:szCs w:val="21"/>
        </w:rPr>
        <w:t>膨胀螺栓固定时，膨胀螺栓</w:t>
      </w:r>
      <w:r>
        <w:rPr>
          <w:rFonts w:hint="eastAsia" w:ascii="Times New Roman"/>
          <w:szCs w:val="21"/>
        </w:rPr>
        <w:t>应按照受力性质、大小及被连接支架受力工况，抗震设防等要求选用，</w:t>
      </w:r>
      <w:r>
        <w:rPr>
          <w:rFonts w:ascii="Times New Roman"/>
          <w:szCs w:val="21"/>
        </w:rPr>
        <w:t>应</w:t>
      </w:r>
      <w:r>
        <w:rPr>
          <w:rFonts w:hint="eastAsia" w:ascii="Times New Roman"/>
          <w:szCs w:val="21"/>
        </w:rPr>
        <w:t>选用适用于开裂混凝土、有抗震认证的膨胀螺栓，取得ETA</w:t>
      </w:r>
      <w:r>
        <w:rPr>
          <w:rFonts w:ascii="Times New Roman"/>
          <w:szCs w:val="21"/>
        </w:rPr>
        <w:t xml:space="preserve"> </w:t>
      </w:r>
      <w:r>
        <w:rPr>
          <w:rFonts w:hint="eastAsia" w:ascii="Times New Roman"/>
          <w:szCs w:val="21"/>
        </w:rPr>
        <w:t>C</w:t>
      </w:r>
      <w:r>
        <w:rPr>
          <w:rFonts w:ascii="Times New Roman"/>
          <w:szCs w:val="21"/>
        </w:rPr>
        <w:t>2</w:t>
      </w:r>
      <w:r>
        <w:rPr>
          <w:rFonts w:hint="eastAsia" w:ascii="Times New Roman"/>
          <w:szCs w:val="21"/>
        </w:rPr>
        <w:t>抗震认证或同等抗震认证，提供认证报告；同时膨胀螺栓应有不同耐火极限下承载力的测试报告；</w:t>
      </w:r>
      <w:r>
        <w:rPr>
          <w:rFonts w:ascii="Times New Roman"/>
          <w:szCs w:val="21"/>
        </w:rPr>
        <w:t>防松零件齐全，并应符合现行行业标准《混凝土结构后锚固技术规程》JGJ145的有关规定；轻型墙体禁止采用膨胀螺栓固定安装</w:t>
      </w:r>
      <w:r>
        <w:rPr>
          <w:rFonts w:hint="eastAsia" w:ascii="Times New Roman"/>
          <w:szCs w:val="21"/>
        </w:rPr>
        <w:t>，应采用适用于轻质墙体的化学锚栓固定</w:t>
      </w:r>
      <w:r>
        <w:rPr>
          <w:rFonts w:ascii="Times New Roman"/>
          <w:szCs w:val="21"/>
        </w:rPr>
        <w:t>。</w:t>
      </w:r>
    </w:p>
    <w:p w14:paraId="74754A5F">
      <w:pPr>
        <w:rPr>
          <w:rFonts w:ascii="Times New Roman"/>
          <w:szCs w:val="21"/>
        </w:rPr>
      </w:pPr>
      <w:r>
        <w:rPr>
          <w:rFonts w:ascii="Times New Roman"/>
          <w:szCs w:val="21"/>
        </w:rPr>
        <w:t>5.4.9 在有腐蚀环境条件下安装的电缆桥架，应采取措施防止电缆桥架表面涂层损坏，在切割、钻孔后应对其裸露的钢制基板表面用相应的防腐涂料或油漆修补。</w:t>
      </w:r>
    </w:p>
    <w:p w14:paraId="65DDF311">
      <w:pPr>
        <w:rPr>
          <w:rFonts w:ascii="Times New Roman"/>
          <w:szCs w:val="21"/>
        </w:rPr>
      </w:pPr>
      <w:r>
        <w:rPr>
          <w:rFonts w:ascii="Times New Roman"/>
          <w:szCs w:val="21"/>
        </w:rPr>
        <w:t>5.4.10线缆保护管与电缆托盘连接时，应采用专用的连接器或其他防止电缆损伤措施。</w:t>
      </w:r>
    </w:p>
    <w:p w14:paraId="77AE6AA4">
      <w:pPr>
        <w:rPr>
          <w:rFonts w:ascii="Times New Roman"/>
          <w:szCs w:val="21"/>
        </w:rPr>
      </w:pPr>
      <w:r>
        <w:rPr>
          <w:rFonts w:ascii="Times New Roman"/>
          <w:szCs w:val="21"/>
        </w:rPr>
        <w:t>5.4.11敷设电缆时，应避免拖、拉电缆造成电缆桥架防腐层的摩擦损伤。</w:t>
      </w:r>
    </w:p>
    <w:p w14:paraId="37D4933F">
      <w:pPr>
        <w:rPr>
          <w:rFonts w:ascii="Times New Roman"/>
          <w:szCs w:val="21"/>
        </w:rPr>
      </w:pPr>
      <w:r>
        <w:rPr>
          <w:rFonts w:ascii="Times New Roman"/>
          <w:szCs w:val="21"/>
        </w:rPr>
        <w:t>5.4.12金属支、吊架应进行防腐处理，位于室外及潮湿场所的应按设计要求做处理。</w:t>
      </w:r>
    </w:p>
    <w:p w14:paraId="0EA9F745">
      <w:pPr>
        <w:rPr>
          <w:rFonts w:ascii="Times New Roman"/>
          <w:szCs w:val="21"/>
        </w:rPr>
      </w:pPr>
      <w:r>
        <w:rPr>
          <w:rFonts w:ascii="Times New Roman"/>
          <w:szCs w:val="21"/>
        </w:rPr>
        <w:t>5.4.13梯架、托盘严禁作为人行通道、梯子或站人平台，其支、吊架不得作为吊挂设计以外重物的支架使用。</w:t>
      </w:r>
    </w:p>
    <w:p w14:paraId="1FEDA5BF">
      <w:pPr>
        <w:rPr>
          <w:rFonts w:ascii="Times New Roman"/>
          <w:szCs w:val="21"/>
        </w:rPr>
      </w:pPr>
      <w:r>
        <w:rPr>
          <w:rFonts w:ascii="Times New Roman"/>
          <w:szCs w:val="21"/>
        </w:rPr>
        <w:t>5.4.14焊接件要求：焊缝表面均匀、不得有漏焊、裂纹、夹渣、烧穿、弧坑等缺陷。</w:t>
      </w:r>
    </w:p>
    <w:p w14:paraId="52BAB836">
      <w:pPr>
        <w:rPr>
          <w:rFonts w:ascii="Times New Roman"/>
          <w:szCs w:val="21"/>
        </w:rPr>
      </w:pPr>
      <w:r>
        <w:rPr>
          <w:rFonts w:ascii="Times New Roman"/>
          <w:szCs w:val="21"/>
        </w:rPr>
        <w:t>5.4.15电缆桥架包箱的门面板应采用冲孔百叶样式，便于散热。</w:t>
      </w:r>
    </w:p>
    <w:p w14:paraId="27792C33">
      <w:pPr>
        <w:numPr>
          <w:ilvl w:val="1"/>
          <w:numId w:val="2"/>
        </w:numPr>
        <w:spacing w:after="120" w:afterLines="50" w:line="240" w:lineRule="auto"/>
        <w:outlineLvl w:val="0"/>
        <w:rPr>
          <w:rFonts w:ascii="Times New Roman"/>
          <w:b/>
          <w:bCs/>
          <w:sz w:val="28"/>
          <w:szCs w:val="28"/>
        </w:rPr>
      </w:pPr>
      <w:bookmarkStart w:id="47" w:name="_Toc3899"/>
      <w:r>
        <w:rPr>
          <w:rFonts w:ascii="Times New Roman"/>
          <w:b/>
          <w:bCs/>
          <w:sz w:val="28"/>
          <w:szCs w:val="28"/>
        </w:rPr>
        <w:t>电缆桥架的接地技术要求</w:t>
      </w:r>
      <w:bookmarkEnd w:id="47"/>
    </w:p>
    <w:p w14:paraId="393D95E6">
      <w:pPr>
        <w:widowControl/>
        <w:numPr>
          <w:ilvl w:val="0"/>
          <w:numId w:val="18"/>
        </w:numPr>
        <w:spacing w:line="440" w:lineRule="exact"/>
        <w:ind w:left="0" w:firstLine="567"/>
        <w:jc w:val="left"/>
        <w:rPr>
          <w:rFonts w:ascii="Times New Roman"/>
        </w:rPr>
      </w:pPr>
      <w:r>
        <w:rPr>
          <w:rFonts w:ascii="Times New Roman"/>
        </w:rPr>
        <w:t>桥架与桥架之间使用桥架连接片连接，连接片、桥架之间的接触面要保证同一层相邻桥架在电气上是连通的。安装时，要求每块连接片应有不少于2个弹簧垫圈。</w:t>
      </w:r>
    </w:p>
    <w:p w14:paraId="104D0C9B">
      <w:pPr>
        <w:widowControl/>
        <w:numPr>
          <w:ilvl w:val="0"/>
          <w:numId w:val="18"/>
        </w:numPr>
        <w:spacing w:line="440" w:lineRule="exact"/>
        <w:ind w:left="0" w:firstLine="567"/>
        <w:jc w:val="left"/>
        <w:rPr>
          <w:rFonts w:ascii="Times New Roman"/>
        </w:rPr>
      </w:pPr>
      <w:r>
        <w:rPr>
          <w:rFonts w:ascii="Times New Roman"/>
        </w:rPr>
        <w:t>电缆桥架每间隔30m设置一条伸缩缝，伸缩缝尽量设于相邻水工建筑物的伸缩缝处；伸缩缝间隙为20～30mm，使用伸缩连接板连接；凡伸缩缝两侧的电缆桥架，均使用16mm²编织铜导线连接，确保电缆桥架在电气上是有效连通。</w:t>
      </w:r>
    </w:p>
    <w:p w14:paraId="0FDE1734">
      <w:pPr>
        <w:widowControl/>
        <w:numPr>
          <w:ilvl w:val="0"/>
          <w:numId w:val="18"/>
        </w:numPr>
        <w:spacing w:line="440" w:lineRule="exact"/>
        <w:ind w:left="0" w:firstLine="567"/>
        <w:jc w:val="left"/>
        <w:rPr>
          <w:rFonts w:ascii="Times New Roman"/>
        </w:rPr>
      </w:pPr>
      <w:r>
        <w:rPr>
          <w:rFonts w:ascii="Times New Roman"/>
        </w:rPr>
        <w:t>各层桥架每隔16m使用16mm²的铜编接地线与接地扁铁连接。</w:t>
      </w:r>
    </w:p>
    <w:p w14:paraId="7325D754">
      <w:pPr>
        <w:widowControl/>
        <w:numPr>
          <w:ilvl w:val="0"/>
          <w:numId w:val="18"/>
        </w:numPr>
        <w:spacing w:line="440" w:lineRule="exact"/>
        <w:ind w:left="0" w:firstLine="567"/>
        <w:jc w:val="left"/>
        <w:rPr>
          <w:rFonts w:ascii="Times New Roman"/>
        </w:rPr>
      </w:pPr>
      <w:r>
        <w:rPr>
          <w:rFonts w:ascii="Times New Roman"/>
        </w:rPr>
        <w:t>桥架系统应具有可靠的电气连接并接地。采用电缆桥架做接地干线，且每隔30米安装一根50×5mm的不锈钢接地扁铁（长度约为3~5米）与主接地网焊接连接。</w:t>
      </w:r>
    </w:p>
    <w:p w14:paraId="31B074A0">
      <w:pPr>
        <w:widowControl/>
        <w:numPr>
          <w:ilvl w:val="0"/>
          <w:numId w:val="18"/>
        </w:numPr>
        <w:spacing w:line="440" w:lineRule="exact"/>
        <w:ind w:left="0" w:firstLine="567"/>
        <w:jc w:val="left"/>
        <w:rPr>
          <w:rFonts w:ascii="Times New Roman"/>
        </w:rPr>
      </w:pPr>
      <w:r>
        <w:rPr>
          <w:rFonts w:ascii="Times New Roman"/>
        </w:rPr>
        <w:t>沿桥架全长另敷设接地干线时，每段（包括非直线段）桥架应至少有一点与接地干线可靠连接。</w:t>
      </w:r>
    </w:p>
    <w:p w14:paraId="5B51A106">
      <w:pPr>
        <w:widowControl/>
        <w:numPr>
          <w:ilvl w:val="0"/>
          <w:numId w:val="18"/>
        </w:numPr>
        <w:spacing w:line="440" w:lineRule="exact"/>
        <w:ind w:left="0" w:firstLine="567"/>
        <w:jc w:val="left"/>
        <w:rPr>
          <w:rFonts w:ascii="Times New Roman"/>
        </w:rPr>
      </w:pPr>
      <w:r>
        <w:rPr>
          <w:rFonts w:ascii="Times New Roman"/>
        </w:rPr>
        <w:t>对于振动场所，在接地部位的连接处应装置弹簧圈。</w:t>
      </w:r>
    </w:p>
    <w:p w14:paraId="375FDBAA">
      <w:pPr>
        <w:numPr>
          <w:ilvl w:val="1"/>
          <w:numId w:val="2"/>
        </w:numPr>
        <w:spacing w:after="120" w:afterLines="50" w:line="240" w:lineRule="auto"/>
        <w:outlineLvl w:val="0"/>
        <w:rPr>
          <w:rFonts w:ascii="Times New Roman"/>
          <w:b/>
          <w:bCs/>
          <w:sz w:val="28"/>
          <w:szCs w:val="28"/>
        </w:rPr>
      </w:pPr>
      <w:bookmarkStart w:id="48" w:name="_Toc28223"/>
      <w:r>
        <w:rPr>
          <w:rFonts w:ascii="Times New Roman"/>
          <w:b/>
          <w:bCs/>
          <w:sz w:val="28"/>
          <w:szCs w:val="28"/>
        </w:rPr>
        <w:t>电缆交叉换层处的技术要求</w:t>
      </w:r>
      <w:bookmarkEnd w:id="48"/>
    </w:p>
    <w:p w14:paraId="4064EA06">
      <w:pPr>
        <w:widowControl/>
        <w:spacing w:line="440" w:lineRule="exact"/>
        <w:ind w:firstLine="480" w:firstLineChars="200"/>
        <w:jc w:val="left"/>
        <w:rPr>
          <w:rFonts w:ascii="Times New Roman"/>
        </w:rPr>
      </w:pPr>
      <w:r>
        <w:rPr>
          <w:rFonts w:ascii="Times New Roman"/>
          <w:szCs w:val="21"/>
        </w:rPr>
        <w:t>（1）</w:t>
      </w:r>
      <w:r>
        <w:rPr>
          <w:rFonts w:ascii="Times New Roman"/>
        </w:rPr>
        <w:t>在电缆交织缠绕或交叉分支部位，设置专用电缆转换箱，将换层、交叉的电缆集中到电缆转换箱内，电缆转换箱正面安装活动柜门。</w:t>
      </w:r>
    </w:p>
    <w:p w14:paraId="475735E5">
      <w:pPr>
        <w:widowControl/>
        <w:spacing w:line="440" w:lineRule="exact"/>
        <w:ind w:firstLine="480" w:firstLineChars="200"/>
        <w:jc w:val="left"/>
        <w:rPr>
          <w:rFonts w:ascii="Times New Roman"/>
        </w:rPr>
      </w:pPr>
      <w:r>
        <w:rPr>
          <w:rFonts w:ascii="Times New Roman"/>
          <w:szCs w:val="21"/>
        </w:rPr>
        <w:t>（2）</w:t>
      </w:r>
      <w:r>
        <w:rPr>
          <w:rFonts w:ascii="Times New Roman"/>
        </w:rPr>
        <w:t>高压电缆、动力电缆、控制电缆按类型整理，分层敷设，使电缆在桥架内敷设规范整齐。交叉区域采用集中电缆转换箱进行处理。</w:t>
      </w:r>
    </w:p>
    <w:p w14:paraId="6C757ADE">
      <w:pPr>
        <w:widowControl/>
        <w:spacing w:line="440" w:lineRule="exact"/>
        <w:ind w:firstLine="480" w:firstLineChars="200"/>
        <w:jc w:val="left"/>
        <w:rPr>
          <w:rFonts w:ascii="Times New Roman"/>
          <w:b/>
          <w:bCs/>
        </w:rPr>
      </w:pPr>
      <w:r>
        <w:rPr>
          <w:rFonts w:ascii="Times New Roman"/>
          <w:szCs w:val="21"/>
        </w:rPr>
        <w:t>（3）</w:t>
      </w:r>
      <w:r>
        <w:rPr>
          <w:rFonts w:ascii="Times New Roman"/>
        </w:rPr>
        <w:t>在设置电缆转换箱的位置，高压电缆、动力电缆与控制电缆没有交叉现象时，应单独安装桥架进行敷设，只将有交织缠绕或交叉的电缆设置专用电缆转换箱。</w:t>
      </w:r>
    </w:p>
    <w:p w14:paraId="4EDD74DF">
      <w:pPr>
        <w:numPr>
          <w:ilvl w:val="1"/>
          <w:numId w:val="2"/>
        </w:numPr>
        <w:spacing w:after="120" w:afterLines="50" w:line="240" w:lineRule="auto"/>
        <w:outlineLvl w:val="0"/>
        <w:rPr>
          <w:rFonts w:ascii="Times New Roman"/>
          <w:b/>
          <w:bCs/>
          <w:sz w:val="28"/>
          <w:szCs w:val="28"/>
        </w:rPr>
      </w:pPr>
      <w:bookmarkStart w:id="49" w:name="_Toc17095"/>
      <w:r>
        <w:rPr>
          <w:rFonts w:ascii="Times New Roman"/>
          <w:b/>
          <w:bCs/>
          <w:sz w:val="28"/>
          <w:szCs w:val="28"/>
        </w:rPr>
        <w:t>90°转角处桥架的技术要求</w:t>
      </w:r>
      <w:bookmarkEnd w:id="49"/>
    </w:p>
    <w:p w14:paraId="60984DA3">
      <w:pPr>
        <w:spacing w:line="440" w:lineRule="exact"/>
        <w:ind w:firstLine="360" w:firstLineChars="150"/>
        <w:rPr>
          <w:rFonts w:ascii="Times New Roman"/>
        </w:rPr>
      </w:pPr>
      <w:r>
        <w:rPr>
          <w:rFonts w:ascii="Times New Roman"/>
        </w:rPr>
        <w:t>凡90°转角的地方，根据电缆敷设规范要求：电缆敷设时，其弯曲半径不得小于电缆的允许弯曲半径。为了保证电缆放入桥架后满足电缆敷设规范要求，在90°转角处桥架使用弯通或三通，使用成品弯通。</w:t>
      </w:r>
    </w:p>
    <w:p w14:paraId="620CEFFB">
      <w:pPr>
        <w:numPr>
          <w:ilvl w:val="1"/>
          <w:numId w:val="2"/>
        </w:numPr>
        <w:spacing w:after="120" w:afterLines="50" w:line="240" w:lineRule="auto"/>
        <w:outlineLvl w:val="0"/>
        <w:rPr>
          <w:rFonts w:ascii="Times New Roman"/>
          <w:b/>
          <w:bCs/>
          <w:sz w:val="28"/>
          <w:szCs w:val="28"/>
        </w:rPr>
      </w:pPr>
      <w:bookmarkStart w:id="50" w:name="_Toc4454"/>
      <w:r>
        <w:rPr>
          <w:rFonts w:ascii="Times New Roman"/>
          <w:b/>
          <w:bCs/>
          <w:sz w:val="28"/>
          <w:szCs w:val="28"/>
        </w:rPr>
        <w:t>电缆整理部分技术要求</w:t>
      </w:r>
      <w:bookmarkEnd w:id="50"/>
    </w:p>
    <w:p w14:paraId="45C38DDF">
      <w:pPr>
        <w:widowControl/>
        <w:spacing w:line="440" w:lineRule="exact"/>
        <w:ind w:firstLine="480" w:firstLineChars="200"/>
        <w:jc w:val="left"/>
        <w:rPr>
          <w:rFonts w:ascii="Times New Roman"/>
        </w:rPr>
      </w:pPr>
      <w:r>
        <w:rPr>
          <w:rFonts w:ascii="Times New Roman"/>
          <w:szCs w:val="21"/>
        </w:rPr>
        <w:t>（1）</w:t>
      </w:r>
      <w:r>
        <w:rPr>
          <w:rFonts w:ascii="Times New Roman"/>
        </w:rPr>
        <w:t>电缆敷设应排列整齐；不同种类电缆原则上应分层敷设；从上至下依次为：中压电缆、动力电缆、控制电缆。</w:t>
      </w:r>
    </w:p>
    <w:p w14:paraId="4A404D4B">
      <w:pPr>
        <w:widowControl/>
        <w:spacing w:line="440" w:lineRule="exact"/>
        <w:ind w:firstLine="480" w:firstLineChars="200"/>
        <w:jc w:val="left"/>
        <w:rPr>
          <w:rFonts w:ascii="Times New Roman"/>
        </w:rPr>
      </w:pPr>
      <w:r>
        <w:rPr>
          <w:rFonts w:ascii="Times New Roman"/>
          <w:szCs w:val="21"/>
        </w:rPr>
        <w:t>（2）</w:t>
      </w:r>
      <w:r>
        <w:rPr>
          <w:rFonts w:ascii="Times New Roman"/>
        </w:rPr>
        <w:t>将电缆通道中的动力电缆整理至最上几层支架上。</w:t>
      </w:r>
    </w:p>
    <w:p w14:paraId="2D566675">
      <w:pPr>
        <w:widowControl/>
        <w:spacing w:line="440" w:lineRule="exact"/>
        <w:ind w:firstLine="480" w:firstLineChars="200"/>
        <w:jc w:val="left"/>
        <w:rPr>
          <w:rFonts w:ascii="Times New Roman"/>
        </w:rPr>
      </w:pPr>
      <w:r>
        <w:rPr>
          <w:rFonts w:ascii="Times New Roman"/>
          <w:szCs w:val="21"/>
        </w:rPr>
        <w:t>（3）</w:t>
      </w:r>
      <w:r>
        <w:rPr>
          <w:rFonts w:ascii="Times New Roman"/>
        </w:rPr>
        <w:t>对于不能移到最上几层支架的部分动力电缆，可以在下面几层合适的层数单独敷设，已保证动力电缆与控制电缆能够分开敷设。</w:t>
      </w:r>
    </w:p>
    <w:p w14:paraId="277A5C56">
      <w:pPr>
        <w:widowControl/>
        <w:spacing w:line="440" w:lineRule="exact"/>
        <w:ind w:firstLine="480" w:firstLineChars="200"/>
        <w:jc w:val="left"/>
        <w:rPr>
          <w:rFonts w:ascii="Times New Roman"/>
        </w:rPr>
      </w:pPr>
      <w:r>
        <w:rPr>
          <w:rFonts w:ascii="Times New Roman"/>
          <w:szCs w:val="21"/>
        </w:rPr>
        <w:t>（4）</w:t>
      </w:r>
      <w:r>
        <w:rPr>
          <w:rFonts w:ascii="Times New Roman"/>
        </w:rPr>
        <w:t>在同一区域内，当电缆有交叉、换层现象时，要将电缆交叉、换层的位置集中整理在合适的位置。一般是整理在有部分电缆穿墙、引上及转向其它方向的位置。</w:t>
      </w:r>
    </w:p>
    <w:p w14:paraId="09EC408E">
      <w:pPr>
        <w:widowControl/>
        <w:spacing w:line="440" w:lineRule="exact"/>
        <w:ind w:firstLine="480" w:firstLineChars="200"/>
        <w:jc w:val="left"/>
        <w:rPr>
          <w:rFonts w:ascii="Times New Roman"/>
        </w:rPr>
      </w:pPr>
      <w:r>
        <w:rPr>
          <w:rFonts w:ascii="Times New Roman"/>
          <w:szCs w:val="21"/>
        </w:rPr>
        <w:t>（5）</w:t>
      </w:r>
      <w:r>
        <w:rPr>
          <w:rFonts w:ascii="Times New Roman"/>
        </w:rPr>
        <w:t>当电缆通道比较长、电缆缠绕、交叉比较严重时，电缆整理的难度很大。从一端整理到一定的位置后，可能就没有办法再整理，这时就要从另一端将电缆向这个位置整理。这个位置就是以后安装转接箱的位置。其带有不确定性。</w:t>
      </w:r>
    </w:p>
    <w:p w14:paraId="713BBD89">
      <w:pPr>
        <w:widowControl/>
        <w:spacing w:line="440" w:lineRule="exact"/>
        <w:ind w:firstLine="480" w:firstLineChars="200"/>
        <w:jc w:val="left"/>
        <w:rPr>
          <w:rFonts w:ascii="Times New Roman"/>
        </w:rPr>
      </w:pPr>
      <w:r>
        <w:rPr>
          <w:rFonts w:ascii="Times New Roman"/>
          <w:szCs w:val="21"/>
        </w:rPr>
        <w:t>（6）</w:t>
      </w:r>
      <w:r>
        <w:rPr>
          <w:rFonts w:ascii="Times New Roman"/>
        </w:rPr>
        <w:t>当只有动力电缆之间或控制电缆之间有交叉、换层及缠绕现象时，要单独设立安装转接箱，以保证动力电缆与控制电缆的分开敷设。其转接箱的位置与大小要根据现场实际情况的要求来确定。</w:t>
      </w:r>
    </w:p>
    <w:p w14:paraId="57E4E299">
      <w:pPr>
        <w:widowControl/>
        <w:spacing w:line="440" w:lineRule="exact"/>
        <w:ind w:firstLine="480" w:firstLineChars="200"/>
        <w:jc w:val="left"/>
        <w:rPr>
          <w:rFonts w:ascii="Times New Roman"/>
        </w:rPr>
      </w:pPr>
      <w:r>
        <w:rPr>
          <w:rFonts w:ascii="Times New Roman"/>
          <w:szCs w:val="21"/>
        </w:rPr>
        <w:t>（7）</w:t>
      </w:r>
      <w:r>
        <w:rPr>
          <w:rFonts w:ascii="Times New Roman"/>
        </w:rPr>
        <w:t>电缆的整理是一个反复的过程，对于电缆比较多、交叉比较严重的位置，一次整理是不够的，有一部分电缆是根据实际情况要反复进行调整，以确定其所在的层数，达到最佳整理效果。</w:t>
      </w:r>
    </w:p>
    <w:p w14:paraId="4817A36B">
      <w:pPr>
        <w:widowControl/>
        <w:spacing w:line="440" w:lineRule="exact"/>
        <w:ind w:firstLine="480" w:firstLineChars="200"/>
        <w:jc w:val="left"/>
        <w:rPr>
          <w:rFonts w:ascii="Times New Roman"/>
        </w:rPr>
      </w:pPr>
      <w:r>
        <w:rPr>
          <w:rFonts w:ascii="Times New Roman"/>
          <w:szCs w:val="21"/>
        </w:rPr>
        <w:t>（8）</w:t>
      </w:r>
      <w:r>
        <w:rPr>
          <w:rFonts w:ascii="Times New Roman"/>
        </w:rPr>
        <w:t>在整理电缆时，不要将太多的电缆移出电缆托架，以免太多的电缆混在一起而无法整理。动力电缆要一根一根的整理，控制电缆要一次不超过5根进行整理。</w:t>
      </w:r>
    </w:p>
    <w:p w14:paraId="3A5FA7BD">
      <w:pPr>
        <w:widowControl/>
        <w:spacing w:line="440" w:lineRule="exact"/>
        <w:ind w:firstLine="480" w:firstLineChars="200"/>
        <w:jc w:val="left"/>
        <w:rPr>
          <w:rFonts w:ascii="Times New Roman"/>
        </w:rPr>
      </w:pPr>
      <w:r>
        <w:rPr>
          <w:rFonts w:ascii="Times New Roman"/>
          <w:szCs w:val="21"/>
        </w:rPr>
        <w:t>（9）</w:t>
      </w:r>
      <w:r>
        <w:rPr>
          <w:rFonts w:ascii="Times New Roman"/>
        </w:rPr>
        <w:t>在施工期间，如果甲方有需要，可以配合甲方相关部门，对电缆进行挂牌标识。此工作不在施工范围内。</w:t>
      </w:r>
    </w:p>
    <w:p w14:paraId="640A4981">
      <w:pPr>
        <w:widowControl/>
        <w:spacing w:line="440" w:lineRule="exact"/>
        <w:ind w:firstLine="480" w:firstLineChars="200"/>
        <w:jc w:val="left"/>
        <w:rPr>
          <w:rFonts w:ascii="Times New Roman"/>
        </w:rPr>
      </w:pPr>
      <w:r>
        <w:rPr>
          <w:rFonts w:ascii="Times New Roman"/>
          <w:szCs w:val="21"/>
        </w:rPr>
        <w:t>（10）</w:t>
      </w:r>
      <w:r>
        <w:rPr>
          <w:rFonts w:ascii="Times New Roman"/>
        </w:rPr>
        <w:t>在移动运行中的电缆时，必须检查电缆外表有无破损、漏电等现象，并且轻拿轻放，不得强行拖拉。</w:t>
      </w:r>
    </w:p>
    <w:p w14:paraId="2A69A67A">
      <w:pPr>
        <w:widowControl/>
        <w:spacing w:line="440" w:lineRule="exact"/>
        <w:ind w:firstLine="480" w:firstLineChars="200"/>
        <w:jc w:val="left"/>
        <w:rPr>
          <w:rFonts w:ascii="Times New Roman"/>
        </w:rPr>
      </w:pPr>
      <w:r>
        <w:rPr>
          <w:rFonts w:ascii="Times New Roman"/>
          <w:szCs w:val="21"/>
        </w:rPr>
        <w:t>（11）</w:t>
      </w:r>
      <w:r>
        <w:rPr>
          <w:rFonts w:ascii="Times New Roman"/>
        </w:rPr>
        <w:t>在整理电缆时，电缆的弯曲半径不能小于电缆外径的15倍。</w:t>
      </w:r>
    </w:p>
    <w:p w14:paraId="655EE6DC">
      <w:pPr>
        <w:widowControl/>
        <w:spacing w:line="440" w:lineRule="exact"/>
        <w:ind w:firstLine="480" w:firstLineChars="200"/>
        <w:jc w:val="left"/>
        <w:rPr>
          <w:rFonts w:ascii="Times New Roman"/>
        </w:rPr>
      </w:pPr>
      <w:r>
        <w:rPr>
          <w:rFonts w:ascii="Times New Roman"/>
          <w:szCs w:val="21"/>
        </w:rPr>
        <w:t>（12）</w:t>
      </w:r>
      <w:r>
        <w:rPr>
          <w:rFonts w:ascii="Times New Roman"/>
        </w:rPr>
        <w:t>在整理动力电缆时，要注意细小的控制电缆是否缠绕在要移动的动力电缆上，避免控制电缆因移动动力电缆而受力损坏。</w:t>
      </w:r>
    </w:p>
    <w:p w14:paraId="3B344A8C">
      <w:pPr>
        <w:numPr>
          <w:ilvl w:val="1"/>
          <w:numId w:val="2"/>
        </w:numPr>
        <w:spacing w:after="120" w:afterLines="50" w:line="240" w:lineRule="auto"/>
        <w:outlineLvl w:val="0"/>
        <w:rPr>
          <w:rFonts w:ascii="Times New Roman"/>
          <w:b/>
          <w:bCs/>
          <w:sz w:val="28"/>
          <w:szCs w:val="28"/>
        </w:rPr>
      </w:pPr>
      <w:bookmarkStart w:id="51" w:name="_Toc7705"/>
      <w:r>
        <w:rPr>
          <w:rFonts w:ascii="Times New Roman"/>
          <w:b/>
          <w:bCs/>
          <w:sz w:val="28"/>
          <w:szCs w:val="28"/>
        </w:rPr>
        <w:t>防火部分技术要求</w:t>
      </w:r>
      <w:bookmarkEnd w:id="51"/>
    </w:p>
    <w:p w14:paraId="386D7F6A">
      <w:pPr>
        <w:snapToGrid w:val="0"/>
        <w:spacing w:before="120" w:beforeLines="50"/>
        <w:rPr>
          <w:rFonts w:ascii="Times New Roman"/>
          <w:szCs w:val="21"/>
        </w:rPr>
      </w:pPr>
      <w:bookmarkStart w:id="52" w:name="_Toc21638204"/>
      <w:bookmarkStart w:id="53" w:name="_Toc22231318"/>
      <w:r>
        <w:rPr>
          <w:rFonts w:ascii="Times New Roman"/>
          <w:szCs w:val="21"/>
        </w:rPr>
        <w:t>5.</w:t>
      </w:r>
      <w:r>
        <w:rPr>
          <w:rFonts w:hint="eastAsia" w:ascii="Times New Roman"/>
          <w:szCs w:val="21"/>
        </w:rPr>
        <w:t>9</w:t>
      </w:r>
      <w:r>
        <w:rPr>
          <w:rFonts w:ascii="Times New Roman"/>
          <w:szCs w:val="21"/>
        </w:rPr>
        <w:t>.1 电缆防火</w:t>
      </w:r>
      <w:bookmarkEnd w:id="52"/>
      <w:r>
        <w:rPr>
          <w:rFonts w:ascii="Times New Roman"/>
          <w:szCs w:val="21"/>
        </w:rPr>
        <w:t>要求</w:t>
      </w:r>
      <w:bookmarkEnd w:id="53"/>
    </w:p>
    <w:p w14:paraId="15217F43">
      <w:pPr>
        <w:adjustRightInd w:val="0"/>
        <w:snapToGrid w:val="0"/>
        <w:ind w:firstLine="480" w:firstLineChars="200"/>
        <w:rPr>
          <w:rFonts w:ascii="Times New Roman"/>
          <w:szCs w:val="21"/>
        </w:rPr>
      </w:pPr>
      <w:r>
        <w:rPr>
          <w:rFonts w:ascii="Times New Roman"/>
          <w:szCs w:val="21"/>
        </w:rPr>
        <w:t>在所有的电缆桥架安装完毕后，即可对电缆防火进行安装整治。</w:t>
      </w:r>
    </w:p>
    <w:p w14:paraId="7C1D097C">
      <w:pPr>
        <w:numPr>
          <w:ilvl w:val="0"/>
          <w:numId w:val="19"/>
        </w:numPr>
        <w:adjustRightInd w:val="0"/>
        <w:snapToGrid w:val="0"/>
        <w:rPr>
          <w:rFonts w:ascii="Times New Roman"/>
          <w:szCs w:val="21"/>
        </w:rPr>
      </w:pPr>
      <w:r>
        <w:rPr>
          <w:rFonts w:ascii="Times New Roman"/>
          <w:szCs w:val="21"/>
        </w:rPr>
        <w:t>在安装水平电缆桥盒时，将防火隔板放入桥盒内作为每层的层间防火。</w:t>
      </w:r>
    </w:p>
    <w:p w14:paraId="42A1F5B6">
      <w:pPr>
        <w:numPr>
          <w:ilvl w:val="0"/>
          <w:numId w:val="19"/>
        </w:numPr>
        <w:adjustRightInd w:val="0"/>
        <w:snapToGrid w:val="0"/>
        <w:rPr>
          <w:rFonts w:ascii="Times New Roman"/>
          <w:szCs w:val="21"/>
        </w:rPr>
      </w:pPr>
      <w:r>
        <w:rPr>
          <w:rFonts w:ascii="Times New Roman"/>
          <w:szCs w:val="21"/>
        </w:rPr>
        <w:t>对于竖井处垂直安装的部分电缆梯架，将防火隔板用4个M8的螺栓固定在梯架的底部作为每层的层间防火。</w:t>
      </w:r>
    </w:p>
    <w:p w14:paraId="12C049D0">
      <w:pPr>
        <w:numPr>
          <w:ilvl w:val="0"/>
          <w:numId w:val="19"/>
        </w:numPr>
        <w:adjustRightInd w:val="0"/>
        <w:snapToGrid w:val="0"/>
        <w:rPr>
          <w:rFonts w:ascii="Times New Roman"/>
          <w:szCs w:val="21"/>
        </w:rPr>
      </w:pPr>
      <w:r>
        <w:rPr>
          <w:rFonts w:ascii="Times New Roman"/>
          <w:szCs w:val="21"/>
        </w:rPr>
        <w:t>在施工的范围内，各防火墙、防火门的设置基本符合规范要求，但是在安装桥架、整理电缆时防火墙要被拆除。在电缆桥架安装完毕后要在原位置恢复防火墙。</w:t>
      </w:r>
    </w:p>
    <w:p w14:paraId="3455C8CC">
      <w:pPr>
        <w:numPr>
          <w:ilvl w:val="0"/>
          <w:numId w:val="19"/>
        </w:numPr>
        <w:adjustRightInd w:val="0"/>
        <w:snapToGrid w:val="0"/>
        <w:rPr>
          <w:rFonts w:ascii="Times New Roman"/>
          <w:szCs w:val="21"/>
        </w:rPr>
      </w:pPr>
      <w:r>
        <w:rPr>
          <w:rFonts w:ascii="Times New Roman"/>
          <w:szCs w:val="21"/>
        </w:rPr>
        <w:t>对所有电缆穿墙孔洞进行封堵</w:t>
      </w:r>
      <w:r>
        <w:rPr>
          <w:rFonts w:hint="eastAsia" w:ascii="Times New Roman"/>
          <w:szCs w:val="21"/>
        </w:rPr>
        <w:t>，防火封堵材料具有型式检验报告，取得CCC认证，在其有效期内无剥落、开裂、变质、流油等现象。防火封堵应符合有关消防的规定，同时要求能防水、防火、防虫及防鼠，具有良好耐久性。</w:t>
      </w:r>
    </w:p>
    <w:p w14:paraId="346C1E43">
      <w:pPr>
        <w:numPr>
          <w:ilvl w:val="0"/>
          <w:numId w:val="19"/>
        </w:numPr>
        <w:adjustRightInd w:val="0"/>
        <w:snapToGrid w:val="0"/>
        <w:rPr>
          <w:rFonts w:ascii="Times New Roman"/>
          <w:szCs w:val="21"/>
        </w:rPr>
      </w:pPr>
      <w:r>
        <w:rPr>
          <w:rFonts w:ascii="Times New Roman"/>
          <w:szCs w:val="21"/>
        </w:rPr>
        <w:t>对于电缆转换箱或盘柜下一排电缆桥架全封闭的位置，要按照一个防火区域进行防火封堵。</w:t>
      </w:r>
    </w:p>
    <w:p w14:paraId="50E08099">
      <w:pPr>
        <w:pStyle w:val="39"/>
        <w:numPr>
          <w:ilvl w:val="0"/>
          <w:numId w:val="19"/>
        </w:numPr>
        <w:ind w:firstLineChars="0"/>
        <w:rPr>
          <w:rFonts w:ascii="Times New Roman"/>
          <w:szCs w:val="21"/>
        </w:rPr>
      </w:pPr>
      <w:r>
        <w:rPr>
          <w:rFonts w:hint="eastAsia" w:ascii="Times New Roman"/>
          <w:szCs w:val="21"/>
        </w:rPr>
        <w:t>在有防火封堵位置的两侧，对电缆在1.5m的长度范围内进行防火涂料的刷涂。电缆防火涂料应符合GB 28374-2012《电缆防火涂料》，具有型式检验报告，取得CCC认证；电缆防火涂料的卤素</w:t>
      </w:r>
      <w:bookmarkStart w:id="54" w:name="_Hlk13505729"/>
      <w:r>
        <w:rPr>
          <w:rFonts w:hint="eastAsia" w:ascii="Times New Roman"/>
          <w:szCs w:val="21"/>
        </w:rPr>
        <w:t>含量</w:t>
      </w:r>
      <w:bookmarkEnd w:id="54"/>
      <w:r>
        <w:rPr>
          <w:rFonts w:hint="eastAsia" w:ascii="Times New Roman"/>
          <w:szCs w:val="21"/>
        </w:rPr>
        <w:t xml:space="preserve">（≤0.5%）、VOC含量（≤150g/L）符合国际先进标准限值要求，提供权威第三方检测报告；电缆防火涂料涂刷后不能影响电缆载流量，提供涂刷后的导体升温测试报告（测试时间不低于1小时）；确保电缆防火涂料燃烧后不产生烟毒，将人员伤亡和财产损失降到最低，提供符合FAR25.853 和ABD 0031标准的产烟密度、烟毒性测试报告； </w:t>
      </w:r>
    </w:p>
    <w:p w14:paraId="403A5D23">
      <w:pPr>
        <w:numPr>
          <w:ilvl w:val="0"/>
          <w:numId w:val="19"/>
        </w:numPr>
        <w:adjustRightInd w:val="0"/>
        <w:snapToGrid w:val="0"/>
        <w:rPr>
          <w:rFonts w:ascii="Times New Roman"/>
          <w:szCs w:val="21"/>
        </w:rPr>
      </w:pPr>
      <w:r>
        <w:rPr>
          <w:rFonts w:ascii="Times New Roman"/>
          <w:szCs w:val="21"/>
        </w:rPr>
        <w:t>防火墙制作施工方法：</w:t>
      </w:r>
    </w:p>
    <w:p w14:paraId="05257CBC">
      <w:pPr>
        <w:numPr>
          <w:ilvl w:val="0"/>
          <w:numId w:val="20"/>
        </w:numPr>
        <w:adjustRightInd w:val="0"/>
        <w:snapToGrid w:val="0"/>
        <w:rPr>
          <w:rFonts w:ascii="Times New Roman"/>
          <w:szCs w:val="21"/>
        </w:rPr>
      </w:pPr>
      <w:r>
        <w:rPr>
          <w:rFonts w:ascii="Times New Roman"/>
          <w:szCs w:val="21"/>
        </w:rPr>
        <w:t>在防火墙安装部位自下而上堆叠防火包，直至顶部；</w:t>
      </w:r>
    </w:p>
    <w:p w14:paraId="024C46F3">
      <w:pPr>
        <w:numPr>
          <w:ilvl w:val="0"/>
          <w:numId w:val="20"/>
        </w:numPr>
        <w:adjustRightInd w:val="0"/>
        <w:snapToGrid w:val="0"/>
        <w:rPr>
          <w:rFonts w:ascii="Times New Roman"/>
          <w:szCs w:val="21"/>
        </w:rPr>
      </w:pPr>
      <w:r>
        <w:rPr>
          <w:rFonts w:ascii="Times New Roman"/>
          <w:szCs w:val="21"/>
        </w:rPr>
        <w:t>每堆叠一层，用有机堵料将电缆空隙填实；</w:t>
      </w:r>
    </w:p>
    <w:p w14:paraId="53EC03BA">
      <w:pPr>
        <w:numPr>
          <w:ilvl w:val="0"/>
          <w:numId w:val="20"/>
        </w:numPr>
        <w:adjustRightInd w:val="0"/>
        <w:snapToGrid w:val="0"/>
        <w:rPr>
          <w:rFonts w:ascii="Times New Roman"/>
          <w:szCs w:val="21"/>
        </w:rPr>
      </w:pPr>
      <w:r>
        <w:rPr>
          <w:rFonts w:ascii="Times New Roman"/>
          <w:szCs w:val="21"/>
        </w:rPr>
        <w:t>防火墙两侧的电缆在1.5m的长度范围内进行防火涂料的刷涂，刷涂次数为5-7次，每次在干结后再涂刷，保证涂料厚度在1.5㎜；</w:t>
      </w:r>
    </w:p>
    <w:p w14:paraId="5378DE80">
      <w:pPr>
        <w:numPr>
          <w:ilvl w:val="0"/>
          <w:numId w:val="20"/>
        </w:numPr>
        <w:adjustRightInd w:val="0"/>
        <w:snapToGrid w:val="0"/>
        <w:rPr>
          <w:rFonts w:ascii="Times New Roman"/>
          <w:szCs w:val="21"/>
        </w:rPr>
      </w:pPr>
      <w:r>
        <w:rPr>
          <w:rFonts w:ascii="Times New Roman"/>
          <w:szCs w:val="21"/>
        </w:rPr>
        <w:t>防火墙内预置φ=80mm的PVC管，两端用有机堵料进行封堵，作为今后新增电缆穿越防火墙的预留位置。</w:t>
      </w:r>
    </w:p>
    <w:p w14:paraId="07AE986D">
      <w:pPr>
        <w:numPr>
          <w:ilvl w:val="0"/>
          <w:numId w:val="20"/>
        </w:numPr>
        <w:adjustRightInd w:val="0"/>
        <w:snapToGrid w:val="0"/>
        <w:rPr>
          <w:rFonts w:ascii="Times New Roman"/>
          <w:szCs w:val="21"/>
        </w:rPr>
      </w:pPr>
      <w:r>
        <w:rPr>
          <w:rFonts w:ascii="Times New Roman"/>
          <w:szCs w:val="21"/>
        </w:rPr>
        <w:t>防火墙两侧的电缆在1.5m的长度范围内进行防火涂料的刷涂，刷涂次数为5-7次，每次在干结后再涂刷，保证涂料厚度在1.5㎜；</w:t>
      </w:r>
    </w:p>
    <w:p w14:paraId="6311B171">
      <w:pPr>
        <w:numPr>
          <w:ilvl w:val="0"/>
          <w:numId w:val="19"/>
        </w:numPr>
        <w:adjustRightInd w:val="0"/>
        <w:snapToGrid w:val="0"/>
        <w:rPr>
          <w:rFonts w:ascii="Times New Roman"/>
          <w:szCs w:val="21"/>
        </w:rPr>
      </w:pPr>
      <w:r>
        <w:rPr>
          <w:rFonts w:ascii="Times New Roman"/>
          <w:szCs w:val="21"/>
        </w:rPr>
        <w:t>防火阻断制作施工方法</w:t>
      </w:r>
    </w:p>
    <w:p w14:paraId="6E389D41">
      <w:pPr>
        <w:numPr>
          <w:ilvl w:val="0"/>
          <w:numId w:val="21"/>
        </w:numPr>
        <w:adjustRightInd w:val="0"/>
        <w:snapToGrid w:val="0"/>
        <w:rPr>
          <w:rFonts w:ascii="Times New Roman"/>
          <w:szCs w:val="21"/>
        </w:rPr>
      </w:pPr>
      <w:r>
        <w:rPr>
          <w:rFonts w:ascii="Times New Roman"/>
          <w:szCs w:val="21"/>
        </w:rPr>
        <w:t>电缆桥架托盘内用有机堵料及防火包每隔30米设置一堵防火阻断。防火阻断的厚度为320mm，高度与桥架平齐。</w:t>
      </w:r>
    </w:p>
    <w:p w14:paraId="18AD5550">
      <w:pPr>
        <w:numPr>
          <w:ilvl w:val="0"/>
          <w:numId w:val="21"/>
        </w:numPr>
        <w:adjustRightInd w:val="0"/>
        <w:snapToGrid w:val="0"/>
        <w:rPr>
          <w:rFonts w:ascii="Times New Roman"/>
          <w:szCs w:val="21"/>
        </w:rPr>
      </w:pPr>
      <w:r>
        <w:rPr>
          <w:rFonts w:ascii="Times New Roman"/>
          <w:szCs w:val="21"/>
        </w:rPr>
        <w:t>防火阻断内的电缆空隙要用有机堵料填实。用电筒从对面照，以看不见亮光为准。</w:t>
      </w:r>
    </w:p>
    <w:p w14:paraId="425FBD73">
      <w:pPr>
        <w:numPr>
          <w:ilvl w:val="0"/>
          <w:numId w:val="21"/>
        </w:numPr>
        <w:adjustRightInd w:val="0"/>
        <w:snapToGrid w:val="0"/>
        <w:rPr>
          <w:rFonts w:ascii="Times New Roman"/>
          <w:szCs w:val="21"/>
        </w:rPr>
      </w:pPr>
      <w:r>
        <w:rPr>
          <w:rFonts w:ascii="Times New Roman"/>
          <w:szCs w:val="21"/>
        </w:rPr>
        <w:t>防火阻断顶部用防火隔板嵌入桥架盒内，可以将防火阻断压实。</w:t>
      </w:r>
    </w:p>
    <w:p w14:paraId="32279F5B">
      <w:pPr>
        <w:numPr>
          <w:ilvl w:val="0"/>
          <w:numId w:val="19"/>
        </w:numPr>
        <w:adjustRightInd w:val="0"/>
        <w:snapToGrid w:val="0"/>
        <w:rPr>
          <w:rFonts w:ascii="Times New Roman"/>
          <w:szCs w:val="21"/>
        </w:rPr>
      </w:pPr>
      <w:r>
        <w:rPr>
          <w:rFonts w:ascii="Times New Roman"/>
          <w:szCs w:val="21"/>
        </w:rPr>
        <w:t>穿墙孔洞封堵施工方法</w:t>
      </w:r>
    </w:p>
    <w:p w14:paraId="18238F3A">
      <w:pPr>
        <w:numPr>
          <w:ilvl w:val="0"/>
          <w:numId w:val="22"/>
        </w:numPr>
        <w:adjustRightInd w:val="0"/>
        <w:snapToGrid w:val="0"/>
        <w:rPr>
          <w:rFonts w:ascii="Times New Roman"/>
          <w:szCs w:val="21"/>
        </w:rPr>
      </w:pPr>
      <w:r>
        <w:rPr>
          <w:rFonts w:ascii="Times New Roman"/>
          <w:szCs w:val="21"/>
        </w:rPr>
        <w:t>清除孔内杂物；</w:t>
      </w:r>
    </w:p>
    <w:p w14:paraId="43D66491">
      <w:pPr>
        <w:pStyle w:val="39"/>
        <w:numPr>
          <w:ilvl w:val="0"/>
          <w:numId w:val="22"/>
        </w:numPr>
        <w:adjustRightInd w:val="0"/>
        <w:snapToGrid w:val="0"/>
        <w:ind w:firstLineChars="0"/>
        <w:rPr>
          <w:rFonts w:ascii="Times New Roman"/>
          <w:szCs w:val="21"/>
        </w:rPr>
      </w:pPr>
      <w:r>
        <w:rPr>
          <w:rFonts w:ascii="Times New Roman"/>
          <w:szCs w:val="21"/>
        </w:rPr>
        <w:t>用</w:t>
      </w:r>
      <w:r>
        <w:rPr>
          <w:rFonts w:hint="eastAsia" w:ascii="Times New Roman"/>
          <w:szCs w:val="21"/>
        </w:rPr>
        <w:t>防火涂层板</w:t>
      </w:r>
      <w:r>
        <w:rPr>
          <w:rFonts w:ascii="Times New Roman"/>
          <w:szCs w:val="21"/>
        </w:rPr>
        <w:t>对穿线进行封堵</w:t>
      </w:r>
      <w:r>
        <w:rPr>
          <w:rFonts w:hint="eastAsia" w:ascii="Times New Roman"/>
          <w:szCs w:val="21"/>
        </w:rPr>
        <w:t>，外层所涂刷防火封堵漆颜色宜与墙体颜色白色相近，涂层板表面与墙面齐平，按照墙洞孔尺寸，裁切好防火涂层板，沿防火涂层板板周（含与桥架及电缆接触边）涂敷防火密封胶，轻轻将防火涂层板放置与桥架与墙洞之间空隙，使之完全封堵住桥架与墙洞空隙，并按要求涂刷防火封堵漆；墙面另一侧空隙封堵按同样方法施工</w:t>
      </w:r>
      <w:r>
        <w:rPr>
          <w:rFonts w:ascii="Times New Roman"/>
          <w:szCs w:val="21"/>
        </w:rPr>
        <w:t>；</w:t>
      </w:r>
    </w:p>
    <w:p w14:paraId="7B6B1479">
      <w:pPr>
        <w:numPr>
          <w:ilvl w:val="0"/>
          <w:numId w:val="22"/>
        </w:numPr>
        <w:adjustRightInd w:val="0"/>
        <w:snapToGrid w:val="0"/>
        <w:rPr>
          <w:rFonts w:ascii="Times New Roman"/>
          <w:szCs w:val="21"/>
        </w:rPr>
      </w:pPr>
      <w:r>
        <w:rPr>
          <w:rFonts w:ascii="Times New Roman"/>
          <w:szCs w:val="21"/>
        </w:rPr>
        <w:t>未刷涂防火涂料的电缆部分进行防火涂料的刷涂，刷涂次数为5-7次，每次在干结后再涂刷，保证涂料厚度为1.5㎜；</w:t>
      </w:r>
    </w:p>
    <w:p w14:paraId="666CAAD9">
      <w:pPr>
        <w:numPr>
          <w:ilvl w:val="0"/>
          <w:numId w:val="22"/>
        </w:numPr>
        <w:adjustRightInd w:val="0"/>
        <w:snapToGrid w:val="0"/>
        <w:rPr>
          <w:rFonts w:ascii="Times New Roman"/>
          <w:szCs w:val="21"/>
        </w:rPr>
      </w:pPr>
      <w:r>
        <w:rPr>
          <w:rFonts w:ascii="Times New Roman"/>
          <w:szCs w:val="21"/>
        </w:rPr>
        <w:t>用δ=5mm防火隔板将穿墙电缆的穿线进行防火封堵，采用M10×80的膨胀螺栓固定方式。</w:t>
      </w:r>
    </w:p>
    <w:p w14:paraId="4B6AEA24">
      <w:pPr>
        <w:numPr>
          <w:ilvl w:val="0"/>
          <w:numId w:val="19"/>
        </w:numPr>
        <w:adjustRightInd w:val="0"/>
        <w:snapToGrid w:val="0"/>
        <w:rPr>
          <w:rFonts w:ascii="Times New Roman"/>
          <w:szCs w:val="21"/>
        </w:rPr>
      </w:pPr>
      <w:r>
        <w:rPr>
          <w:rFonts w:ascii="Times New Roman"/>
          <w:szCs w:val="21"/>
        </w:rPr>
        <w:t>屏底防火封堵施工方法</w:t>
      </w:r>
    </w:p>
    <w:p w14:paraId="1BBA8C5F">
      <w:pPr>
        <w:numPr>
          <w:ilvl w:val="0"/>
          <w:numId w:val="23"/>
        </w:numPr>
        <w:adjustRightInd w:val="0"/>
        <w:snapToGrid w:val="0"/>
        <w:rPr>
          <w:rFonts w:ascii="Times New Roman"/>
          <w:szCs w:val="21"/>
        </w:rPr>
      </w:pPr>
      <w:r>
        <w:rPr>
          <w:rFonts w:ascii="Times New Roman"/>
          <w:szCs w:val="21"/>
        </w:rPr>
        <w:t>在屏底孔洞的底部安装一块δ=5mm防火隔板，采用M10×80的膨胀螺栓与楼板固定。防火隔板上开出小方孔，用于穿电缆。</w:t>
      </w:r>
    </w:p>
    <w:p w14:paraId="31A8947C">
      <w:pPr>
        <w:numPr>
          <w:ilvl w:val="0"/>
          <w:numId w:val="23"/>
        </w:numPr>
        <w:adjustRightInd w:val="0"/>
        <w:snapToGrid w:val="0"/>
        <w:rPr>
          <w:rFonts w:ascii="Times New Roman"/>
          <w:szCs w:val="21"/>
        </w:rPr>
      </w:pPr>
      <w:r>
        <w:rPr>
          <w:rFonts w:ascii="Times New Roman"/>
          <w:szCs w:val="21"/>
        </w:rPr>
        <w:t>在孔洞内自下而上堆叠防火包，直至配电屏底部；</w:t>
      </w:r>
    </w:p>
    <w:p w14:paraId="26891F99">
      <w:pPr>
        <w:numPr>
          <w:ilvl w:val="0"/>
          <w:numId w:val="23"/>
        </w:numPr>
        <w:adjustRightInd w:val="0"/>
        <w:snapToGrid w:val="0"/>
        <w:rPr>
          <w:rFonts w:ascii="Times New Roman"/>
          <w:szCs w:val="21"/>
        </w:rPr>
      </w:pPr>
      <w:r>
        <w:rPr>
          <w:rFonts w:ascii="Times New Roman"/>
          <w:szCs w:val="21"/>
        </w:rPr>
        <w:t>每堆叠一层，用有机堵料将电缆空隙填实；</w:t>
      </w:r>
    </w:p>
    <w:p w14:paraId="210A763B">
      <w:pPr>
        <w:numPr>
          <w:ilvl w:val="0"/>
          <w:numId w:val="23"/>
        </w:numPr>
        <w:adjustRightInd w:val="0"/>
        <w:snapToGrid w:val="0"/>
        <w:rPr>
          <w:rFonts w:ascii="Times New Roman"/>
          <w:szCs w:val="21"/>
        </w:rPr>
      </w:pPr>
      <w:r>
        <w:rPr>
          <w:rFonts w:ascii="Times New Roman"/>
          <w:szCs w:val="21"/>
        </w:rPr>
        <w:t>在配电屏底安装一块防火隔板，将电缆孔遮盖；</w:t>
      </w:r>
    </w:p>
    <w:p w14:paraId="67EA5FC2">
      <w:pPr>
        <w:numPr>
          <w:ilvl w:val="0"/>
          <w:numId w:val="23"/>
        </w:numPr>
        <w:adjustRightInd w:val="0"/>
        <w:snapToGrid w:val="0"/>
        <w:rPr>
          <w:rFonts w:ascii="Times New Roman"/>
          <w:szCs w:val="21"/>
        </w:rPr>
      </w:pPr>
      <w:r>
        <w:rPr>
          <w:rFonts w:ascii="Times New Roman"/>
          <w:szCs w:val="21"/>
        </w:rPr>
        <w:t>将有机堵料填实抹平，电缆引出部位用有机堵料填实。</w:t>
      </w:r>
    </w:p>
    <w:p w14:paraId="40D439BC">
      <w:pPr>
        <w:numPr>
          <w:ilvl w:val="0"/>
          <w:numId w:val="23"/>
        </w:numPr>
        <w:adjustRightInd w:val="0"/>
        <w:snapToGrid w:val="0"/>
        <w:rPr>
          <w:rFonts w:ascii="Times New Roman"/>
          <w:szCs w:val="21"/>
        </w:rPr>
      </w:pPr>
      <w:r>
        <w:rPr>
          <w:rFonts w:ascii="Times New Roman"/>
          <w:szCs w:val="21"/>
        </w:rPr>
        <w:t>孔洞两侧的电缆在1.5m的长度范围内进行防火涂料的刷涂，刷涂次数为5-7次，每次在干结后再涂刷，保证涂料厚度达1.5㎜；</w:t>
      </w:r>
    </w:p>
    <w:p w14:paraId="231C71D0">
      <w:pPr>
        <w:numPr>
          <w:ilvl w:val="0"/>
          <w:numId w:val="19"/>
        </w:numPr>
        <w:adjustRightInd w:val="0"/>
        <w:snapToGrid w:val="0"/>
        <w:rPr>
          <w:rFonts w:ascii="Times New Roman"/>
          <w:szCs w:val="21"/>
        </w:rPr>
      </w:pPr>
      <w:r>
        <w:rPr>
          <w:rFonts w:ascii="Times New Roman"/>
          <w:szCs w:val="21"/>
        </w:rPr>
        <w:t>防火涂料的施工方法</w:t>
      </w:r>
    </w:p>
    <w:p w14:paraId="412F1669">
      <w:pPr>
        <w:numPr>
          <w:ilvl w:val="0"/>
          <w:numId w:val="24"/>
        </w:numPr>
        <w:adjustRightInd w:val="0"/>
        <w:snapToGrid w:val="0"/>
        <w:rPr>
          <w:rFonts w:ascii="Times New Roman"/>
          <w:szCs w:val="21"/>
        </w:rPr>
      </w:pPr>
      <w:r>
        <w:rPr>
          <w:rFonts w:ascii="Times New Roman"/>
          <w:szCs w:val="21"/>
        </w:rPr>
        <w:t>防火涂料可直接进行涂刷或抹涂，允许少量沉淀，在使用时加入少量轻溶剂搅拌均匀即可。</w:t>
      </w:r>
    </w:p>
    <w:p w14:paraId="38ADB776">
      <w:pPr>
        <w:numPr>
          <w:ilvl w:val="0"/>
          <w:numId w:val="24"/>
        </w:numPr>
        <w:adjustRightInd w:val="0"/>
        <w:snapToGrid w:val="0"/>
        <w:rPr>
          <w:rFonts w:ascii="Times New Roman"/>
          <w:szCs w:val="21"/>
        </w:rPr>
      </w:pPr>
      <w:r>
        <w:rPr>
          <w:rFonts w:ascii="Times New Roman"/>
          <w:szCs w:val="21"/>
        </w:rPr>
        <w:t>在施工过程中和涂层干燥前禁止明火。</w:t>
      </w:r>
    </w:p>
    <w:p w14:paraId="6AAEC967">
      <w:pPr>
        <w:numPr>
          <w:ilvl w:val="0"/>
          <w:numId w:val="24"/>
        </w:numPr>
        <w:adjustRightInd w:val="0"/>
        <w:snapToGrid w:val="0"/>
        <w:rPr>
          <w:rFonts w:ascii="Times New Roman"/>
          <w:szCs w:val="21"/>
        </w:rPr>
      </w:pPr>
      <w:r>
        <w:rPr>
          <w:rFonts w:ascii="Times New Roman"/>
          <w:szCs w:val="21"/>
        </w:rPr>
        <w:t>对电缆护套直接涂刷5~7次，一般每隔2小施工一次，厚度达到1.5mm。如果气温偏低，则每隔4小时涂刷一次。</w:t>
      </w:r>
    </w:p>
    <w:p w14:paraId="6EC5FC3E">
      <w:pPr>
        <w:numPr>
          <w:ilvl w:val="0"/>
          <w:numId w:val="19"/>
        </w:numPr>
        <w:adjustRightInd w:val="0"/>
        <w:snapToGrid w:val="0"/>
        <w:rPr>
          <w:rFonts w:ascii="Times New Roman"/>
          <w:szCs w:val="21"/>
        </w:rPr>
      </w:pPr>
      <w:r>
        <w:rPr>
          <w:rFonts w:ascii="Times New Roman"/>
          <w:szCs w:val="21"/>
        </w:rPr>
        <w:t>有机防火堵料的施工方法</w:t>
      </w:r>
    </w:p>
    <w:p w14:paraId="0CAC2BBD">
      <w:pPr>
        <w:numPr>
          <w:ilvl w:val="0"/>
          <w:numId w:val="25"/>
        </w:numPr>
        <w:adjustRightInd w:val="0"/>
        <w:snapToGrid w:val="0"/>
        <w:rPr>
          <w:rFonts w:ascii="Times New Roman"/>
          <w:szCs w:val="21"/>
        </w:rPr>
      </w:pPr>
      <w:r>
        <w:rPr>
          <w:rFonts w:ascii="Times New Roman"/>
          <w:szCs w:val="21"/>
        </w:rPr>
        <w:t>将有机防火堵料揉匀后均匀密实地铺一起需封堵的孔隙中。</w:t>
      </w:r>
    </w:p>
    <w:p w14:paraId="37E382AE">
      <w:pPr>
        <w:numPr>
          <w:ilvl w:val="0"/>
          <w:numId w:val="25"/>
        </w:numPr>
        <w:adjustRightInd w:val="0"/>
        <w:snapToGrid w:val="0"/>
        <w:rPr>
          <w:rFonts w:ascii="Times New Roman"/>
          <w:szCs w:val="21"/>
        </w:rPr>
      </w:pPr>
      <w:r>
        <w:rPr>
          <w:rFonts w:ascii="Times New Roman"/>
          <w:szCs w:val="21"/>
        </w:rPr>
        <w:t>封堵较大的孔洞时，可与无机防火堵料配合使用。</w:t>
      </w:r>
    </w:p>
    <w:p w14:paraId="1CC1B03E">
      <w:pPr>
        <w:numPr>
          <w:ilvl w:val="0"/>
          <w:numId w:val="25"/>
        </w:numPr>
        <w:adjustRightInd w:val="0"/>
        <w:snapToGrid w:val="0"/>
        <w:rPr>
          <w:rFonts w:ascii="Times New Roman"/>
          <w:szCs w:val="21"/>
        </w:rPr>
      </w:pPr>
      <w:r>
        <w:rPr>
          <w:rFonts w:ascii="Times New Roman"/>
          <w:szCs w:val="21"/>
        </w:rPr>
        <w:t>若遇气温过低，有机堵料会变硬，为了施工顺利进行，可将堵塞料放入40℃的温水中加热，待稍软后即可进行施工。</w:t>
      </w:r>
    </w:p>
    <w:p w14:paraId="5B5DF562">
      <w:pPr>
        <w:numPr>
          <w:ilvl w:val="0"/>
          <w:numId w:val="19"/>
        </w:numPr>
        <w:adjustRightInd w:val="0"/>
        <w:snapToGrid w:val="0"/>
        <w:rPr>
          <w:rFonts w:ascii="Times New Roman"/>
          <w:szCs w:val="21"/>
        </w:rPr>
      </w:pPr>
      <w:r>
        <w:rPr>
          <w:rFonts w:ascii="Times New Roman"/>
          <w:szCs w:val="21"/>
        </w:rPr>
        <w:t>防火包的施工方法</w:t>
      </w:r>
    </w:p>
    <w:p w14:paraId="28AFBE39">
      <w:pPr>
        <w:numPr>
          <w:ilvl w:val="0"/>
          <w:numId w:val="26"/>
        </w:numPr>
        <w:adjustRightInd w:val="0"/>
        <w:snapToGrid w:val="0"/>
        <w:rPr>
          <w:rFonts w:ascii="Times New Roman"/>
          <w:szCs w:val="21"/>
        </w:rPr>
      </w:pPr>
      <w:r>
        <w:rPr>
          <w:rFonts w:ascii="Times New Roman"/>
          <w:szCs w:val="21"/>
        </w:rPr>
        <w:t>先根据需封堵孔洞或所建封堵墙体的大小计算尺寸。</w:t>
      </w:r>
    </w:p>
    <w:p w14:paraId="05B28E89">
      <w:pPr>
        <w:numPr>
          <w:ilvl w:val="0"/>
          <w:numId w:val="26"/>
        </w:numPr>
        <w:adjustRightInd w:val="0"/>
        <w:snapToGrid w:val="0"/>
        <w:rPr>
          <w:rFonts w:ascii="Times New Roman"/>
          <w:szCs w:val="21"/>
        </w:rPr>
      </w:pPr>
      <w:r>
        <w:rPr>
          <w:rFonts w:ascii="Times New Roman"/>
          <w:szCs w:val="21"/>
        </w:rPr>
        <w:t>然后将防火包整齐紧密堆砌，一般以1/2包体对叠为准，以增强其稳定性。</w:t>
      </w:r>
    </w:p>
    <w:p w14:paraId="5E37C273">
      <w:pPr>
        <w:numPr>
          <w:ilvl w:val="0"/>
          <w:numId w:val="26"/>
        </w:numPr>
        <w:adjustRightInd w:val="0"/>
        <w:snapToGrid w:val="0"/>
        <w:rPr>
          <w:rFonts w:ascii="Times New Roman"/>
          <w:szCs w:val="21"/>
        </w:rPr>
      </w:pPr>
      <w:r>
        <w:rPr>
          <w:rFonts w:ascii="Times New Roman"/>
          <w:szCs w:val="21"/>
        </w:rPr>
        <w:t>对于电缆廊道、电缆沟、电缆夹层的电缆阻火段或防火墙，要求防火墙体的宽度要大于或等于320mm。</w:t>
      </w:r>
    </w:p>
    <w:p w14:paraId="25065F50">
      <w:pPr>
        <w:numPr>
          <w:ilvl w:val="0"/>
          <w:numId w:val="19"/>
        </w:numPr>
        <w:adjustRightInd w:val="0"/>
        <w:snapToGrid w:val="0"/>
        <w:rPr>
          <w:rFonts w:ascii="Times New Roman"/>
          <w:szCs w:val="21"/>
        </w:rPr>
      </w:pPr>
      <w:r>
        <w:rPr>
          <w:rFonts w:ascii="Times New Roman"/>
          <w:szCs w:val="21"/>
        </w:rPr>
        <w:t>防火材料技术要求</w:t>
      </w:r>
    </w:p>
    <w:p w14:paraId="4458416E">
      <w:pPr>
        <w:numPr>
          <w:ilvl w:val="0"/>
          <w:numId w:val="27"/>
        </w:numPr>
        <w:adjustRightInd w:val="0"/>
        <w:snapToGrid w:val="0"/>
        <w:jc w:val="left"/>
        <w:rPr>
          <w:rFonts w:ascii="Times New Roman"/>
          <w:szCs w:val="21"/>
        </w:rPr>
      </w:pPr>
      <w:r>
        <w:rPr>
          <w:rFonts w:hint="eastAsia" w:ascii="Times New Roman"/>
          <w:szCs w:val="21"/>
        </w:rPr>
        <w:t>防火涂层板</w:t>
      </w:r>
    </w:p>
    <w:p w14:paraId="57B9DBD2">
      <w:pPr>
        <w:pStyle w:val="13"/>
        <w:rPr>
          <w:szCs w:val="21"/>
        </w:rPr>
      </w:pPr>
      <w:r>
        <w:rPr>
          <w:rFonts w:hint="eastAsia"/>
        </w:rPr>
        <w:t xml:space="preserve"> </w:t>
      </w:r>
      <w:r>
        <w:t xml:space="preserve">  </w:t>
      </w:r>
      <w:r>
        <w:rPr>
          <w:rFonts w:hint="eastAsia"/>
        </w:rPr>
        <w:t>防火涂层板采用5</w:t>
      </w:r>
      <w:r>
        <w:t>0</w:t>
      </w:r>
      <w:r>
        <w:rPr>
          <w:rFonts w:hint="eastAsia"/>
        </w:rPr>
        <w:t>mm后高密度优质防火岩棉表面涂刷防火涂料制作而成，用于</w:t>
      </w:r>
      <w:r>
        <w:rPr>
          <w:szCs w:val="21"/>
        </w:rPr>
        <w:t>穿墙孔洞</w:t>
      </w:r>
      <w:r>
        <w:rPr>
          <w:rFonts w:hint="eastAsia"/>
          <w:szCs w:val="21"/>
        </w:rPr>
        <w:t>的防火封堵。</w:t>
      </w:r>
    </w:p>
    <w:p w14:paraId="55C64B11">
      <w:pPr>
        <w:tabs>
          <w:tab w:val="left" w:pos="1080"/>
        </w:tabs>
        <w:ind w:firstLine="360" w:firstLineChars="150"/>
        <w:jc w:val="left"/>
      </w:pPr>
      <w:r>
        <w:rPr>
          <w:rFonts w:ascii="Times New Roman"/>
        </w:rPr>
        <w:t>主要技术性能要求如下：</w:t>
      </w:r>
    </w:p>
    <w:tbl>
      <w:tblPr>
        <w:tblStyle w:val="16"/>
        <w:tblW w:w="0" w:type="auto"/>
        <w:tblInd w:w="1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0"/>
        <w:gridCol w:w="1470"/>
        <w:gridCol w:w="5034"/>
      </w:tblGrid>
      <w:tr w14:paraId="2CDCC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1640" w:type="dxa"/>
            <w:tcBorders>
              <w:top w:val="single" w:color="auto" w:sz="12" w:space="0"/>
              <w:left w:val="single" w:color="auto" w:sz="12" w:space="0"/>
            </w:tcBorders>
            <w:vAlign w:val="center"/>
          </w:tcPr>
          <w:p w14:paraId="0C2B314C">
            <w:pPr>
              <w:tabs>
                <w:tab w:val="left" w:pos="1080"/>
              </w:tabs>
              <w:spacing w:line="240" w:lineRule="auto"/>
              <w:jc w:val="center"/>
              <w:rPr>
                <w:rFonts w:ascii="Times New Roman"/>
                <w:sz w:val="21"/>
                <w:szCs w:val="21"/>
              </w:rPr>
            </w:pPr>
            <w:r>
              <w:rPr>
                <w:rFonts w:ascii="Times New Roman"/>
                <w:sz w:val="21"/>
                <w:szCs w:val="21"/>
              </w:rPr>
              <w:t>项  目</w:t>
            </w:r>
          </w:p>
        </w:tc>
        <w:tc>
          <w:tcPr>
            <w:tcW w:w="1470" w:type="dxa"/>
            <w:tcBorders>
              <w:top w:val="single" w:color="auto" w:sz="12" w:space="0"/>
            </w:tcBorders>
            <w:vAlign w:val="center"/>
          </w:tcPr>
          <w:p w14:paraId="0874F4F5">
            <w:pPr>
              <w:tabs>
                <w:tab w:val="left" w:pos="1080"/>
              </w:tabs>
              <w:spacing w:line="240" w:lineRule="auto"/>
              <w:jc w:val="center"/>
              <w:rPr>
                <w:rFonts w:ascii="Times New Roman"/>
                <w:sz w:val="21"/>
                <w:szCs w:val="21"/>
              </w:rPr>
            </w:pPr>
            <w:r>
              <w:rPr>
                <w:rFonts w:ascii="Times New Roman"/>
                <w:sz w:val="21"/>
                <w:szCs w:val="21"/>
              </w:rPr>
              <w:t>单  位</w:t>
            </w:r>
          </w:p>
        </w:tc>
        <w:tc>
          <w:tcPr>
            <w:tcW w:w="5034" w:type="dxa"/>
            <w:tcBorders>
              <w:top w:val="single" w:color="auto" w:sz="12" w:space="0"/>
              <w:right w:val="single" w:color="auto" w:sz="12" w:space="0"/>
            </w:tcBorders>
            <w:vAlign w:val="center"/>
          </w:tcPr>
          <w:p w14:paraId="25F01CED">
            <w:pPr>
              <w:tabs>
                <w:tab w:val="left" w:pos="1080"/>
              </w:tabs>
              <w:spacing w:line="240" w:lineRule="auto"/>
              <w:jc w:val="center"/>
              <w:rPr>
                <w:rFonts w:ascii="Times New Roman"/>
                <w:sz w:val="21"/>
                <w:szCs w:val="21"/>
              </w:rPr>
            </w:pPr>
            <w:r>
              <w:rPr>
                <w:rFonts w:ascii="Times New Roman"/>
                <w:sz w:val="21"/>
                <w:szCs w:val="21"/>
              </w:rPr>
              <w:t>技术性能指标</w:t>
            </w:r>
          </w:p>
        </w:tc>
      </w:tr>
      <w:tr w14:paraId="45611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0" w:type="dxa"/>
            <w:tcBorders>
              <w:left w:val="single" w:color="auto" w:sz="12" w:space="0"/>
            </w:tcBorders>
            <w:vAlign w:val="center"/>
          </w:tcPr>
          <w:p w14:paraId="6C3020BC">
            <w:pPr>
              <w:tabs>
                <w:tab w:val="left" w:pos="1080"/>
              </w:tabs>
              <w:spacing w:line="240" w:lineRule="auto"/>
              <w:rPr>
                <w:rFonts w:ascii="Times New Roman"/>
                <w:sz w:val="21"/>
                <w:szCs w:val="21"/>
              </w:rPr>
            </w:pPr>
            <w:r>
              <w:rPr>
                <w:rFonts w:hint="eastAsia" w:ascii="Times New Roman"/>
                <w:sz w:val="21"/>
                <w:szCs w:val="21"/>
              </w:rPr>
              <w:t>系统耐火极限</w:t>
            </w:r>
          </w:p>
        </w:tc>
        <w:tc>
          <w:tcPr>
            <w:tcW w:w="1470" w:type="dxa"/>
            <w:vAlign w:val="center"/>
          </w:tcPr>
          <w:p w14:paraId="66326DA6">
            <w:pPr>
              <w:tabs>
                <w:tab w:val="left" w:pos="1080"/>
              </w:tabs>
              <w:spacing w:line="240" w:lineRule="auto"/>
              <w:jc w:val="center"/>
              <w:rPr>
                <w:rFonts w:ascii="Times New Roman"/>
                <w:sz w:val="21"/>
                <w:szCs w:val="21"/>
              </w:rPr>
            </w:pPr>
          </w:p>
        </w:tc>
        <w:tc>
          <w:tcPr>
            <w:tcW w:w="5034" w:type="dxa"/>
            <w:tcBorders>
              <w:right w:val="single" w:color="auto" w:sz="12" w:space="0"/>
            </w:tcBorders>
            <w:vAlign w:val="center"/>
          </w:tcPr>
          <w:p w14:paraId="6D06F4FF">
            <w:pPr>
              <w:tabs>
                <w:tab w:val="left" w:pos="1080"/>
              </w:tabs>
              <w:spacing w:line="240" w:lineRule="auto"/>
              <w:jc w:val="center"/>
              <w:rPr>
                <w:rFonts w:ascii="Times New Roman"/>
                <w:sz w:val="21"/>
                <w:szCs w:val="21"/>
              </w:rPr>
            </w:pPr>
            <w:r>
              <w:rPr>
                <w:rFonts w:hint="eastAsia" w:ascii="Times New Roman"/>
                <w:sz w:val="21"/>
                <w:szCs w:val="21"/>
              </w:rPr>
              <w:t>3h</w:t>
            </w:r>
          </w:p>
        </w:tc>
      </w:tr>
      <w:tr w14:paraId="3E5C6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1640" w:type="dxa"/>
            <w:tcBorders>
              <w:left w:val="single" w:color="auto" w:sz="12" w:space="0"/>
            </w:tcBorders>
            <w:vAlign w:val="center"/>
          </w:tcPr>
          <w:p w14:paraId="0C9959D1">
            <w:pPr>
              <w:tabs>
                <w:tab w:val="left" w:pos="1080"/>
              </w:tabs>
              <w:spacing w:line="240" w:lineRule="auto"/>
              <w:rPr>
                <w:rFonts w:ascii="Times New Roman"/>
                <w:sz w:val="21"/>
                <w:szCs w:val="21"/>
              </w:rPr>
            </w:pPr>
            <w:r>
              <w:rPr>
                <w:rFonts w:hint="eastAsia" w:ascii="Times New Roman"/>
                <w:sz w:val="21"/>
                <w:szCs w:val="21"/>
              </w:rPr>
              <w:t>系统抗震性能</w:t>
            </w:r>
          </w:p>
        </w:tc>
        <w:tc>
          <w:tcPr>
            <w:tcW w:w="1470" w:type="dxa"/>
            <w:vAlign w:val="center"/>
          </w:tcPr>
          <w:p w14:paraId="51876CEA">
            <w:pPr>
              <w:tabs>
                <w:tab w:val="left" w:pos="1080"/>
              </w:tabs>
              <w:spacing w:line="240" w:lineRule="auto"/>
              <w:jc w:val="center"/>
              <w:rPr>
                <w:rFonts w:ascii="Times New Roman"/>
                <w:sz w:val="21"/>
                <w:szCs w:val="21"/>
              </w:rPr>
            </w:pPr>
          </w:p>
        </w:tc>
        <w:tc>
          <w:tcPr>
            <w:tcW w:w="5034" w:type="dxa"/>
            <w:tcBorders>
              <w:right w:val="single" w:color="auto" w:sz="12" w:space="0"/>
            </w:tcBorders>
            <w:vAlign w:val="center"/>
          </w:tcPr>
          <w:p w14:paraId="6FFBAA1F">
            <w:pPr>
              <w:tabs>
                <w:tab w:val="left" w:pos="1080"/>
              </w:tabs>
              <w:spacing w:line="240" w:lineRule="auto"/>
              <w:jc w:val="center"/>
              <w:rPr>
                <w:rFonts w:ascii="Times New Roman"/>
                <w:sz w:val="21"/>
                <w:szCs w:val="21"/>
              </w:rPr>
            </w:pPr>
            <w:r>
              <w:rPr>
                <w:rFonts w:hint="eastAsia" w:ascii="Times New Roman"/>
                <w:sz w:val="21"/>
                <w:szCs w:val="21"/>
              </w:rPr>
              <w:t>有相关测试报告</w:t>
            </w:r>
          </w:p>
        </w:tc>
      </w:tr>
      <w:tr w14:paraId="06460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0" w:type="dxa"/>
            <w:tcBorders>
              <w:left w:val="single" w:color="auto" w:sz="12" w:space="0"/>
            </w:tcBorders>
            <w:vAlign w:val="center"/>
          </w:tcPr>
          <w:p w14:paraId="00B0FAFD">
            <w:pPr>
              <w:tabs>
                <w:tab w:val="left" w:pos="1080"/>
              </w:tabs>
              <w:spacing w:line="240" w:lineRule="auto"/>
              <w:rPr>
                <w:rFonts w:ascii="Times New Roman"/>
                <w:sz w:val="21"/>
                <w:szCs w:val="21"/>
              </w:rPr>
            </w:pPr>
            <w:r>
              <w:rPr>
                <w:rFonts w:hint="eastAsia" w:ascii="Times New Roman"/>
                <w:sz w:val="21"/>
                <w:szCs w:val="21"/>
              </w:rPr>
              <w:t>系统烟密性</w:t>
            </w:r>
          </w:p>
        </w:tc>
        <w:tc>
          <w:tcPr>
            <w:tcW w:w="1470" w:type="dxa"/>
            <w:vAlign w:val="center"/>
          </w:tcPr>
          <w:p w14:paraId="7AA87047">
            <w:pPr>
              <w:tabs>
                <w:tab w:val="left" w:pos="1080"/>
              </w:tabs>
              <w:spacing w:line="240" w:lineRule="auto"/>
              <w:jc w:val="center"/>
              <w:rPr>
                <w:rFonts w:ascii="Times New Roman"/>
                <w:sz w:val="21"/>
                <w:szCs w:val="21"/>
              </w:rPr>
            </w:pPr>
          </w:p>
        </w:tc>
        <w:tc>
          <w:tcPr>
            <w:tcW w:w="5034" w:type="dxa"/>
            <w:tcBorders>
              <w:right w:val="single" w:color="auto" w:sz="12" w:space="0"/>
            </w:tcBorders>
            <w:vAlign w:val="center"/>
          </w:tcPr>
          <w:p w14:paraId="01C764FC">
            <w:pPr>
              <w:tabs>
                <w:tab w:val="left" w:pos="1080"/>
              </w:tabs>
              <w:spacing w:line="240" w:lineRule="auto"/>
              <w:jc w:val="center"/>
              <w:rPr>
                <w:rFonts w:ascii="Times New Roman"/>
                <w:sz w:val="21"/>
                <w:szCs w:val="21"/>
              </w:rPr>
            </w:pPr>
            <w:r>
              <w:rPr>
                <w:rFonts w:hint="eastAsia" w:ascii="Times New Roman"/>
                <w:sz w:val="21"/>
                <w:szCs w:val="21"/>
              </w:rPr>
              <w:t>有相关测试报告</w:t>
            </w:r>
          </w:p>
        </w:tc>
      </w:tr>
      <w:tr w14:paraId="5F6F5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0" w:type="dxa"/>
            <w:tcBorders>
              <w:left w:val="single" w:color="auto" w:sz="12" w:space="0"/>
            </w:tcBorders>
            <w:vAlign w:val="center"/>
          </w:tcPr>
          <w:p w14:paraId="09C22C45">
            <w:pPr>
              <w:tabs>
                <w:tab w:val="left" w:pos="1080"/>
              </w:tabs>
              <w:spacing w:line="240" w:lineRule="auto"/>
              <w:jc w:val="center"/>
              <w:rPr>
                <w:rFonts w:ascii="Times New Roman"/>
                <w:sz w:val="21"/>
                <w:szCs w:val="21"/>
              </w:rPr>
            </w:pPr>
            <w:r>
              <w:rPr>
                <w:rFonts w:hint="eastAsia" w:ascii="Times New Roman"/>
                <w:sz w:val="21"/>
                <w:szCs w:val="21"/>
              </w:rPr>
              <w:t>防火涂料颜色</w:t>
            </w:r>
          </w:p>
        </w:tc>
        <w:tc>
          <w:tcPr>
            <w:tcW w:w="1470" w:type="dxa"/>
            <w:vAlign w:val="center"/>
          </w:tcPr>
          <w:p w14:paraId="2BB2A37D">
            <w:pPr>
              <w:tabs>
                <w:tab w:val="left" w:pos="1080"/>
              </w:tabs>
              <w:spacing w:line="240" w:lineRule="auto"/>
              <w:jc w:val="center"/>
              <w:rPr>
                <w:rFonts w:ascii="Times New Roman"/>
                <w:sz w:val="21"/>
                <w:szCs w:val="21"/>
              </w:rPr>
            </w:pPr>
          </w:p>
        </w:tc>
        <w:tc>
          <w:tcPr>
            <w:tcW w:w="5034" w:type="dxa"/>
            <w:tcBorders>
              <w:right w:val="single" w:color="auto" w:sz="12" w:space="0"/>
            </w:tcBorders>
            <w:vAlign w:val="center"/>
          </w:tcPr>
          <w:p w14:paraId="29AA2C5D">
            <w:pPr>
              <w:tabs>
                <w:tab w:val="left" w:pos="1080"/>
              </w:tabs>
              <w:spacing w:line="240" w:lineRule="auto"/>
              <w:jc w:val="center"/>
              <w:rPr>
                <w:rFonts w:ascii="Times New Roman"/>
                <w:sz w:val="21"/>
                <w:szCs w:val="21"/>
              </w:rPr>
            </w:pPr>
            <w:r>
              <w:rPr>
                <w:rFonts w:hint="eastAsia" w:ascii="Times New Roman"/>
                <w:sz w:val="21"/>
                <w:szCs w:val="21"/>
              </w:rPr>
              <w:t>白色</w:t>
            </w:r>
          </w:p>
        </w:tc>
      </w:tr>
      <w:tr w14:paraId="004B5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0" w:type="dxa"/>
            <w:tcBorders>
              <w:left w:val="single" w:color="auto" w:sz="12" w:space="0"/>
            </w:tcBorders>
            <w:vAlign w:val="center"/>
          </w:tcPr>
          <w:p w14:paraId="1199DF26">
            <w:pPr>
              <w:tabs>
                <w:tab w:val="left" w:pos="1080"/>
              </w:tabs>
              <w:spacing w:line="240" w:lineRule="auto"/>
              <w:jc w:val="center"/>
              <w:rPr>
                <w:rFonts w:ascii="Times New Roman"/>
                <w:sz w:val="21"/>
                <w:szCs w:val="21"/>
              </w:rPr>
            </w:pPr>
            <w:r>
              <w:rPr>
                <w:rFonts w:ascii="Times New Roman"/>
                <w:sz w:val="21"/>
                <w:szCs w:val="21"/>
              </w:rPr>
              <w:t>体积密度</w:t>
            </w:r>
          </w:p>
        </w:tc>
        <w:tc>
          <w:tcPr>
            <w:tcW w:w="1470" w:type="dxa"/>
            <w:vAlign w:val="center"/>
          </w:tcPr>
          <w:p w14:paraId="54339BCE">
            <w:pPr>
              <w:tabs>
                <w:tab w:val="left" w:pos="1080"/>
              </w:tabs>
              <w:spacing w:line="240" w:lineRule="auto"/>
              <w:jc w:val="center"/>
              <w:rPr>
                <w:rFonts w:ascii="Times New Roman"/>
                <w:sz w:val="21"/>
                <w:szCs w:val="21"/>
              </w:rPr>
            </w:pPr>
            <w:r>
              <w:rPr>
                <w:rFonts w:ascii="Times New Roman"/>
                <w:sz w:val="21"/>
                <w:szCs w:val="21"/>
              </w:rPr>
              <w:t>kg/m</w:t>
            </w:r>
            <w:r>
              <w:rPr>
                <w:rFonts w:ascii="Times New Roman"/>
                <w:sz w:val="21"/>
                <w:szCs w:val="21"/>
                <w:vertAlign w:val="superscript"/>
              </w:rPr>
              <w:t>3</w:t>
            </w:r>
          </w:p>
        </w:tc>
        <w:tc>
          <w:tcPr>
            <w:tcW w:w="5034" w:type="dxa"/>
            <w:tcBorders>
              <w:right w:val="single" w:color="auto" w:sz="12" w:space="0"/>
            </w:tcBorders>
            <w:vAlign w:val="center"/>
          </w:tcPr>
          <w:p w14:paraId="663B390E">
            <w:pPr>
              <w:tabs>
                <w:tab w:val="left" w:pos="1080"/>
              </w:tabs>
              <w:spacing w:line="240" w:lineRule="auto"/>
              <w:jc w:val="center"/>
              <w:rPr>
                <w:rFonts w:ascii="Times New Roman"/>
                <w:sz w:val="21"/>
                <w:szCs w:val="21"/>
              </w:rPr>
            </w:pPr>
            <w:r>
              <w:rPr>
                <w:rFonts w:hint="eastAsia" w:ascii="Times New Roman"/>
                <w:sz w:val="21"/>
                <w:szCs w:val="21"/>
              </w:rPr>
              <w:t>≥1</w:t>
            </w:r>
            <w:r>
              <w:rPr>
                <w:rFonts w:ascii="Times New Roman"/>
                <w:sz w:val="21"/>
                <w:szCs w:val="21"/>
              </w:rPr>
              <w:t>60</w:t>
            </w:r>
          </w:p>
        </w:tc>
      </w:tr>
      <w:tr w14:paraId="2C53A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0" w:type="dxa"/>
            <w:tcBorders>
              <w:left w:val="single" w:color="auto" w:sz="12" w:space="0"/>
            </w:tcBorders>
            <w:vAlign w:val="center"/>
          </w:tcPr>
          <w:p w14:paraId="5A5BE3BE">
            <w:pPr>
              <w:tabs>
                <w:tab w:val="left" w:pos="1080"/>
              </w:tabs>
              <w:spacing w:line="240" w:lineRule="auto"/>
              <w:jc w:val="center"/>
              <w:rPr>
                <w:rFonts w:ascii="Times New Roman"/>
                <w:sz w:val="21"/>
                <w:szCs w:val="21"/>
              </w:rPr>
            </w:pPr>
            <w:r>
              <w:rPr>
                <w:rFonts w:ascii="Times New Roman"/>
                <w:sz w:val="21"/>
                <w:szCs w:val="21"/>
              </w:rPr>
              <w:t>耐水性</w:t>
            </w:r>
          </w:p>
        </w:tc>
        <w:tc>
          <w:tcPr>
            <w:tcW w:w="1470" w:type="dxa"/>
            <w:vAlign w:val="center"/>
          </w:tcPr>
          <w:p w14:paraId="68DE142C">
            <w:pPr>
              <w:tabs>
                <w:tab w:val="left" w:pos="1080"/>
              </w:tabs>
              <w:spacing w:line="240" w:lineRule="auto"/>
              <w:jc w:val="center"/>
              <w:rPr>
                <w:rFonts w:ascii="Times New Roman"/>
                <w:sz w:val="21"/>
                <w:szCs w:val="21"/>
              </w:rPr>
            </w:pPr>
            <w:r>
              <w:rPr>
                <w:rFonts w:ascii="Times New Roman"/>
                <w:sz w:val="21"/>
                <w:szCs w:val="21"/>
              </w:rPr>
              <w:t>d</w:t>
            </w:r>
          </w:p>
        </w:tc>
        <w:tc>
          <w:tcPr>
            <w:tcW w:w="5034" w:type="dxa"/>
            <w:tcBorders>
              <w:right w:val="single" w:color="auto" w:sz="12" w:space="0"/>
            </w:tcBorders>
            <w:vAlign w:val="center"/>
          </w:tcPr>
          <w:p w14:paraId="504CE968">
            <w:pPr>
              <w:tabs>
                <w:tab w:val="left" w:pos="1080"/>
              </w:tabs>
              <w:spacing w:line="240" w:lineRule="auto"/>
              <w:jc w:val="center"/>
              <w:rPr>
                <w:rFonts w:ascii="Times New Roman"/>
                <w:sz w:val="21"/>
                <w:szCs w:val="21"/>
              </w:rPr>
            </w:pPr>
            <w:r>
              <w:rPr>
                <w:rFonts w:ascii="Times New Roman"/>
                <w:sz w:val="21"/>
                <w:szCs w:val="21"/>
              </w:rPr>
              <w:t>≥3，不溶胀，不开裂</w:t>
            </w:r>
          </w:p>
        </w:tc>
      </w:tr>
      <w:tr w14:paraId="6E28F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0" w:type="dxa"/>
            <w:tcBorders>
              <w:left w:val="single" w:color="auto" w:sz="12" w:space="0"/>
            </w:tcBorders>
            <w:vAlign w:val="center"/>
          </w:tcPr>
          <w:p w14:paraId="0C6CACB6">
            <w:pPr>
              <w:tabs>
                <w:tab w:val="left" w:pos="1080"/>
              </w:tabs>
              <w:spacing w:line="240" w:lineRule="auto"/>
              <w:jc w:val="center"/>
              <w:rPr>
                <w:rFonts w:ascii="Times New Roman"/>
                <w:sz w:val="21"/>
                <w:szCs w:val="21"/>
              </w:rPr>
            </w:pPr>
            <w:r>
              <w:rPr>
                <w:rFonts w:ascii="Times New Roman"/>
                <w:sz w:val="21"/>
                <w:szCs w:val="21"/>
              </w:rPr>
              <w:t>耐油性</w:t>
            </w:r>
          </w:p>
        </w:tc>
        <w:tc>
          <w:tcPr>
            <w:tcW w:w="1470" w:type="dxa"/>
            <w:vAlign w:val="center"/>
          </w:tcPr>
          <w:p w14:paraId="59E62A4C">
            <w:pPr>
              <w:tabs>
                <w:tab w:val="left" w:pos="1080"/>
              </w:tabs>
              <w:spacing w:line="240" w:lineRule="auto"/>
              <w:jc w:val="center"/>
              <w:rPr>
                <w:rFonts w:ascii="Times New Roman"/>
                <w:sz w:val="21"/>
                <w:szCs w:val="21"/>
              </w:rPr>
            </w:pPr>
            <w:r>
              <w:rPr>
                <w:rFonts w:ascii="Times New Roman"/>
                <w:sz w:val="21"/>
                <w:szCs w:val="21"/>
              </w:rPr>
              <w:t>d</w:t>
            </w:r>
          </w:p>
        </w:tc>
        <w:tc>
          <w:tcPr>
            <w:tcW w:w="5034" w:type="dxa"/>
            <w:tcBorders>
              <w:right w:val="single" w:color="auto" w:sz="12" w:space="0"/>
            </w:tcBorders>
            <w:vAlign w:val="center"/>
          </w:tcPr>
          <w:p w14:paraId="36FBF9D7">
            <w:pPr>
              <w:tabs>
                <w:tab w:val="left" w:pos="1080"/>
              </w:tabs>
              <w:spacing w:line="240" w:lineRule="auto"/>
              <w:jc w:val="center"/>
              <w:rPr>
                <w:rFonts w:ascii="Times New Roman"/>
                <w:sz w:val="21"/>
                <w:szCs w:val="21"/>
              </w:rPr>
            </w:pPr>
            <w:r>
              <w:rPr>
                <w:rFonts w:ascii="Times New Roman"/>
                <w:sz w:val="21"/>
                <w:szCs w:val="21"/>
              </w:rPr>
              <w:t>≥3，不溶胀，不开裂</w:t>
            </w:r>
          </w:p>
        </w:tc>
      </w:tr>
      <w:tr w14:paraId="361CC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0" w:type="dxa"/>
            <w:tcBorders>
              <w:left w:val="single" w:color="auto" w:sz="12" w:space="0"/>
            </w:tcBorders>
            <w:vAlign w:val="center"/>
          </w:tcPr>
          <w:p w14:paraId="0940D68B">
            <w:pPr>
              <w:tabs>
                <w:tab w:val="left" w:pos="1080"/>
              </w:tabs>
              <w:spacing w:line="240" w:lineRule="auto"/>
              <w:jc w:val="center"/>
              <w:rPr>
                <w:rFonts w:ascii="Times New Roman"/>
                <w:sz w:val="21"/>
                <w:szCs w:val="21"/>
              </w:rPr>
            </w:pPr>
            <w:r>
              <w:rPr>
                <w:rFonts w:ascii="Times New Roman"/>
                <w:sz w:val="21"/>
                <w:szCs w:val="21"/>
              </w:rPr>
              <w:t>耐湿热性</w:t>
            </w:r>
          </w:p>
        </w:tc>
        <w:tc>
          <w:tcPr>
            <w:tcW w:w="1470" w:type="dxa"/>
            <w:vAlign w:val="center"/>
          </w:tcPr>
          <w:p w14:paraId="153A3FAB">
            <w:pPr>
              <w:tabs>
                <w:tab w:val="left" w:pos="1080"/>
              </w:tabs>
              <w:spacing w:line="240" w:lineRule="auto"/>
              <w:jc w:val="center"/>
              <w:rPr>
                <w:rFonts w:ascii="Times New Roman"/>
                <w:sz w:val="21"/>
                <w:szCs w:val="21"/>
              </w:rPr>
            </w:pPr>
            <w:r>
              <w:rPr>
                <w:rFonts w:ascii="Times New Roman"/>
                <w:sz w:val="21"/>
                <w:szCs w:val="21"/>
              </w:rPr>
              <w:t>h</w:t>
            </w:r>
          </w:p>
        </w:tc>
        <w:tc>
          <w:tcPr>
            <w:tcW w:w="5034" w:type="dxa"/>
            <w:tcBorders>
              <w:right w:val="single" w:color="auto" w:sz="12" w:space="0"/>
            </w:tcBorders>
            <w:vAlign w:val="center"/>
          </w:tcPr>
          <w:p w14:paraId="456A71A9">
            <w:pPr>
              <w:tabs>
                <w:tab w:val="left" w:pos="1080"/>
              </w:tabs>
              <w:spacing w:line="240" w:lineRule="auto"/>
              <w:jc w:val="center"/>
              <w:rPr>
                <w:rFonts w:ascii="Times New Roman"/>
                <w:sz w:val="21"/>
                <w:szCs w:val="21"/>
              </w:rPr>
            </w:pPr>
            <w:r>
              <w:rPr>
                <w:rFonts w:ascii="Times New Roman"/>
                <w:sz w:val="21"/>
                <w:szCs w:val="21"/>
              </w:rPr>
              <w:t>≥120，不开裂、不粉化</w:t>
            </w:r>
          </w:p>
        </w:tc>
      </w:tr>
      <w:tr w14:paraId="631D1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0" w:type="dxa"/>
            <w:tcBorders>
              <w:left w:val="single" w:color="auto" w:sz="12" w:space="0"/>
            </w:tcBorders>
            <w:vAlign w:val="center"/>
          </w:tcPr>
          <w:p w14:paraId="0DCE77A9">
            <w:pPr>
              <w:tabs>
                <w:tab w:val="left" w:pos="1080"/>
              </w:tabs>
              <w:spacing w:line="240" w:lineRule="auto"/>
              <w:jc w:val="center"/>
              <w:rPr>
                <w:rFonts w:ascii="Times New Roman"/>
                <w:sz w:val="21"/>
                <w:szCs w:val="21"/>
              </w:rPr>
            </w:pPr>
            <w:r>
              <w:rPr>
                <w:rFonts w:ascii="Times New Roman"/>
                <w:sz w:val="21"/>
                <w:szCs w:val="21"/>
              </w:rPr>
              <w:t>耐冻融循环</w:t>
            </w:r>
          </w:p>
        </w:tc>
        <w:tc>
          <w:tcPr>
            <w:tcW w:w="1470" w:type="dxa"/>
            <w:vAlign w:val="center"/>
          </w:tcPr>
          <w:p w14:paraId="4A8DC92A">
            <w:pPr>
              <w:tabs>
                <w:tab w:val="left" w:pos="1080"/>
              </w:tabs>
              <w:spacing w:line="240" w:lineRule="auto"/>
              <w:jc w:val="center"/>
              <w:rPr>
                <w:rFonts w:ascii="Times New Roman"/>
                <w:sz w:val="21"/>
                <w:szCs w:val="21"/>
              </w:rPr>
            </w:pPr>
            <w:r>
              <w:rPr>
                <w:rFonts w:ascii="Times New Roman"/>
                <w:sz w:val="21"/>
                <w:szCs w:val="21"/>
              </w:rPr>
              <w:t>次</w:t>
            </w:r>
          </w:p>
        </w:tc>
        <w:tc>
          <w:tcPr>
            <w:tcW w:w="5034" w:type="dxa"/>
            <w:tcBorders>
              <w:right w:val="single" w:color="auto" w:sz="12" w:space="0"/>
            </w:tcBorders>
            <w:vAlign w:val="center"/>
          </w:tcPr>
          <w:p w14:paraId="53BBC5F7">
            <w:pPr>
              <w:tabs>
                <w:tab w:val="left" w:pos="1080"/>
              </w:tabs>
              <w:spacing w:line="240" w:lineRule="auto"/>
              <w:jc w:val="center"/>
              <w:rPr>
                <w:rFonts w:ascii="Times New Roman"/>
                <w:sz w:val="21"/>
                <w:szCs w:val="21"/>
              </w:rPr>
            </w:pPr>
            <w:r>
              <w:rPr>
                <w:rFonts w:ascii="Times New Roman"/>
                <w:sz w:val="21"/>
                <w:szCs w:val="21"/>
              </w:rPr>
              <w:t>≥15，不开裂、不粉化</w:t>
            </w:r>
          </w:p>
        </w:tc>
      </w:tr>
      <w:tr w14:paraId="6F208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0" w:type="dxa"/>
            <w:tcBorders>
              <w:left w:val="single" w:color="auto" w:sz="12" w:space="0"/>
            </w:tcBorders>
            <w:vAlign w:val="center"/>
          </w:tcPr>
          <w:p w14:paraId="0F03DEAB">
            <w:pPr>
              <w:tabs>
                <w:tab w:val="left" w:pos="1080"/>
              </w:tabs>
              <w:spacing w:line="240" w:lineRule="auto"/>
              <w:jc w:val="center"/>
              <w:rPr>
                <w:rFonts w:ascii="Times New Roman"/>
                <w:sz w:val="21"/>
                <w:szCs w:val="21"/>
              </w:rPr>
            </w:pPr>
            <w:r>
              <w:rPr>
                <w:rFonts w:ascii="Times New Roman"/>
                <w:sz w:val="21"/>
                <w:szCs w:val="21"/>
              </w:rPr>
              <w:t>弯曲强度</w:t>
            </w:r>
          </w:p>
        </w:tc>
        <w:tc>
          <w:tcPr>
            <w:tcW w:w="1470" w:type="dxa"/>
            <w:vAlign w:val="center"/>
          </w:tcPr>
          <w:p w14:paraId="6C64BFCC">
            <w:pPr>
              <w:tabs>
                <w:tab w:val="left" w:pos="1080"/>
              </w:tabs>
              <w:spacing w:line="240" w:lineRule="auto"/>
              <w:jc w:val="center"/>
              <w:rPr>
                <w:rFonts w:ascii="Times New Roman"/>
                <w:sz w:val="21"/>
                <w:szCs w:val="21"/>
              </w:rPr>
            </w:pPr>
            <w:r>
              <w:rPr>
                <w:rFonts w:ascii="Times New Roman"/>
                <w:sz w:val="21"/>
                <w:szCs w:val="21"/>
              </w:rPr>
              <w:t>MPa</w:t>
            </w:r>
          </w:p>
        </w:tc>
        <w:tc>
          <w:tcPr>
            <w:tcW w:w="5034" w:type="dxa"/>
            <w:tcBorders>
              <w:right w:val="single" w:color="auto" w:sz="12" w:space="0"/>
            </w:tcBorders>
            <w:vAlign w:val="center"/>
          </w:tcPr>
          <w:p w14:paraId="70A4BF6D">
            <w:pPr>
              <w:tabs>
                <w:tab w:val="left" w:pos="1080"/>
              </w:tabs>
              <w:spacing w:line="240" w:lineRule="auto"/>
              <w:jc w:val="center"/>
              <w:rPr>
                <w:rFonts w:ascii="Times New Roman"/>
                <w:sz w:val="21"/>
                <w:szCs w:val="21"/>
              </w:rPr>
            </w:pPr>
            <w:r>
              <w:rPr>
                <w:rFonts w:ascii="Times New Roman"/>
                <w:sz w:val="21"/>
                <w:szCs w:val="21"/>
              </w:rPr>
              <w:t>≥0.10</w:t>
            </w:r>
          </w:p>
        </w:tc>
      </w:tr>
      <w:tr w14:paraId="2498C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0" w:type="dxa"/>
            <w:tcBorders>
              <w:left w:val="single" w:color="auto" w:sz="12" w:space="0"/>
              <w:bottom w:val="single" w:color="auto" w:sz="12" w:space="0"/>
            </w:tcBorders>
            <w:vAlign w:val="center"/>
          </w:tcPr>
          <w:p w14:paraId="23B3128C">
            <w:pPr>
              <w:tabs>
                <w:tab w:val="left" w:pos="1080"/>
              </w:tabs>
              <w:spacing w:line="240" w:lineRule="auto"/>
              <w:jc w:val="center"/>
              <w:rPr>
                <w:rFonts w:ascii="Times New Roman"/>
                <w:sz w:val="21"/>
                <w:szCs w:val="21"/>
              </w:rPr>
            </w:pPr>
            <w:r>
              <w:rPr>
                <w:rFonts w:ascii="Times New Roman"/>
                <w:sz w:val="21"/>
                <w:szCs w:val="21"/>
              </w:rPr>
              <w:t>燃烧性能</w:t>
            </w:r>
          </w:p>
        </w:tc>
        <w:tc>
          <w:tcPr>
            <w:tcW w:w="1470" w:type="dxa"/>
            <w:tcBorders>
              <w:bottom w:val="single" w:color="auto" w:sz="12" w:space="0"/>
            </w:tcBorders>
            <w:vAlign w:val="center"/>
          </w:tcPr>
          <w:p w14:paraId="379242BA">
            <w:pPr>
              <w:tabs>
                <w:tab w:val="left" w:pos="1080"/>
              </w:tabs>
              <w:spacing w:line="240" w:lineRule="auto"/>
              <w:jc w:val="center"/>
              <w:rPr>
                <w:rFonts w:ascii="Times New Roman"/>
                <w:sz w:val="21"/>
                <w:szCs w:val="21"/>
              </w:rPr>
            </w:pPr>
          </w:p>
        </w:tc>
        <w:tc>
          <w:tcPr>
            <w:tcW w:w="5034" w:type="dxa"/>
            <w:tcBorders>
              <w:bottom w:val="single" w:color="auto" w:sz="12" w:space="0"/>
              <w:right w:val="single" w:color="auto" w:sz="12" w:space="0"/>
            </w:tcBorders>
            <w:vAlign w:val="center"/>
          </w:tcPr>
          <w:p w14:paraId="2E198F9E">
            <w:pPr>
              <w:tabs>
                <w:tab w:val="left" w:pos="1080"/>
              </w:tabs>
              <w:spacing w:line="240" w:lineRule="auto"/>
              <w:jc w:val="center"/>
            </w:pPr>
            <w:r>
              <w:rPr>
                <w:rFonts w:hint="eastAsia" w:ascii="Times New Roman"/>
                <w:sz w:val="21"/>
                <w:szCs w:val="21"/>
              </w:rPr>
              <w:t>不低于GB</w:t>
            </w:r>
            <w:r>
              <w:rPr>
                <w:rFonts w:ascii="Times New Roman"/>
                <w:sz w:val="21"/>
                <w:szCs w:val="21"/>
              </w:rPr>
              <w:t>/T 2408-2008</w:t>
            </w:r>
            <w:r>
              <w:rPr>
                <w:rFonts w:hint="eastAsia" w:ascii="Times New Roman"/>
                <w:sz w:val="21"/>
                <w:szCs w:val="21"/>
              </w:rPr>
              <w:t>规定的V</w:t>
            </w:r>
            <w:r>
              <w:rPr>
                <w:rFonts w:ascii="Times New Roman"/>
                <w:sz w:val="21"/>
                <w:szCs w:val="21"/>
              </w:rPr>
              <w:t>-0</w:t>
            </w:r>
            <w:r>
              <w:rPr>
                <w:rFonts w:hint="eastAsia" w:ascii="Times New Roman"/>
                <w:sz w:val="21"/>
                <w:szCs w:val="21"/>
              </w:rPr>
              <w:t>级</w:t>
            </w:r>
          </w:p>
        </w:tc>
      </w:tr>
    </w:tbl>
    <w:p w14:paraId="3F5E36FD">
      <w:pPr>
        <w:pStyle w:val="13"/>
      </w:pPr>
      <w:r>
        <w:rPr>
          <w:rFonts w:hint="eastAsia"/>
        </w:rPr>
        <w:t xml:space="preserve"> </w:t>
      </w:r>
    </w:p>
    <w:p w14:paraId="5D3EB0A3">
      <w:pPr>
        <w:numPr>
          <w:ilvl w:val="0"/>
          <w:numId w:val="27"/>
        </w:numPr>
        <w:adjustRightInd w:val="0"/>
        <w:snapToGrid w:val="0"/>
        <w:jc w:val="left"/>
        <w:rPr>
          <w:rFonts w:ascii="Times New Roman"/>
          <w:szCs w:val="21"/>
        </w:rPr>
      </w:pPr>
      <w:r>
        <w:rPr>
          <w:rFonts w:hint="eastAsia" w:ascii="Times New Roman"/>
          <w:szCs w:val="21"/>
        </w:rPr>
        <w:t>防火密封胶</w:t>
      </w:r>
    </w:p>
    <w:p w14:paraId="5B7AFC9D">
      <w:pPr>
        <w:rPr>
          <w:highlight w:val="yellow"/>
        </w:rPr>
      </w:pPr>
      <w:r>
        <w:rPr>
          <w:rFonts w:hint="eastAsia"/>
        </w:rPr>
        <w:t xml:space="preserve"> </w:t>
      </w:r>
      <w:r>
        <w:t xml:space="preserve"> </w:t>
      </w:r>
      <w:r>
        <w:rPr>
          <w:rFonts w:hint="eastAsia"/>
        </w:rPr>
        <w:t>防火密封胶以水性丙烯为基材用于配合防火涂层板封堵使用。</w:t>
      </w:r>
    </w:p>
    <w:tbl>
      <w:tblPr>
        <w:tblStyle w:val="16"/>
        <w:tblW w:w="0" w:type="auto"/>
        <w:tblInd w:w="1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0"/>
        <w:gridCol w:w="1470"/>
        <w:gridCol w:w="5034"/>
      </w:tblGrid>
      <w:tr w14:paraId="34AEF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0" w:type="dxa"/>
            <w:tcBorders>
              <w:top w:val="single" w:color="auto" w:sz="12" w:space="0"/>
              <w:left w:val="single" w:color="auto" w:sz="12" w:space="0"/>
            </w:tcBorders>
            <w:vAlign w:val="center"/>
          </w:tcPr>
          <w:p w14:paraId="45A3374A">
            <w:pPr>
              <w:tabs>
                <w:tab w:val="left" w:pos="1080"/>
              </w:tabs>
              <w:spacing w:line="240" w:lineRule="auto"/>
              <w:jc w:val="center"/>
              <w:rPr>
                <w:rFonts w:ascii="Times New Roman"/>
                <w:sz w:val="21"/>
                <w:szCs w:val="21"/>
              </w:rPr>
            </w:pPr>
            <w:r>
              <w:rPr>
                <w:rFonts w:ascii="Times New Roman"/>
                <w:sz w:val="21"/>
                <w:szCs w:val="21"/>
              </w:rPr>
              <w:t>项  目</w:t>
            </w:r>
          </w:p>
        </w:tc>
        <w:tc>
          <w:tcPr>
            <w:tcW w:w="1470" w:type="dxa"/>
            <w:tcBorders>
              <w:top w:val="single" w:color="auto" w:sz="12" w:space="0"/>
            </w:tcBorders>
            <w:vAlign w:val="center"/>
          </w:tcPr>
          <w:p w14:paraId="58971C86">
            <w:pPr>
              <w:tabs>
                <w:tab w:val="left" w:pos="1080"/>
              </w:tabs>
              <w:spacing w:line="240" w:lineRule="auto"/>
              <w:jc w:val="center"/>
              <w:rPr>
                <w:rFonts w:ascii="Times New Roman"/>
                <w:sz w:val="21"/>
                <w:szCs w:val="21"/>
              </w:rPr>
            </w:pPr>
            <w:r>
              <w:rPr>
                <w:rFonts w:ascii="Times New Roman"/>
                <w:sz w:val="21"/>
                <w:szCs w:val="21"/>
              </w:rPr>
              <w:t>单  位</w:t>
            </w:r>
          </w:p>
        </w:tc>
        <w:tc>
          <w:tcPr>
            <w:tcW w:w="5034" w:type="dxa"/>
            <w:tcBorders>
              <w:top w:val="single" w:color="auto" w:sz="12" w:space="0"/>
              <w:right w:val="single" w:color="auto" w:sz="12" w:space="0"/>
            </w:tcBorders>
            <w:vAlign w:val="center"/>
          </w:tcPr>
          <w:p w14:paraId="478F0DBC">
            <w:pPr>
              <w:tabs>
                <w:tab w:val="left" w:pos="1080"/>
              </w:tabs>
              <w:spacing w:line="240" w:lineRule="auto"/>
              <w:jc w:val="center"/>
              <w:rPr>
                <w:rFonts w:ascii="Times New Roman"/>
                <w:sz w:val="21"/>
                <w:szCs w:val="21"/>
              </w:rPr>
            </w:pPr>
            <w:r>
              <w:rPr>
                <w:rFonts w:ascii="Times New Roman"/>
                <w:sz w:val="21"/>
                <w:szCs w:val="21"/>
              </w:rPr>
              <w:t>技术性能指标</w:t>
            </w:r>
          </w:p>
        </w:tc>
      </w:tr>
      <w:tr w14:paraId="37A2B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0" w:type="dxa"/>
            <w:tcBorders>
              <w:left w:val="single" w:color="auto" w:sz="12" w:space="0"/>
            </w:tcBorders>
            <w:vAlign w:val="center"/>
          </w:tcPr>
          <w:p w14:paraId="1E8D28AD">
            <w:pPr>
              <w:tabs>
                <w:tab w:val="left" w:pos="1080"/>
              </w:tabs>
              <w:spacing w:line="240" w:lineRule="auto"/>
              <w:jc w:val="center"/>
              <w:rPr>
                <w:rFonts w:ascii="Times New Roman"/>
                <w:sz w:val="21"/>
                <w:szCs w:val="21"/>
              </w:rPr>
            </w:pPr>
            <w:r>
              <w:rPr>
                <w:rFonts w:hint="eastAsia" w:ascii="Times New Roman"/>
                <w:sz w:val="21"/>
                <w:szCs w:val="21"/>
              </w:rPr>
              <w:t>颜色</w:t>
            </w:r>
          </w:p>
        </w:tc>
        <w:tc>
          <w:tcPr>
            <w:tcW w:w="1470" w:type="dxa"/>
            <w:vAlign w:val="center"/>
          </w:tcPr>
          <w:p w14:paraId="65B872F7">
            <w:pPr>
              <w:tabs>
                <w:tab w:val="left" w:pos="1080"/>
              </w:tabs>
              <w:spacing w:line="240" w:lineRule="auto"/>
              <w:jc w:val="center"/>
              <w:rPr>
                <w:rFonts w:ascii="Times New Roman"/>
                <w:sz w:val="21"/>
                <w:szCs w:val="21"/>
              </w:rPr>
            </w:pPr>
          </w:p>
        </w:tc>
        <w:tc>
          <w:tcPr>
            <w:tcW w:w="5034" w:type="dxa"/>
            <w:tcBorders>
              <w:right w:val="single" w:color="auto" w:sz="12" w:space="0"/>
            </w:tcBorders>
            <w:vAlign w:val="center"/>
          </w:tcPr>
          <w:p w14:paraId="6AA3FF36">
            <w:pPr>
              <w:tabs>
                <w:tab w:val="left" w:pos="1080"/>
              </w:tabs>
              <w:spacing w:line="240" w:lineRule="auto"/>
              <w:jc w:val="center"/>
              <w:rPr>
                <w:rFonts w:ascii="Times New Roman"/>
                <w:sz w:val="21"/>
                <w:szCs w:val="21"/>
              </w:rPr>
            </w:pPr>
            <w:r>
              <w:rPr>
                <w:rFonts w:hint="eastAsia" w:ascii="Times New Roman"/>
                <w:sz w:val="21"/>
                <w:szCs w:val="21"/>
              </w:rPr>
              <w:t>灰色</w:t>
            </w:r>
          </w:p>
        </w:tc>
      </w:tr>
      <w:tr w14:paraId="19E22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1640" w:type="dxa"/>
            <w:tcBorders>
              <w:left w:val="single" w:color="auto" w:sz="12" w:space="0"/>
            </w:tcBorders>
            <w:vAlign w:val="center"/>
          </w:tcPr>
          <w:p w14:paraId="78476382">
            <w:pPr>
              <w:tabs>
                <w:tab w:val="left" w:pos="1080"/>
              </w:tabs>
              <w:spacing w:line="240" w:lineRule="auto"/>
              <w:jc w:val="center"/>
              <w:rPr>
                <w:rFonts w:ascii="Times New Roman"/>
                <w:sz w:val="21"/>
                <w:szCs w:val="21"/>
              </w:rPr>
            </w:pPr>
            <w:r>
              <w:rPr>
                <w:rFonts w:hint="eastAsia" w:ascii="Times New Roman"/>
                <w:sz w:val="21"/>
                <w:szCs w:val="21"/>
              </w:rPr>
              <w:t>表观</w:t>
            </w:r>
            <w:r>
              <w:rPr>
                <w:rFonts w:ascii="Times New Roman"/>
                <w:sz w:val="21"/>
                <w:szCs w:val="21"/>
              </w:rPr>
              <w:t>密度</w:t>
            </w:r>
          </w:p>
        </w:tc>
        <w:tc>
          <w:tcPr>
            <w:tcW w:w="1470" w:type="dxa"/>
            <w:vAlign w:val="center"/>
          </w:tcPr>
          <w:p w14:paraId="194C4428">
            <w:pPr>
              <w:tabs>
                <w:tab w:val="left" w:pos="1080"/>
              </w:tabs>
              <w:spacing w:line="240" w:lineRule="auto"/>
              <w:jc w:val="center"/>
              <w:rPr>
                <w:rFonts w:ascii="Times New Roman"/>
                <w:sz w:val="21"/>
                <w:szCs w:val="21"/>
              </w:rPr>
            </w:pPr>
            <w:r>
              <w:rPr>
                <w:rFonts w:ascii="Times New Roman"/>
                <w:sz w:val="21"/>
                <w:szCs w:val="21"/>
              </w:rPr>
              <w:t>kg/m</w:t>
            </w:r>
            <w:r>
              <w:rPr>
                <w:rFonts w:ascii="Times New Roman"/>
                <w:sz w:val="21"/>
                <w:szCs w:val="21"/>
                <w:vertAlign w:val="superscript"/>
              </w:rPr>
              <w:t>3</w:t>
            </w:r>
          </w:p>
        </w:tc>
        <w:tc>
          <w:tcPr>
            <w:tcW w:w="5034" w:type="dxa"/>
            <w:tcBorders>
              <w:right w:val="single" w:color="auto" w:sz="12" w:space="0"/>
            </w:tcBorders>
            <w:vAlign w:val="center"/>
          </w:tcPr>
          <w:p w14:paraId="6A530532">
            <w:pPr>
              <w:tabs>
                <w:tab w:val="left" w:pos="1080"/>
              </w:tabs>
              <w:spacing w:line="240" w:lineRule="auto"/>
              <w:jc w:val="center"/>
              <w:rPr>
                <w:rFonts w:ascii="Times New Roman"/>
                <w:sz w:val="21"/>
                <w:szCs w:val="21"/>
              </w:rPr>
            </w:pPr>
            <w:r>
              <w:rPr>
                <w:rFonts w:hint="eastAsia" w:hAnsi="宋体"/>
                <w:sz w:val="21"/>
                <w:szCs w:val="21"/>
              </w:rPr>
              <w:t>≤</w:t>
            </w:r>
            <w:r>
              <w:rPr>
                <w:rFonts w:ascii="Times New Roman"/>
                <w:sz w:val="21"/>
                <w:szCs w:val="21"/>
              </w:rPr>
              <w:t>2.0x10</w:t>
            </w:r>
            <w:r>
              <w:rPr>
                <w:rFonts w:ascii="Times New Roman"/>
                <w:sz w:val="21"/>
                <w:szCs w:val="21"/>
                <w:vertAlign w:val="superscript"/>
              </w:rPr>
              <w:t>3</w:t>
            </w:r>
          </w:p>
        </w:tc>
      </w:tr>
      <w:tr w14:paraId="55B7D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0" w:type="dxa"/>
            <w:tcBorders>
              <w:left w:val="single" w:color="auto" w:sz="12" w:space="0"/>
            </w:tcBorders>
            <w:vAlign w:val="center"/>
          </w:tcPr>
          <w:p w14:paraId="4CDDF0DC">
            <w:pPr>
              <w:tabs>
                <w:tab w:val="left" w:pos="1080"/>
              </w:tabs>
              <w:spacing w:line="240" w:lineRule="auto"/>
              <w:jc w:val="center"/>
              <w:rPr>
                <w:rFonts w:ascii="Times New Roman"/>
                <w:sz w:val="21"/>
                <w:szCs w:val="21"/>
              </w:rPr>
            </w:pPr>
            <w:r>
              <w:rPr>
                <w:rFonts w:hint="eastAsia" w:ascii="Times New Roman"/>
                <w:sz w:val="21"/>
                <w:szCs w:val="21"/>
              </w:rPr>
              <w:t>腐蚀性</w:t>
            </w:r>
          </w:p>
        </w:tc>
        <w:tc>
          <w:tcPr>
            <w:tcW w:w="1470" w:type="dxa"/>
            <w:vAlign w:val="center"/>
          </w:tcPr>
          <w:p w14:paraId="608D219D">
            <w:pPr>
              <w:tabs>
                <w:tab w:val="left" w:pos="1080"/>
              </w:tabs>
              <w:spacing w:line="240" w:lineRule="auto"/>
              <w:jc w:val="center"/>
              <w:rPr>
                <w:rFonts w:ascii="Times New Roman"/>
                <w:sz w:val="21"/>
                <w:szCs w:val="21"/>
              </w:rPr>
            </w:pPr>
            <w:r>
              <w:rPr>
                <w:rFonts w:ascii="Times New Roman"/>
                <w:sz w:val="21"/>
                <w:szCs w:val="21"/>
              </w:rPr>
              <w:t>d</w:t>
            </w:r>
          </w:p>
        </w:tc>
        <w:tc>
          <w:tcPr>
            <w:tcW w:w="5034" w:type="dxa"/>
            <w:tcBorders>
              <w:right w:val="single" w:color="auto" w:sz="12" w:space="0"/>
            </w:tcBorders>
            <w:vAlign w:val="center"/>
          </w:tcPr>
          <w:p w14:paraId="3160801C">
            <w:pPr>
              <w:tabs>
                <w:tab w:val="left" w:pos="1080"/>
              </w:tabs>
              <w:spacing w:line="240" w:lineRule="auto"/>
              <w:jc w:val="center"/>
              <w:rPr>
                <w:rFonts w:ascii="Times New Roman"/>
                <w:sz w:val="21"/>
                <w:szCs w:val="21"/>
              </w:rPr>
            </w:pPr>
            <w:r>
              <w:rPr>
                <w:rFonts w:ascii="Times New Roman"/>
                <w:sz w:val="21"/>
                <w:szCs w:val="21"/>
              </w:rPr>
              <w:t>≥7，不</w:t>
            </w:r>
            <w:r>
              <w:rPr>
                <w:rFonts w:hint="eastAsia" w:ascii="Times New Roman"/>
                <w:sz w:val="21"/>
                <w:szCs w:val="21"/>
              </w:rPr>
              <w:t>应出现锈蚀</w:t>
            </w:r>
            <w:r>
              <w:rPr>
                <w:rFonts w:ascii="Times New Roman"/>
                <w:sz w:val="21"/>
                <w:szCs w:val="21"/>
              </w:rPr>
              <w:t>，</w:t>
            </w:r>
            <w:r>
              <w:rPr>
                <w:rFonts w:hint="eastAsia" w:ascii="Times New Roman"/>
                <w:sz w:val="21"/>
                <w:szCs w:val="21"/>
              </w:rPr>
              <w:t>腐蚀现象</w:t>
            </w:r>
          </w:p>
        </w:tc>
      </w:tr>
      <w:tr w14:paraId="5FAF5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0" w:type="dxa"/>
            <w:tcBorders>
              <w:left w:val="single" w:color="auto" w:sz="12" w:space="0"/>
            </w:tcBorders>
            <w:vAlign w:val="center"/>
          </w:tcPr>
          <w:p w14:paraId="22B840A5">
            <w:pPr>
              <w:tabs>
                <w:tab w:val="left" w:pos="1080"/>
              </w:tabs>
              <w:spacing w:line="240" w:lineRule="auto"/>
              <w:jc w:val="center"/>
              <w:rPr>
                <w:rFonts w:ascii="Times New Roman"/>
                <w:sz w:val="21"/>
                <w:szCs w:val="21"/>
              </w:rPr>
            </w:pPr>
            <w:r>
              <w:rPr>
                <w:rFonts w:ascii="Times New Roman"/>
                <w:sz w:val="21"/>
                <w:szCs w:val="21"/>
              </w:rPr>
              <w:t>耐水性</w:t>
            </w:r>
          </w:p>
        </w:tc>
        <w:tc>
          <w:tcPr>
            <w:tcW w:w="1470" w:type="dxa"/>
            <w:vAlign w:val="center"/>
          </w:tcPr>
          <w:p w14:paraId="0466A3AE">
            <w:pPr>
              <w:tabs>
                <w:tab w:val="left" w:pos="1080"/>
              </w:tabs>
              <w:spacing w:line="240" w:lineRule="auto"/>
              <w:jc w:val="center"/>
              <w:rPr>
                <w:rFonts w:ascii="Times New Roman"/>
                <w:sz w:val="21"/>
                <w:szCs w:val="21"/>
              </w:rPr>
            </w:pPr>
            <w:r>
              <w:rPr>
                <w:rFonts w:ascii="Times New Roman"/>
                <w:sz w:val="21"/>
                <w:szCs w:val="21"/>
              </w:rPr>
              <w:t>d</w:t>
            </w:r>
          </w:p>
        </w:tc>
        <w:tc>
          <w:tcPr>
            <w:tcW w:w="5034" w:type="dxa"/>
            <w:tcBorders>
              <w:right w:val="single" w:color="auto" w:sz="12" w:space="0"/>
            </w:tcBorders>
            <w:vAlign w:val="center"/>
          </w:tcPr>
          <w:p w14:paraId="20333755">
            <w:pPr>
              <w:tabs>
                <w:tab w:val="left" w:pos="1080"/>
              </w:tabs>
              <w:spacing w:line="240" w:lineRule="auto"/>
              <w:jc w:val="center"/>
              <w:rPr>
                <w:rFonts w:ascii="Times New Roman"/>
                <w:sz w:val="21"/>
                <w:szCs w:val="21"/>
              </w:rPr>
            </w:pPr>
            <w:r>
              <w:rPr>
                <w:rFonts w:ascii="Times New Roman"/>
                <w:sz w:val="21"/>
                <w:szCs w:val="21"/>
              </w:rPr>
              <w:t>≥3，不溶胀，不开裂</w:t>
            </w:r>
          </w:p>
        </w:tc>
      </w:tr>
      <w:tr w14:paraId="170E1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0" w:type="dxa"/>
            <w:tcBorders>
              <w:left w:val="single" w:color="auto" w:sz="12" w:space="0"/>
            </w:tcBorders>
            <w:vAlign w:val="center"/>
          </w:tcPr>
          <w:p w14:paraId="72842DA0">
            <w:pPr>
              <w:tabs>
                <w:tab w:val="left" w:pos="1080"/>
              </w:tabs>
              <w:spacing w:line="240" w:lineRule="auto"/>
              <w:jc w:val="center"/>
              <w:rPr>
                <w:rFonts w:ascii="Times New Roman"/>
                <w:sz w:val="21"/>
                <w:szCs w:val="21"/>
              </w:rPr>
            </w:pPr>
            <w:r>
              <w:rPr>
                <w:rFonts w:hint="eastAsia" w:ascii="Times New Roman"/>
                <w:sz w:val="21"/>
                <w:szCs w:val="21"/>
              </w:rPr>
              <w:t>耐碱性</w:t>
            </w:r>
          </w:p>
        </w:tc>
        <w:tc>
          <w:tcPr>
            <w:tcW w:w="1470" w:type="dxa"/>
            <w:vAlign w:val="center"/>
          </w:tcPr>
          <w:p w14:paraId="272535D5">
            <w:pPr>
              <w:tabs>
                <w:tab w:val="left" w:pos="1080"/>
              </w:tabs>
              <w:spacing w:line="240" w:lineRule="auto"/>
              <w:jc w:val="center"/>
              <w:rPr>
                <w:rFonts w:ascii="Times New Roman"/>
                <w:sz w:val="21"/>
                <w:szCs w:val="21"/>
              </w:rPr>
            </w:pPr>
            <w:r>
              <w:rPr>
                <w:rFonts w:ascii="Times New Roman"/>
                <w:sz w:val="21"/>
                <w:szCs w:val="21"/>
              </w:rPr>
              <w:t>d</w:t>
            </w:r>
          </w:p>
        </w:tc>
        <w:tc>
          <w:tcPr>
            <w:tcW w:w="5034" w:type="dxa"/>
            <w:tcBorders>
              <w:right w:val="single" w:color="auto" w:sz="12" w:space="0"/>
            </w:tcBorders>
            <w:vAlign w:val="center"/>
          </w:tcPr>
          <w:p w14:paraId="4A9B1BF5">
            <w:pPr>
              <w:tabs>
                <w:tab w:val="left" w:pos="1080"/>
              </w:tabs>
              <w:spacing w:line="240" w:lineRule="auto"/>
              <w:jc w:val="center"/>
              <w:rPr>
                <w:rFonts w:ascii="Times New Roman"/>
                <w:sz w:val="21"/>
                <w:szCs w:val="21"/>
              </w:rPr>
            </w:pPr>
            <w:r>
              <w:rPr>
                <w:rFonts w:ascii="Times New Roman"/>
                <w:sz w:val="21"/>
                <w:szCs w:val="21"/>
              </w:rPr>
              <w:t>≥3，不溶胀，不开裂</w:t>
            </w:r>
          </w:p>
        </w:tc>
      </w:tr>
      <w:tr w14:paraId="2BAC2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0" w:type="dxa"/>
            <w:tcBorders>
              <w:left w:val="single" w:color="auto" w:sz="12" w:space="0"/>
            </w:tcBorders>
            <w:vAlign w:val="center"/>
          </w:tcPr>
          <w:p w14:paraId="11911EDC">
            <w:pPr>
              <w:tabs>
                <w:tab w:val="left" w:pos="1080"/>
              </w:tabs>
              <w:spacing w:line="240" w:lineRule="auto"/>
              <w:jc w:val="center"/>
              <w:rPr>
                <w:rFonts w:ascii="Times New Roman"/>
                <w:sz w:val="21"/>
                <w:szCs w:val="21"/>
              </w:rPr>
            </w:pPr>
            <w:r>
              <w:rPr>
                <w:rFonts w:ascii="Times New Roman"/>
                <w:sz w:val="21"/>
                <w:szCs w:val="21"/>
              </w:rPr>
              <w:t>耐</w:t>
            </w:r>
            <w:r>
              <w:rPr>
                <w:rFonts w:hint="eastAsia" w:ascii="Times New Roman"/>
                <w:sz w:val="21"/>
                <w:szCs w:val="21"/>
              </w:rPr>
              <w:t>酸</w:t>
            </w:r>
            <w:r>
              <w:rPr>
                <w:rFonts w:ascii="Times New Roman"/>
                <w:sz w:val="21"/>
                <w:szCs w:val="21"/>
              </w:rPr>
              <w:t>性</w:t>
            </w:r>
          </w:p>
        </w:tc>
        <w:tc>
          <w:tcPr>
            <w:tcW w:w="1470" w:type="dxa"/>
            <w:vAlign w:val="center"/>
          </w:tcPr>
          <w:p w14:paraId="27214AEB">
            <w:pPr>
              <w:tabs>
                <w:tab w:val="left" w:pos="1080"/>
              </w:tabs>
              <w:spacing w:line="240" w:lineRule="auto"/>
              <w:jc w:val="center"/>
              <w:rPr>
                <w:rFonts w:ascii="Times New Roman"/>
                <w:sz w:val="21"/>
                <w:szCs w:val="21"/>
              </w:rPr>
            </w:pPr>
            <w:r>
              <w:rPr>
                <w:rFonts w:ascii="Times New Roman"/>
                <w:sz w:val="21"/>
                <w:szCs w:val="21"/>
              </w:rPr>
              <w:t>d</w:t>
            </w:r>
          </w:p>
        </w:tc>
        <w:tc>
          <w:tcPr>
            <w:tcW w:w="5034" w:type="dxa"/>
            <w:tcBorders>
              <w:right w:val="single" w:color="auto" w:sz="12" w:space="0"/>
            </w:tcBorders>
            <w:vAlign w:val="center"/>
          </w:tcPr>
          <w:p w14:paraId="01E8F3D7">
            <w:pPr>
              <w:tabs>
                <w:tab w:val="left" w:pos="1080"/>
              </w:tabs>
              <w:spacing w:line="240" w:lineRule="auto"/>
              <w:jc w:val="center"/>
              <w:rPr>
                <w:rFonts w:ascii="Times New Roman"/>
                <w:sz w:val="21"/>
                <w:szCs w:val="21"/>
              </w:rPr>
            </w:pPr>
            <w:r>
              <w:rPr>
                <w:rFonts w:ascii="Times New Roman"/>
                <w:sz w:val="21"/>
                <w:szCs w:val="21"/>
              </w:rPr>
              <w:t>≥3，不溶胀，不开裂</w:t>
            </w:r>
          </w:p>
        </w:tc>
      </w:tr>
      <w:tr w14:paraId="07909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0" w:type="dxa"/>
            <w:tcBorders>
              <w:left w:val="single" w:color="auto" w:sz="12" w:space="0"/>
            </w:tcBorders>
            <w:vAlign w:val="center"/>
          </w:tcPr>
          <w:p w14:paraId="5F9EB680">
            <w:pPr>
              <w:tabs>
                <w:tab w:val="left" w:pos="1080"/>
              </w:tabs>
              <w:spacing w:line="240" w:lineRule="auto"/>
              <w:jc w:val="center"/>
              <w:rPr>
                <w:rFonts w:ascii="Times New Roman"/>
                <w:sz w:val="21"/>
                <w:szCs w:val="21"/>
              </w:rPr>
            </w:pPr>
            <w:r>
              <w:rPr>
                <w:rFonts w:ascii="Times New Roman"/>
                <w:sz w:val="21"/>
                <w:szCs w:val="21"/>
              </w:rPr>
              <w:t>耐湿热性</w:t>
            </w:r>
          </w:p>
        </w:tc>
        <w:tc>
          <w:tcPr>
            <w:tcW w:w="1470" w:type="dxa"/>
            <w:vAlign w:val="center"/>
          </w:tcPr>
          <w:p w14:paraId="05812E55">
            <w:pPr>
              <w:tabs>
                <w:tab w:val="left" w:pos="1080"/>
              </w:tabs>
              <w:spacing w:line="240" w:lineRule="auto"/>
              <w:jc w:val="center"/>
              <w:rPr>
                <w:rFonts w:ascii="Times New Roman"/>
                <w:sz w:val="21"/>
                <w:szCs w:val="21"/>
              </w:rPr>
            </w:pPr>
            <w:r>
              <w:rPr>
                <w:rFonts w:ascii="Times New Roman"/>
                <w:sz w:val="21"/>
                <w:szCs w:val="21"/>
              </w:rPr>
              <w:t>h</w:t>
            </w:r>
          </w:p>
        </w:tc>
        <w:tc>
          <w:tcPr>
            <w:tcW w:w="5034" w:type="dxa"/>
            <w:tcBorders>
              <w:right w:val="single" w:color="auto" w:sz="12" w:space="0"/>
            </w:tcBorders>
            <w:vAlign w:val="center"/>
          </w:tcPr>
          <w:p w14:paraId="634CE579">
            <w:pPr>
              <w:tabs>
                <w:tab w:val="left" w:pos="1080"/>
              </w:tabs>
              <w:spacing w:line="240" w:lineRule="auto"/>
              <w:jc w:val="center"/>
              <w:rPr>
                <w:rFonts w:ascii="Times New Roman"/>
                <w:sz w:val="21"/>
                <w:szCs w:val="21"/>
              </w:rPr>
            </w:pPr>
            <w:r>
              <w:rPr>
                <w:rFonts w:ascii="Times New Roman"/>
                <w:sz w:val="21"/>
                <w:szCs w:val="21"/>
              </w:rPr>
              <w:t>≥360，不开裂、不粉化</w:t>
            </w:r>
          </w:p>
        </w:tc>
      </w:tr>
      <w:tr w14:paraId="4F21F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0" w:type="dxa"/>
            <w:tcBorders>
              <w:left w:val="single" w:color="auto" w:sz="12" w:space="0"/>
            </w:tcBorders>
            <w:vAlign w:val="center"/>
          </w:tcPr>
          <w:p w14:paraId="115A9B7E">
            <w:pPr>
              <w:tabs>
                <w:tab w:val="left" w:pos="1080"/>
              </w:tabs>
              <w:spacing w:line="240" w:lineRule="auto"/>
              <w:jc w:val="center"/>
              <w:rPr>
                <w:rFonts w:ascii="Times New Roman"/>
                <w:sz w:val="21"/>
                <w:szCs w:val="21"/>
              </w:rPr>
            </w:pPr>
            <w:r>
              <w:rPr>
                <w:rFonts w:ascii="Times New Roman"/>
                <w:sz w:val="21"/>
                <w:szCs w:val="21"/>
              </w:rPr>
              <w:t>耐冻融循环</w:t>
            </w:r>
          </w:p>
        </w:tc>
        <w:tc>
          <w:tcPr>
            <w:tcW w:w="1470" w:type="dxa"/>
            <w:vAlign w:val="center"/>
          </w:tcPr>
          <w:p w14:paraId="0D6671CB">
            <w:pPr>
              <w:tabs>
                <w:tab w:val="left" w:pos="1080"/>
              </w:tabs>
              <w:spacing w:line="240" w:lineRule="auto"/>
              <w:jc w:val="center"/>
              <w:rPr>
                <w:rFonts w:ascii="Times New Roman"/>
                <w:sz w:val="21"/>
                <w:szCs w:val="21"/>
              </w:rPr>
            </w:pPr>
            <w:r>
              <w:rPr>
                <w:rFonts w:ascii="Times New Roman"/>
                <w:sz w:val="21"/>
                <w:szCs w:val="21"/>
              </w:rPr>
              <w:t>次</w:t>
            </w:r>
          </w:p>
        </w:tc>
        <w:tc>
          <w:tcPr>
            <w:tcW w:w="5034" w:type="dxa"/>
            <w:tcBorders>
              <w:right w:val="single" w:color="auto" w:sz="12" w:space="0"/>
            </w:tcBorders>
            <w:vAlign w:val="center"/>
          </w:tcPr>
          <w:p w14:paraId="525B90FF">
            <w:pPr>
              <w:tabs>
                <w:tab w:val="left" w:pos="1080"/>
              </w:tabs>
              <w:spacing w:line="240" w:lineRule="auto"/>
              <w:jc w:val="center"/>
              <w:rPr>
                <w:rFonts w:ascii="Times New Roman"/>
                <w:sz w:val="21"/>
                <w:szCs w:val="21"/>
              </w:rPr>
            </w:pPr>
            <w:r>
              <w:rPr>
                <w:rFonts w:ascii="Times New Roman"/>
                <w:sz w:val="21"/>
                <w:szCs w:val="21"/>
              </w:rPr>
              <w:t>≥15，不开裂、不粉化</w:t>
            </w:r>
          </w:p>
        </w:tc>
      </w:tr>
      <w:tr w14:paraId="2B569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0" w:type="dxa"/>
            <w:tcBorders>
              <w:left w:val="single" w:color="auto" w:sz="12" w:space="0"/>
            </w:tcBorders>
            <w:vAlign w:val="center"/>
          </w:tcPr>
          <w:p w14:paraId="6A6A7D51">
            <w:pPr>
              <w:tabs>
                <w:tab w:val="left" w:pos="1080"/>
              </w:tabs>
              <w:spacing w:line="240" w:lineRule="auto"/>
              <w:jc w:val="center"/>
              <w:rPr>
                <w:rFonts w:ascii="Times New Roman"/>
                <w:sz w:val="21"/>
                <w:szCs w:val="21"/>
              </w:rPr>
            </w:pPr>
            <w:r>
              <w:rPr>
                <w:rFonts w:ascii="Times New Roman"/>
                <w:sz w:val="21"/>
                <w:szCs w:val="21"/>
              </w:rPr>
              <w:t>弯曲强度</w:t>
            </w:r>
          </w:p>
        </w:tc>
        <w:tc>
          <w:tcPr>
            <w:tcW w:w="1470" w:type="dxa"/>
            <w:vAlign w:val="center"/>
          </w:tcPr>
          <w:p w14:paraId="18FF9E18">
            <w:pPr>
              <w:tabs>
                <w:tab w:val="left" w:pos="1080"/>
              </w:tabs>
              <w:spacing w:line="240" w:lineRule="auto"/>
              <w:jc w:val="center"/>
              <w:rPr>
                <w:rFonts w:ascii="Times New Roman"/>
                <w:sz w:val="21"/>
                <w:szCs w:val="21"/>
              </w:rPr>
            </w:pPr>
            <w:r>
              <w:rPr>
                <w:rFonts w:ascii="Times New Roman"/>
                <w:sz w:val="21"/>
                <w:szCs w:val="21"/>
              </w:rPr>
              <w:t>MPa</w:t>
            </w:r>
          </w:p>
        </w:tc>
        <w:tc>
          <w:tcPr>
            <w:tcW w:w="5034" w:type="dxa"/>
            <w:tcBorders>
              <w:right w:val="single" w:color="auto" w:sz="12" w:space="0"/>
            </w:tcBorders>
            <w:vAlign w:val="center"/>
          </w:tcPr>
          <w:p w14:paraId="6640E54C">
            <w:pPr>
              <w:tabs>
                <w:tab w:val="left" w:pos="1080"/>
              </w:tabs>
              <w:spacing w:line="240" w:lineRule="auto"/>
              <w:jc w:val="center"/>
              <w:rPr>
                <w:rFonts w:ascii="Times New Roman"/>
                <w:sz w:val="21"/>
                <w:szCs w:val="21"/>
              </w:rPr>
            </w:pPr>
            <w:r>
              <w:rPr>
                <w:rFonts w:ascii="Times New Roman"/>
                <w:sz w:val="21"/>
                <w:szCs w:val="21"/>
              </w:rPr>
              <w:t>≥0.10</w:t>
            </w:r>
          </w:p>
        </w:tc>
      </w:tr>
      <w:tr w14:paraId="1BDFE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0" w:type="dxa"/>
            <w:tcBorders>
              <w:left w:val="single" w:color="auto" w:sz="12" w:space="0"/>
            </w:tcBorders>
            <w:vAlign w:val="center"/>
          </w:tcPr>
          <w:p w14:paraId="484299AD">
            <w:pPr>
              <w:tabs>
                <w:tab w:val="left" w:pos="1080"/>
              </w:tabs>
              <w:spacing w:line="240" w:lineRule="auto"/>
              <w:jc w:val="center"/>
              <w:rPr>
                <w:rFonts w:ascii="Times New Roman"/>
                <w:sz w:val="21"/>
                <w:szCs w:val="21"/>
              </w:rPr>
            </w:pPr>
            <w:r>
              <w:rPr>
                <w:rFonts w:ascii="Times New Roman"/>
                <w:sz w:val="21"/>
                <w:szCs w:val="21"/>
              </w:rPr>
              <w:t>燃烧性能</w:t>
            </w:r>
          </w:p>
        </w:tc>
        <w:tc>
          <w:tcPr>
            <w:tcW w:w="1470" w:type="dxa"/>
            <w:vAlign w:val="center"/>
          </w:tcPr>
          <w:p w14:paraId="1B59C7CB">
            <w:pPr>
              <w:tabs>
                <w:tab w:val="left" w:pos="1080"/>
              </w:tabs>
              <w:spacing w:line="240" w:lineRule="auto"/>
              <w:jc w:val="center"/>
              <w:rPr>
                <w:rFonts w:ascii="Times New Roman"/>
                <w:sz w:val="21"/>
                <w:szCs w:val="21"/>
              </w:rPr>
            </w:pPr>
          </w:p>
        </w:tc>
        <w:tc>
          <w:tcPr>
            <w:tcW w:w="5034" w:type="dxa"/>
            <w:tcBorders>
              <w:right w:val="single" w:color="auto" w:sz="12" w:space="0"/>
            </w:tcBorders>
            <w:vAlign w:val="center"/>
          </w:tcPr>
          <w:p w14:paraId="05ED110A">
            <w:pPr>
              <w:tabs>
                <w:tab w:val="left" w:pos="1080"/>
              </w:tabs>
              <w:spacing w:line="240" w:lineRule="auto"/>
              <w:jc w:val="center"/>
            </w:pPr>
            <w:r>
              <w:rPr>
                <w:rFonts w:hint="eastAsia" w:ascii="Times New Roman"/>
                <w:sz w:val="21"/>
                <w:szCs w:val="21"/>
              </w:rPr>
              <w:t>不低于GB</w:t>
            </w:r>
            <w:r>
              <w:rPr>
                <w:rFonts w:ascii="Times New Roman"/>
                <w:sz w:val="21"/>
                <w:szCs w:val="21"/>
              </w:rPr>
              <w:t>/T 2408-2008</w:t>
            </w:r>
            <w:r>
              <w:rPr>
                <w:rFonts w:hint="eastAsia" w:ascii="Times New Roman"/>
                <w:sz w:val="21"/>
                <w:szCs w:val="21"/>
              </w:rPr>
              <w:t>规定的HB级</w:t>
            </w:r>
          </w:p>
        </w:tc>
      </w:tr>
      <w:tr w14:paraId="66C45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0" w:type="dxa"/>
            <w:tcBorders>
              <w:left w:val="single" w:color="auto" w:sz="12" w:space="0"/>
              <w:bottom w:val="single" w:color="auto" w:sz="12" w:space="0"/>
            </w:tcBorders>
            <w:vAlign w:val="center"/>
          </w:tcPr>
          <w:p w14:paraId="3AD9AC6B">
            <w:pPr>
              <w:tabs>
                <w:tab w:val="left" w:pos="1080"/>
              </w:tabs>
              <w:spacing w:line="240" w:lineRule="auto"/>
              <w:jc w:val="center"/>
              <w:rPr>
                <w:rFonts w:ascii="Times New Roman"/>
                <w:sz w:val="21"/>
                <w:szCs w:val="21"/>
              </w:rPr>
            </w:pPr>
            <w:r>
              <w:rPr>
                <w:rFonts w:hint="eastAsia" w:ascii="Times New Roman"/>
                <w:sz w:val="21"/>
                <w:szCs w:val="21"/>
              </w:rPr>
              <w:t>膨胀性能</w:t>
            </w:r>
          </w:p>
        </w:tc>
        <w:tc>
          <w:tcPr>
            <w:tcW w:w="1470" w:type="dxa"/>
            <w:tcBorders>
              <w:bottom w:val="single" w:color="auto" w:sz="12" w:space="0"/>
            </w:tcBorders>
            <w:vAlign w:val="center"/>
          </w:tcPr>
          <w:p w14:paraId="2286948C">
            <w:pPr>
              <w:tabs>
                <w:tab w:val="left" w:pos="1080"/>
              </w:tabs>
              <w:spacing w:line="240" w:lineRule="auto"/>
              <w:jc w:val="center"/>
              <w:rPr>
                <w:rFonts w:ascii="Times New Roman"/>
                <w:sz w:val="21"/>
                <w:szCs w:val="21"/>
              </w:rPr>
            </w:pPr>
          </w:p>
        </w:tc>
        <w:tc>
          <w:tcPr>
            <w:tcW w:w="5034" w:type="dxa"/>
            <w:tcBorders>
              <w:bottom w:val="single" w:color="auto" w:sz="12" w:space="0"/>
              <w:right w:val="single" w:color="auto" w:sz="12" w:space="0"/>
            </w:tcBorders>
            <w:vAlign w:val="center"/>
          </w:tcPr>
          <w:p w14:paraId="2B5AD985">
            <w:pPr>
              <w:tabs>
                <w:tab w:val="left" w:pos="1080"/>
              </w:tabs>
              <w:spacing w:line="240" w:lineRule="auto"/>
              <w:jc w:val="center"/>
              <w:rPr>
                <w:rFonts w:ascii="Times New Roman"/>
                <w:sz w:val="21"/>
                <w:szCs w:val="21"/>
              </w:rPr>
            </w:pPr>
            <w:r>
              <w:rPr>
                <w:rFonts w:ascii="Times New Roman"/>
                <w:sz w:val="21"/>
                <w:szCs w:val="21"/>
              </w:rPr>
              <w:t>≥300</w:t>
            </w:r>
          </w:p>
        </w:tc>
      </w:tr>
    </w:tbl>
    <w:p w14:paraId="7A6E53EF">
      <w:pPr>
        <w:numPr>
          <w:ilvl w:val="0"/>
          <w:numId w:val="27"/>
        </w:numPr>
        <w:adjustRightInd w:val="0"/>
        <w:snapToGrid w:val="0"/>
        <w:jc w:val="left"/>
        <w:rPr>
          <w:rFonts w:ascii="Times New Roman"/>
          <w:szCs w:val="21"/>
        </w:rPr>
      </w:pPr>
      <w:r>
        <w:rPr>
          <w:rFonts w:ascii="Times New Roman"/>
          <w:szCs w:val="21"/>
        </w:rPr>
        <w:t>耐火隔板</w:t>
      </w:r>
    </w:p>
    <w:p w14:paraId="27CA4144">
      <w:pPr>
        <w:tabs>
          <w:tab w:val="left" w:pos="1080"/>
        </w:tabs>
        <w:ind w:firstLine="360" w:firstLineChars="150"/>
        <w:jc w:val="left"/>
        <w:rPr>
          <w:rFonts w:ascii="Times New Roman"/>
        </w:rPr>
      </w:pPr>
      <w:r>
        <w:rPr>
          <w:rFonts w:ascii="Times New Roman"/>
        </w:rPr>
        <w:t>无机耐火隔板采用无机不燃材料制作，复合型耐火隔板以无机不燃材料为基体，内外表面复合有机高分子难燃材料制成。用于放入桥盒内作为每层的层间防火。</w:t>
      </w:r>
    </w:p>
    <w:p w14:paraId="0868B74F">
      <w:pPr>
        <w:tabs>
          <w:tab w:val="left" w:pos="1080"/>
        </w:tabs>
        <w:ind w:firstLine="360" w:firstLineChars="150"/>
        <w:jc w:val="left"/>
        <w:rPr>
          <w:rFonts w:ascii="Times New Roman"/>
        </w:rPr>
      </w:pPr>
      <w:r>
        <w:rPr>
          <w:rFonts w:ascii="Times New Roman"/>
        </w:rPr>
        <w:t>主要技术性能要求如下：</w:t>
      </w:r>
    </w:p>
    <w:tbl>
      <w:tblPr>
        <w:tblStyle w:val="16"/>
        <w:tblW w:w="0" w:type="auto"/>
        <w:tblInd w:w="1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0"/>
        <w:gridCol w:w="1470"/>
        <w:gridCol w:w="5034"/>
      </w:tblGrid>
      <w:tr w14:paraId="131E1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0" w:type="dxa"/>
            <w:tcBorders>
              <w:top w:val="single" w:color="auto" w:sz="12" w:space="0"/>
              <w:left w:val="single" w:color="auto" w:sz="12" w:space="0"/>
            </w:tcBorders>
            <w:vAlign w:val="center"/>
          </w:tcPr>
          <w:p w14:paraId="295F386A">
            <w:pPr>
              <w:tabs>
                <w:tab w:val="left" w:pos="1080"/>
              </w:tabs>
              <w:spacing w:line="240" w:lineRule="auto"/>
              <w:jc w:val="center"/>
              <w:rPr>
                <w:rFonts w:ascii="Times New Roman"/>
                <w:sz w:val="21"/>
                <w:szCs w:val="21"/>
              </w:rPr>
            </w:pPr>
            <w:r>
              <w:rPr>
                <w:rFonts w:ascii="Times New Roman"/>
                <w:sz w:val="21"/>
                <w:szCs w:val="21"/>
              </w:rPr>
              <w:t>项  目</w:t>
            </w:r>
          </w:p>
        </w:tc>
        <w:tc>
          <w:tcPr>
            <w:tcW w:w="1470" w:type="dxa"/>
            <w:tcBorders>
              <w:top w:val="single" w:color="auto" w:sz="12" w:space="0"/>
            </w:tcBorders>
            <w:vAlign w:val="center"/>
          </w:tcPr>
          <w:p w14:paraId="0ECBAC50">
            <w:pPr>
              <w:tabs>
                <w:tab w:val="left" w:pos="1080"/>
              </w:tabs>
              <w:spacing w:line="240" w:lineRule="auto"/>
              <w:jc w:val="center"/>
              <w:rPr>
                <w:rFonts w:ascii="Times New Roman"/>
                <w:sz w:val="21"/>
                <w:szCs w:val="21"/>
              </w:rPr>
            </w:pPr>
            <w:r>
              <w:rPr>
                <w:rFonts w:ascii="Times New Roman"/>
                <w:sz w:val="21"/>
                <w:szCs w:val="21"/>
              </w:rPr>
              <w:t>单  位</w:t>
            </w:r>
          </w:p>
        </w:tc>
        <w:tc>
          <w:tcPr>
            <w:tcW w:w="5034" w:type="dxa"/>
            <w:tcBorders>
              <w:top w:val="single" w:color="auto" w:sz="12" w:space="0"/>
              <w:right w:val="single" w:color="auto" w:sz="12" w:space="0"/>
            </w:tcBorders>
            <w:vAlign w:val="center"/>
          </w:tcPr>
          <w:p w14:paraId="26DFCC6C">
            <w:pPr>
              <w:tabs>
                <w:tab w:val="left" w:pos="1080"/>
              </w:tabs>
              <w:spacing w:line="240" w:lineRule="auto"/>
              <w:jc w:val="center"/>
              <w:rPr>
                <w:rFonts w:ascii="Times New Roman"/>
                <w:sz w:val="21"/>
                <w:szCs w:val="21"/>
              </w:rPr>
            </w:pPr>
            <w:r>
              <w:rPr>
                <w:rFonts w:ascii="Times New Roman"/>
                <w:sz w:val="21"/>
                <w:szCs w:val="21"/>
              </w:rPr>
              <w:t>技术性能指标</w:t>
            </w:r>
          </w:p>
        </w:tc>
      </w:tr>
      <w:tr w14:paraId="545E4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0" w:type="dxa"/>
            <w:tcBorders>
              <w:left w:val="single" w:color="auto" w:sz="12" w:space="0"/>
            </w:tcBorders>
            <w:vAlign w:val="center"/>
          </w:tcPr>
          <w:p w14:paraId="74FDEB16">
            <w:pPr>
              <w:tabs>
                <w:tab w:val="left" w:pos="1080"/>
              </w:tabs>
              <w:spacing w:line="240" w:lineRule="auto"/>
              <w:jc w:val="center"/>
              <w:rPr>
                <w:rFonts w:ascii="Times New Roman"/>
                <w:sz w:val="21"/>
                <w:szCs w:val="21"/>
              </w:rPr>
            </w:pPr>
            <w:r>
              <w:rPr>
                <w:rFonts w:ascii="Times New Roman"/>
                <w:sz w:val="21"/>
                <w:szCs w:val="21"/>
              </w:rPr>
              <w:t>体积密度</w:t>
            </w:r>
          </w:p>
        </w:tc>
        <w:tc>
          <w:tcPr>
            <w:tcW w:w="1470" w:type="dxa"/>
            <w:vAlign w:val="center"/>
          </w:tcPr>
          <w:p w14:paraId="6D01A944">
            <w:pPr>
              <w:tabs>
                <w:tab w:val="left" w:pos="1080"/>
              </w:tabs>
              <w:spacing w:line="240" w:lineRule="auto"/>
              <w:jc w:val="center"/>
              <w:rPr>
                <w:rFonts w:ascii="Times New Roman"/>
                <w:sz w:val="21"/>
                <w:szCs w:val="21"/>
              </w:rPr>
            </w:pPr>
            <w:r>
              <w:rPr>
                <w:rFonts w:ascii="Times New Roman"/>
                <w:sz w:val="21"/>
                <w:szCs w:val="21"/>
              </w:rPr>
              <w:t>kg/m</w:t>
            </w:r>
            <w:r>
              <w:rPr>
                <w:rFonts w:ascii="Times New Roman"/>
                <w:sz w:val="21"/>
                <w:szCs w:val="21"/>
                <w:vertAlign w:val="superscript"/>
              </w:rPr>
              <w:t>3</w:t>
            </w:r>
          </w:p>
        </w:tc>
        <w:tc>
          <w:tcPr>
            <w:tcW w:w="5034" w:type="dxa"/>
            <w:tcBorders>
              <w:right w:val="single" w:color="auto" w:sz="12" w:space="0"/>
            </w:tcBorders>
            <w:vAlign w:val="center"/>
          </w:tcPr>
          <w:p w14:paraId="1C83557F">
            <w:pPr>
              <w:tabs>
                <w:tab w:val="left" w:pos="1080"/>
              </w:tabs>
              <w:spacing w:line="240" w:lineRule="auto"/>
              <w:jc w:val="center"/>
              <w:rPr>
                <w:rFonts w:ascii="Times New Roman"/>
                <w:sz w:val="21"/>
                <w:szCs w:val="21"/>
              </w:rPr>
            </w:pPr>
            <w:r>
              <w:rPr>
                <w:rFonts w:ascii="Times New Roman"/>
                <w:sz w:val="21"/>
                <w:szCs w:val="21"/>
              </w:rPr>
              <w:t>(1.7±0.2)×10</w:t>
            </w:r>
            <w:r>
              <w:rPr>
                <w:rFonts w:ascii="Times New Roman"/>
                <w:sz w:val="21"/>
                <w:szCs w:val="21"/>
                <w:vertAlign w:val="superscript"/>
              </w:rPr>
              <w:t>3</w:t>
            </w:r>
          </w:p>
        </w:tc>
      </w:tr>
      <w:tr w14:paraId="08055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0" w:type="dxa"/>
            <w:tcBorders>
              <w:left w:val="single" w:color="auto" w:sz="12" w:space="0"/>
            </w:tcBorders>
            <w:vAlign w:val="center"/>
          </w:tcPr>
          <w:p w14:paraId="07250FBE">
            <w:pPr>
              <w:tabs>
                <w:tab w:val="left" w:pos="1080"/>
              </w:tabs>
              <w:spacing w:line="240" w:lineRule="auto"/>
              <w:jc w:val="center"/>
              <w:rPr>
                <w:rFonts w:ascii="Times New Roman"/>
                <w:sz w:val="21"/>
                <w:szCs w:val="21"/>
              </w:rPr>
            </w:pPr>
            <w:r>
              <w:rPr>
                <w:rFonts w:ascii="Times New Roman"/>
                <w:sz w:val="21"/>
                <w:szCs w:val="21"/>
              </w:rPr>
              <w:t>耐水性</w:t>
            </w:r>
          </w:p>
        </w:tc>
        <w:tc>
          <w:tcPr>
            <w:tcW w:w="1470" w:type="dxa"/>
            <w:vAlign w:val="center"/>
          </w:tcPr>
          <w:p w14:paraId="47045533">
            <w:pPr>
              <w:tabs>
                <w:tab w:val="left" w:pos="1080"/>
              </w:tabs>
              <w:spacing w:line="240" w:lineRule="auto"/>
              <w:jc w:val="center"/>
              <w:rPr>
                <w:rFonts w:ascii="Times New Roman"/>
                <w:sz w:val="21"/>
                <w:szCs w:val="21"/>
              </w:rPr>
            </w:pPr>
            <w:r>
              <w:rPr>
                <w:rFonts w:ascii="Times New Roman"/>
                <w:sz w:val="21"/>
                <w:szCs w:val="21"/>
              </w:rPr>
              <w:t>d</w:t>
            </w:r>
          </w:p>
        </w:tc>
        <w:tc>
          <w:tcPr>
            <w:tcW w:w="5034" w:type="dxa"/>
            <w:tcBorders>
              <w:right w:val="single" w:color="auto" w:sz="12" w:space="0"/>
            </w:tcBorders>
            <w:vAlign w:val="center"/>
          </w:tcPr>
          <w:p w14:paraId="10216957">
            <w:pPr>
              <w:tabs>
                <w:tab w:val="left" w:pos="1080"/>
              </w:tabs>
              <w:spacing w:line="240" w:lineRule="auto"/>
              <w:jc w:val="center"/>
              <w:rPr>
                <w:rFonts w:ascii="Times New Roman"/>
                <w:sz w:val="21"/>
                <w:szCs w:val="21"/>
              </w:rPr>
            </w:pPr>
            <w:r>
              <w:rPr>
                <w:rFonts w:ascii="Times New Roman"/>
                <w:sz w:val="21"/>
                <w:szCs w:val="21"/>
              </w:rPr>
              <w:t>常温下浸泡10天无明显变化</w:t>
            </w:r>
          </w:p>
        </w:tc>
      </w:tr>
      <w:tr w14:paraId="32ECE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0" w:type="dxa"/>
            <w:tcBorders>
              <w:left w:val="single" w:color="auto" w:sz="12" w:space="0"/>
            </w:tcBorders>
            <w:vAlign w:val="center"/>
          </w:tcPr>
          <w:p w14:paraId="5E15A3DE">
            <w:pPr>
              <w:tabs>
                <w:tab w:val="left" w:pos="1080"/>
              </w:tabs>
              <w:spacing w:line="240" w:lineRule="auto"/>
              <w:jc w:val="center"/>
              <w:rPr>
                <w:rFonts w:ascii="Times New Roman"/>
                <w:sz w:val="21"/>
                <w:szCs w:val="21"/>
              </w:rPr>
            </w:pPr>
            <w:r>
              <w:rPr>
                <w:rFonts w:ascii="Times New Roman"/>
                <w:sz w:val="21"/>
                <w:szCs w:val="21"/>
              </w:rPr>
              <w:t>耐油性</w:t>
            </w:r>
          </w:p>
        </w:tc>
        <w:tc>
          <w:tcPr>
            <w:tcW w:w="1470" w:type="dxa"/>
            <w:vAlign w:val="center"/>
          </w:tcPr>
          <w:p w14:paraId="69ED33BD">
            <w:pPr>
              <w:tabs>
                <w:tab w:val="left" w:pos="1080"/>
              </w:tabs>
              <w:spacing w:line="240" w:lineRule="auto"/>
              <w:jc w:val="center"/>
              <w:rPr>
                <w:rFonts w:ascii="Times New Roman"/>
                <w:sz w:val="21"/>
                <w:szCs w:val="21"/>
              </w:rPr>
            </w:pPr>
            <w:r>
              <w:rPr>
                <w:rFonts w:ascii="Times New Roman"/>
                <w:sz w:val="21"/>
                <w:szCs w:val="21"/>
              </w:rPr>
              <w:t>d</w:t>
            </w:r>
          </w:p>
        </w:tc>
        <w:tc>
          <w:tcPr>
            <w:tcW w:w="5034" w:type="dxa"/>
            <w:tcBorders>
              <w:right w:val="single" w:color="auto" w:sz="12" w:space="0"/>
            </w:tcBorders>
            <w:vAlign w:val="center"/>
          </w:tcPr>
          <w:p w14:paraId="0213108F">
            <w:pPr>
              <w:tabs>
                <w:tab w:val="left" w:pos="1080"/>
              </w:tabs>
              <w:spacing w:line="240" w:lineRule="auto"/>
              <w:jc w:val="center"/>
              <w:rPr>
                <w:rFonts w:ascii="Times New Roman"/>
                <w:sz w:val="21"/>
                <w:szCs w:val="21"/>
              </w:rPr>
            </w:pPr>
            <w:r>
              <w:rPr>
                <w:rFonts w:ascii="Times New Roman"/>
                <w:sz w:val="21"/>
                <w:szCs w:val="21"/>
              </w:rPr>
              <w:t>≥3，不溶胀，不开裂</w:t>
            </w:r>
          </w:p>
        </w:tc>
      </w:tr>
      <w:tr w14:paraId="34A2B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0" w:type="dxa"/>
            <w:tcBorders>
              <w:left w:val="single" w:color="auto" w:sz="12" w:space="0"/>
            </w:tcBorders>
            <w:vAlign w:val="center"/>
          </w:tcPr>
          <w:p w14:paraId="2B31BF5C">
            <w:pPr>
              <w:tabs>
                <w:tab w:val="left" w:pos="1080"/>
              </w:tabs>
              <w:spacing w:line="240" w:lineRule="auto"/>
              <w:jc w:val="center"/>
              <w:rPr>
                <w:rFonts w:ascii="Times New Roman"/>
                <w:sz w:val="21"/>
                <w:szCs w:val="21"/>
              </w:rPr>
            </w:pPr>
            <w:r>
              <w:rPr>
                <w:rFonts w:ascii="Times New Roman"/>
                <w:sz w:val="21"/>
                <w:szCs w:val="21"/>
              </w:rPr>
              <w:t>耐湿热性</w:t>
            </w:r>
          </w:p>
        </w:tc>
        <w:tc>
          <w:tcPr>
            <w:tcW w:w="1470" w:type="dxa"/>
            <w:vAlign w:val="center"/>
          </w:tcPr>
          <w:p w14:paraId="6C1CDD1A">
            <w:pPr>
              <w:tabs>
                <w:tab w:val="left" w:pos="1080"/>
              </w:tabs>
              <w:spacing w:line="240" w:lineRule="auto"/>
              <w:jc w:val="center"/>
              <w:rPr>
                <w:rFonts w:ascii="Times New Roman"/>
                <w:sz w:val="21"/>
                <w:szCs w:val="21"/>
              </w:rPr>
            </w:pPr>
            <w:r>
              <w:rPr>
                <w:rFonts w:ascii="Times New Roman"/>
                <w:sz w:val="21"/>
                <w:szCs w:val="21"/>
              </w:rPr>
              <w:t>h</w:t>
            </w:r>
          </w:p>
        </w:tc>
        <w:tc>
          <w:tcPr>
            <w:tcW w:w="5034" w:type="dxa"/>
            <w:tcBorders>
              <w:right w:val="single" w:color="auto" w:sz="12" w:space="0"/>
            </w:tcBorders>
            <w:vAlign w:val="center"/>
          </w:tcPr>
          <w:p w14:paraId="3059E596">
            <w:pPr>
              <w:tabs>
                <w:tab w:val="left" w:pos="1080"/>
              </w:tabs>
              <w:spacing w:line="240" w:lineRule="auto"/>
              <w:jc w:val="center"/>
              <w:rPr>
                <w:rFonts w:ascii="Times New Roman"/>
                <w:sz w:val="21"/>
                <w:szCs w:val="21"/>
              </w:rPr>
            </w:pPr>
            <w:r>
              <w:rPr>
                <w:rFonts w:ascii="Times New Roman"/>
                <w:sz w:val="21"/>
                <w:szCs w:val="21"/>
              </w:rPr>
              <w:t>≥120，不开裂、不粉化</w:t>
            </w:r>
          </w:p>
        </w:tc>
      </w:tr>
      <w:tr w14:paraId="37D4B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0" w:type="dxa"/>
            <w:tcBorders>
              <w:left w:val="single" w:color="auto" w:sz="12" w:space="0"/>
            </w:tcBorders>
            <w:vAlign w:val="center"/>
          </w:tcPr>
          <w:p w14:paraId="06A95997">
            <w:pPr>
              <w:tabs>
                <w:tab w:val="left" w:pos="1080"/>
              </w:tabs>
              <w:spacing w:line="240" w:lineRule="auto"/>
              <w:jc w:val="center"/>
              <w:rPr>
                <w:rFonts w:ascii="Times New Roman"/>
                <w:sz w:val="21"/>
                <w:szCs w:val="21"/>
              </w:rPr>
            </w:pPr>
            <w:r>
              <w:rPr>
                <w:rFonts w:ascii="Times New Roman"/>
                <w:sz w:val="21"/>
                <w:szCs w:val="21"/>
              </w:rPr>
              <w:t>耐冻融循环</w:t>
            </w:r>
          </w:p>
        </w:tc>
        <w:tc>
          <w:tcPr>
            <w:tcW w:w="1470" w:type="dxa"/>
            <w:vAlign w:val="center"/>
          </w:tcPr>
          <w:p w14:paraId="5CDA6EDB">
            <w:pPr>
              <w:tabs>
                <w:tab w:val="left" w:pos="1080"/>
              </w:tabs>
              <w:spacing w:line="240" w:lineRule="auto"/>
              <w:jc w:val="center"/>
              <w:rPr>
                <w:rFonts w:ascii="Times New Roman"/>
                <w:sz w:val="21"/>
                <w:szCs w:val="21"/>
              </w:rPr>
            </w:pPr>
            <w:r>
              <w:rPr>
                <w:rFonts w:ascii="Times New Roman"/>
                <w:sz w:val="21"/>
                <w:szCs w:val="21"/>
              </w:rPr>
              <w:t>次</w:t>
            </w:r>
          </w:p>
        </w:tc>
        <w:tc>
          <w:tcPr>
            <w:tcW w:w="5034" w:type="dxa"/>
            <w:tcBorders>
              <w:right w:val="single" w:color="auto" w:sz="12" w:space="0"/>
            </w:tcBorders>
            <w:vAlign w:val="center"/>
          </w:tcPr>
          <w:p w14:paraId="6ED53FA5">
            <w:pPr>
              <w:tabs>
                <w:tab w:val="left" w:pos="1080"/>
              </w:tabs>
              <w:spacing w:line="240" w:lineRule="auto"/>
              <w:jc w:val="center"/>
              <w:rPr>
                <w:rFonts w:ascii="Times New Roman"/>
                <w:sz w:val="21"/>
                <w:szCs w:val="21"/>
              </w:rPr>
            </w:pPr>
            <w:r>
              <w:rPr>
                <w:rFonts w:ascii="Times New Roman"/>
                <w:sz w:val="21"/>
                <w:szCs w:val="21"/>
              </w:rPr>
              <w:t>≥15，不开裂、不粉化</w:t>
            </w:r>
          </w:p>
        </w:tc>
      </w:tr>
      <w:tr w14:paraId="01D63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0" w:type="dxa"/>
            <w:tcBorders>
              <w:left w:val="single" w:color="auto" w:sz="12" w:space="0"/>
            </w:tcBorders>
            <w:vAlign w:val="center"/>
          </w:tcPr>
          <w:p w14:paraId="2BD960DE">
            <w:pPr>
              <w:tabs>
                <w:tab w:val="left" w:pos="1080"/>
              </w:tabs>
              <w:spacing w:line="240" w:lineRule="auto"/>
              <w:jc w:val="center"/>
              <w:rPr>
                <w:rFonts w:ascii="Times New Roman"/>
                <w:sz w:val="21"/>
                <w:szCs w:val="21"/>
              </w:rPr>
            </w:pPr>
            <w:r>
              <w:rPr>
                <w:rFonts w:ascii="Times New Roman"/>
                <w:sz w:val="21"/>
                <w:szCs w:val="21"/>
              </w:rPr>
              <w:t>弯曲强度</w:t>
            </w:r>
          </w:p>
        </w:tc>
        <w:tc>
          <w:tcPr>
            <w:tcW w:w="1470" w:type="dxa"/>
            <w:vAlign w:val="center"/>
          </w:tcPr>
          <w:p w14:paraId="27D498A3">
            <w:pPr>
              <w:tabs>
                <w:tab w:val="left" w:pos="1080"/>
              </w:tabs>
              <w:spacing w:line="240" w:lineRule="auto"/>
              <w:jc w:val="center"/>
              <w:rPr>
                <w:rFonts w:ascii="Times New Roman"/>
                <w:sz w:val="21"/>
                <w:szCs w:val="21"/>
              </w:rPr>
            </w:pPr>
            <w:r>
              <w:rPr>
                <w:rFonts w:ascii="Times New Roman"/>
                <w:sz w:val="21"/>
                <w:szCs w:val="21"/>
              </w:rPr>
              <w:t>MPa</w:t>
            </w:r>
          </w:p>
        </w:tc>
        <w:tc>
          <w:tcPr>
            <w:tcW w:w="5034" w:type="dxa"/>
            <w:tcBorders>
              <w:right w:val="single" w:color="auto" w:sz="12" w:space="0"/>
            </w:tcBorders>
            <w:vAlign w:val="center"/>
          </w:tcPr>
          <w:p w14:paraId="4DABB9B7">
            <w:pPr>
              <w:tabs>
                <w:tab w:val="left" w:pos="1080"/>
              </w:tabs>
              <w:spacing w:line="240" w:lineRule="auto"/>
              <w:jc w:val="center"/>
              <w:rPr>
                <w:rFonts w:ascii="Times New Roman"/>
                <w:sz w:val="21"/>
                <w:szCs w:val="21"/>
              </w:rPr>
            </w:pPr>
            <w:r>
              <w:rPr>
                <w:rFonts w:ascii="Times New Roman"/>
                <w:sz w:val="21"/>
                <w:szCs w:val="21"/>
              </w:rPr>
              <w:t>≥45</w:t>
            </w:r>
          </w:p>
        </w:tc>
      </w:tr>
      <w:tr w14:paraId="05CF2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0" w:type="dxa"/>
            <w:tcBorders>
              <w:left w:val="single" w:color="auto" w:sz="12" w:space="0"/>
              <w:bottom w:val="single" w:color="auto" w:sz="12" w:space="0"/>
            </w:tcBorders>
            <w:vAlign w:val="center"/>
          </w:tcPr>
          <w:p w14:paraId="6250321F">
            <w:pPr>
              <w:tabs>
                <w:tab w:val="left" w:pos="1080"/>
              </w:tabs>
              <w:spacing w:line="240" w:lineRule="auto"/>
              <w:jc w:val="center"/>
              <w:rPr>
                <w:rFonts w:ascii="Times New Roman"/>
                <w:sz w:val="21"/>
                <w:szCs w:val="21"/>
              </w:rPr>
            </w:pPr>
            <w:r>
              <w:rPr>
                <w:rFonts w:ascii="Times New Roman"/>
                <w:sz w:val="21"/>
                <w:szCs w:val="21"/>
              </w:rPr>
              <w:t>燃烧性能</w:t>
            </w:r>
          </w:p>
        </w:tc>
        <w:tc>
          <w:tcPr>
            <w:tcW w:w="1470" w:type="dxa"/>
            <w:tcBorders>
              <w:bottom w:val="single" w:color="auto" w:sz="12" w:space="0"/>
            </w:tcBorders>
            <w:vAlign w:val="center"/>
          </w:tcPr>
          <w:p w14:paraId="5266D39B">
            <w:pPr>
              <w:tabs>
                <w:tab w:val="left" w:pos="1080"/>
              </w:tabs>
              <w:spacing w:line="240" w:lineRule="auto"/>
              <w:jc w:val="center"/>
              <w:rPr>
                <w:rFonts w:ascii="Times New Roman"/>
                <w:sz w:val="21"/>
                <w:szCs w:val="21"/>
              </w:rPr>
            </w:pPr>
          </w:p>
        </w:tc>
        <w:tc>
          <w:tcPr>
            <w:tcW w:w="5034" w:type="dxa"/>
            <w:tcBorders>
              <w:bottom w:val="single" w:color="auto" w:sz="12" w:space="0"/>
              <w:right w:val="single" w:color="auto" w:sz="12" w:space="0"/>
            </w:tcBorders>
            <w:vAlign w:val="center"/>
          </w:tcPr>
          <w:p w14:paraId="2CC9A089">
            <w:pPr>
              <w:tabs>
                <w:tab w:val="left" w:pos="1080"/>
              </w:tabs>
              <w:spacing w:line="240" w:lineRule="auto"/>
              <w:jc w:val="center"/>
              <w:rPr>
                <w:rFonts w:ascii="Times New Roman"/>
                <w:sz w:val="21"/>
                <w:szCs w:val="21"/>
              </w:rPr>
            </w:pPr>
            <w:r>
              <w:rPr>
                <w:rFonts w:ascii="Times New Roman"/>
                <w:sz w:val="21"/>
                <w:szCs w:val="21"/>
              </w:rPr>
              <w:t>A级</w:t>
            </w:r>
          </w:p>
        </w:tc>
      </w:tr>
    </w:tbl>
    <w:p w14:paraId="7F770161">
      <w:pPr>
        <w:numPr>
          <w:ilvl w:val="0"/>
          <w:numId w:val="27"/>
        </w:numPr>
        <w:adjustRightInd w:val="0"/>
        <w:snapToGrid w:val="0"/>
        <w:jc w:val="left"/>
        <w:rPr>
          <w:rFonts w:ascii="Times New Roman"/>
          <w:szCs w:val="21"/>
        </w:rPr>
      </w:pPr>
      <w:r>
        <w:rPr>
          <w:rFonts w:ascii="Times New Roman"/>
          <w:szCs w:val="21"/>
        </w:rPr>
        <w:t>阻火包</w:t>
      </w:r>
    </w:p>
    <w:p w14:paraId="4261684D">
      <w:pPr>
        <w:tabs>
          <w:tab w:val="left" w:pos="1080"/>
        </w:tabs>
        <w:ind w:firstLine="360" w:firstLineChars="150"/>
        <w:jc w:val="left"/>
        <w:rPr>
          <w:rFonts w:ascii="Times New Roman"/>
        </w:rPr>
      </w:pPr>
      <w:r>
        <w:rPr>
          <w:rFonts w:ascii="Times New Roman"/>
        </w:rPr>
        <w:t>阻火包的外包由编织紧密的不燃玻璃纤维布制作，包内填充无机不燃材料及相应助剂，且有不燃性。遇火时包内材料应能迅速膨胀，形成严密的防火封堵层，达到阻止延燃的目的。用于</w:t>
      </w:r>
      <w:r>
        <w:rPr>
          <w:rFonts w:ascii="Times New Roman"/>
          <w:szCs w:val="21"/>
        </w:rPr>
        <w:t>电缆桥架托盘内用</w:t>
      </w:r>
      <w:r>
        <w:rPr>
          <w:rFonts w:hint="eastAsia" w:ascii="Times New Roman"/>
          <w:szCs w:val="21"/>
        </w:rPr>
        <w:t>防火墙、</w:t>
      </w:r>
      <w:r>
        <w:rPr>
          <w:rFonts w:ascii="Times New Roman"/>
          <w:szCs w:val="21"/>
        </w:rPr>
        <w:t>防火阻断</w:t>
      </w:r>
      <w:r>
        <w:rPr>
          <w:rFonts w:hint="eastAsia" w:ascii="Times New Roman"/>
          <w:szCs w:val="21"/>
        </w:rPr>
        <w:t>、屏底封堵</w:t>
      </w:r>
      <w:r>
        <w:rPr>
          <w:rFonts w:ascii="Times New Roman"/>
        </w:rPr>
        <w:t>。</w:t>
      </w:r>
    </w:p>
    <w:p w14:paraId="00BD99DE">
      <w:pPr>
        <w:tabs>
          <w:tab w:val="left" w:pos="1080"/>
        </w:tabs>
        <w:ind w:firstLine="360" w:firstLineChars="150"/>
        <w:jc w:val="left"/>
        <w:rPr>
          <w:rFonts w:ascii="Times New Roman"/>
        </w:rPr>
      </w:pPr>
      <w:r>
        <w:rPr>
          <w:rFonts w:ascii="Times New Roman"/>
        </w:rPr>
        <w:t>主要技术性能要求如下：</w:t>
      </w:r>
    </w:p>
    <w:tbl>
      <w:tblPr>
        <w:tblStyle w:val="16"/>
        <w:tblW w:w="0" w:type="auto"/>
        <w:tblInd w:w="1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0"/>
        <w:gridCol w:w="1450"/>
        <w:gridCol w:w="5054"/>
      </w:tblGrid>
      <w:tr w14:paraId="55FF0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1650" w:type="dxa"/>
            <w:tcBorders>
              <w:top w:val="single" w:color="auto" w:sz="12" w:space="0"/>
              <w:left w:val="single" w:color="auto" w:sz="12" w:space="0"/>
            </w:tcBorders>
            <w:vAlign w:val="center"/>
          </w:tcPr>
          <w:p w14:paraId="2DDA7080">
            <w:pPr>
              <w:tabs>
                <w:tab w:val="left" w:pos="1080"/>
              </w:tabs>
              <w:spacing w:line="240" w:lineRule="auto"/>
              <w:jc w:val="center"/>
              <w:rPr>
                <w:rFonts w:ascii="Times New Roman"/>
                <w:sz w:val="21"/>
                <w:szCs w:val="21"/>
              </w:rPr>
            </w:pPr>
            <w:r>
              <w:rPr>
                <w:rFonts w:ascii="Times New Roman"/>
                <w:sz w:val="21"/>
                <w:szCs w:val="21"/>
              </w:rPr>
              <w:t>项  目</w:t>
            </w:r>
          </w:p>
        </w:tc>
        <w:tc>
          <w:tcPr>
            <w:tcW w:w="1450" w:type="dxa"/>
            <w:tcBorders>
              <w:top w:val="single" w:color="auto" w:sz="12" w:space="0"/>
            </w:tcBorders>
            <w:vAlign w:val="center"/>
          </w:tcPr>
          <w:p w14:paraId="5A9C39A5">
            <w:pPr>
              <w:tabs>
                <w:tab w:val="left" w:pos="1080"/>
              </w:tabs>
              <w:spacing w:line="240" w:lineRule="auto"/>
              <w:jc w:val="center"/>
              <w:rPr>
                <w:rFonts w:ascii="Times New Roman"/>
                <w:sz w:val="21"/>
                <w:szCs w:val="21"/>
              </w:rPr>
            </w:pPr>
            <w:r>
              <w:rPr>
                <w:rFonts w:ascii="Times New Roman"/>
                <w:sz w:val="21"/>
                <w:szCs w:val="21"/>
              </w:rPr>
              <w:t>单位</w:t>
            </w:r>
          </w:p>
        </w:tc>
        <w:tc>
          <w:tcPr>
            <w:tcW w:w="5054" w:type="dxa"/>
            <w:tcBorders>
              <w:top w:val="single" w:color="auto" w:sz="12" w:space="0"/>
              <w:right w:val="single" w:color="auto" w:sz="12" w:space="0"/>
            </w:tcBorders>
            <w:vAlign w:val="center"/>
          </w:tcPr>
          <w:p w14:paraId="41B379C4">
            <w:pPr>
              <w:tabs>
                <w:tab w:val="left" w:pos="1080"/>
              </w:tabs>
              <w:spacing w:line="240" w:lineRule="auto"/>
              <w:jc w:val="center"/>
              <w:rPr>
                <w:rFonts w:ascii="Times New Roman"/>
                <w:sz w:val="21"/>
                <w:szCs w:val="21"/>
              </w:rPr>
            </w:pPr>
            <w:r>
              <w:rPr>
                <w:rFonts w:ascii="Times New Roman"/>
                <w:sz w:val="21"/>
                <w:szCs w:val="21"/>
              </w:rPr>
              <w:t>技术性能指标</w:t>
            </w:r>
          </w:p>
        </w:tc>
      </w:tr>
      <w:tr w14:paraId="46988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50" w:type="dxa"/>
            <w:tcBorders>
              <w:left w:val="single" w:color="auto" w:sz="12" w:space="0"/>
            </w:tcBorders>
            <w:vAlign w:val="center"/>
          </w:tcPr>
          <w:p w14:paraId="38324B9B">
            <w:pPr>
              <w:tabs>
                <w:tab w:val="left" w:pos="1080"/>
              </w:tabs>
              <w:spacing w:line="240" w:lineRule="auto"/>
              <w:jc w:val="center"/>
              <w:rPr>
                <w:rFonts w:ascii="Times New Roman"/>
                <w:sz w:val="21"/>
                <w:szCs w:val="21"/>
              </w:rPr>
            </w:pPr>
            <w:r>
              <w:rPr>
                <w:rFonts w:ascii="Times New Roman"/>
                <w:sz w:val="21"/>
                <w:szCs w:val="21"/>
              </w:rPr>
              <w:t>松散密度</w:t>
            </w:r>
          </w:p>
        </w:tc>
        <w:tc>
          <w:tcPr>
            <w:tcW w:w="1450" w:type="dxa"/>
            <w:vAlign w:val="center"/>
          </w:tcPr>
          <w:p w14:paraId="06B4864A">
            <w:pPr>
              <w:tabs>
                <w:tab w:val="left" w:pos="1080"/>
              </w:tabs>
              <w:spacing w:line="240" w:lineRule="auto"/>
              <w:jc w:val="center"/>
              <w:rPr>
                <w:rFonts w:ascii="Times New Roman"/>
                <w:sz w:val="21"/>
                <w:szCs w:val="21"/>
              </w:rPr>
            </w:pPr>
            <w:r>
              <w:rPr>
                <w:rFonts w:ascii="Times New Roman"/>
                <w:sz w:val="21"/>
                <w:szCs w:val="21"/>
              </w:rPr>
              <w:t>kg/m</w:t>
            </w:r>
            <w:r>
              <w:rPr>
                <w:rFonts w:ascii="Times New Roman"/>
                <w:sz w:val="21"/>
                <w:szCs w:val="21"/>
                <w:vertAlign w:val="superscript"/>
              </w:rPr>
              <w:t>3</w:t>
            </w:r>
          </w:p>
        </w:tc>
        <w:tc>
          <w:tcPr>
            <w:tcW w:w="5054" w:type="dxa"/>
            <w:tcBorders>
              <w:right w:val="single" w:color="auto" w:sz="12" w:space="0"/>
            </w:tcBorders>
            <w:vAlign w:val="center"/>
          </w:tcPr>
          <w:p w14:paraId="5C93849B">
            <w:pPr>
              <w:tabs>
                <w:tab w:val="left" w:pos="1080"/>
              </w:tabs>
              <w:spacing w:line="240" w:lineRule="auto"/>
              <w:jc w:val="center"/>
              <w:rPr>
                <w:rFonts w:ascii="Times New Roman"/>
                <w:sz w:val="21"/>
                <w:szCs w:val="21"/>
              </w:rPr>
            </w:pPr>
            <w:r>
              <w:rPr>
                <w:rFonts w:ascii="Times New Roman"/>
                <w:sz w:val="21"/>
                <w:szCs w:val="21"/>
              </w:rPr>
              <w:t>≤1.2×10</w:t>
            </w:r>
            <w:r>
              <w:rPr>
                <w:rFonts w:ascii="Times New Roman"/>
                <w:sz w:val="21"/>
                <w:szCs w:val="21"/>
                <w:vertAlign w:val="superscript"/>
              </w:rPr>
              <w:t>3</w:t>
            </w:r>
          </w:p>
        </w:tc>
      </w:tr>
      <w:tr w14:paraId="00FA8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50" w:type="dxa"/>
            <w:tcBorders>
              <w:left w:val="single" w:color="auto" w:sz="12" w:space="0"/>
            </w:tcBorders>
            <w:vAlign w:val="center"/>
          </w:tcPr>
          <w:p w14:paraId="5BC14976">
            <w:pPr>
              <w:tabs>
                <w:tab w:val="left" w:pos="1080"/>
              </w:tabs>
              <w:spacing w:line="240" w:lineRule="auto"/>
              <w:jc w:val="center"/>
              <w:rPr>
                <w:rFonts w:ascii="Times New Roman"/>
                <w:sz w:val="21"/>
                <w:szCs w:val="21"/>
              </w:rPr>
            </w:pPr>
            <w:r>
              <w:rPr>
                <w:rFonts w:ascii="Times New Roman"/>
                <w:sz w:val="21"/>
                <w:szCs w:val="21"/>
              </w:rPr>
              <w:t>耐水性</w:t>
            </w:r>
          </w:p>
        </w:tc>
        <w:tc>
          <w:tcPr>
            <w:tcW w:w="1450" w:type="dxa"/>
            <w:vAlign w:val="center"/>
          </w:tcPr>
          <w:p w14:paraId="1A3320C2">
            <w:pPr>
              <w:tabs>
                <w:tab w:val="left" w:pos="1080"/>
              </w:tabs>
              <w:spacing w:line="240" w:lineRule="auto"/>
              <w:jc w:val="center"/>
              <w:rPr>
                <w:rFonts w:ascii="Times New Roman"/>
                <w:sz w:val="21"/>
                <w:szCs w:val="21"/>
              </w:rPr>
            </w:pPr>
            <w:r>
              <w:rPr>
                <w:rFonts w:ascii="Times New Roman"/>
                <w:sz w:val="21"/>
                <w:szCs w:val="21"/>
              </w:rPr>
              <w:t>d</w:t>
            </w:r>
          </w:p>
        </w:tc>
        <w:tc>
          <w:tcPr>
            <w:tcW w:w="5054" w:type="dxa"/>
            <w:tcBorders>
              <w:right w:val="single" w:color="auto" w:sz="12" w:space="0"/>
            </w:tcBorders>
            <w:vAlign w:val="center"/>
          </w:tcPr>
          <w:p w14:paraId="30CC539F">
            <w:pPr>
              <w:tabs>
                <w:tab w:val="left" w:pos="1080"/>
              </w:tabs>
              <w:spacing w:line="240" w:lineRule="auto"/>
              <w:jc w:val="center"/>
              <w:rPr>
                <w:rFonts w:ascii="Times New Roman"/>
                <w:sz w:val="21"/>
                <w:szCs w:val="21"/>
              </w:rPr>
            </w:pPr>
            <w:r>
              <w:rPr>
                <w:rFonts w:ascii="Times New Roman"/>
                <w:sz w:val="21"/>
                <w:szCs w:val="21"/>
              </w:rPr>
              <w:t>≥3，内装材料无明显变化，包体完整，无破损</w:t>
            </w:r>
          </w:p>
        </w:tc>
      </w:tr>
      <w:tr w14:paraId="67A6A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50" w:type="dxa"/>
            <w:tcBorders>
              <w:left w:val="single" w:color="auto" w:sz="12" w:space="0"/>
            </w:tcBorders>
            <w:vAlign w:val="center"/>
          </w:tcPr>
          <w:p w14:paraId="3341E7CF">
            <w:pPr>
              <w:tabs>
                <w:tab w:val="left" w:pos="1080"/>
              </w:tabs>
              <w:spacing w:line="240" w:lineRule="auto"/>
              <w:jc w:val="center"/>
              <w:rPr>
                <w:rFonts w:ascii="Times New Roman"/>
                <w:sz w:val="21"/>
                <w:szCs w:val="21"/>
              </w:rPr>
            </w:pPr>
            <w:r>
              <w:rPr>
                <w:rFonts w:ascii="Times New Roman"/>
                <w:sz w:val="21"/>
                <w:szCs w:val="21"/>
              </w:rPr>
              <w:t>耐油性</w:t>
            </w:r>
          </w:p>
        </w:tc>
        <w:tc>
          <w:tcPr>
            <w:tcW w:w="1450" w:type="dxa"/>
            <w:vAlign w:val="center"/>
          </w:tcPr>
          <w:p w14:paraId="1C642E3A">
            <w:pPr>
              <w:tabs>
                <w:tab w:val="left" w:pos="1080"/>
              </w:tabs>
              <w:spacing w:line="240" w:lineRule="auto"/>
              <w:jc w:val="center"/>
              <w:rPr>
                <w:rFonts w:ascii="Times New Roman"/>
                <w:sz w:val="21"/>
                <w:szCs w:val="21"/>
              </w:rPr>
            </w:pPr>
            <w:r>
              <w:rPr>
                <w:rFonts w:ascii="Times New Roman"/>
                <w:sz w:val="21"/>
                <w:szCs w:val="21"/>
              </w:rPr>
              <w:t>d</w:t>
            </w:r>
          </w:p>
        </w:tc>
        <w:tc>
          <w:tcPr>
            <w:tcW w:w="5054" w:type="dxa"/>
            <w:tcBorders>
              <w:right w:val="single" w:color="auto" w:sz="12" w:space="0"/>
            </w:tcBorders>
            <w:vAlign w:val="center"/>
          </w:tcPr>
          <w:p w14:paraId="4D00F9FA">
            <w:pPr>
              <w:tabs>
                <w:tab w:val="left" w:pos="1080"/>
              </w:tabs>
              <w:spacing w:line="240" w:lineRule="auto"/>
              <w:jc w:val="center"/>
              <w:rPr>
                <w:rFonts w:ascii="Times New Roman"/>
                <w:sz w:val="21"/>
                <w:szCs w:val="21"/>
              </w:rPr>
            </w:pPr>
            <w:r>
              <w:rPr>
                <w:rFonts w:ascii="Times New Roman"/>
                <w:sz w:val="21"/>
                <w:szCs w:val="21"/>
              </w:rPr>
              <w:t>≥3，内装材料无明显变化，包体完整，无破损</w:t>
            </w:r>
          </w:p>
        </w:tc>
      </w:tr>
      <w:tr w14:paraId="5B565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50" w:type="dxa"/>
            <w:tcBorders>
              <w:left w:val="single" w:color="auto" w:sz="12" w:space="0"/>
            </w:tcBorders>
            <w:vAlign w:val="center"/>
          </w:tcPr>
          <w:p w14:paraId="797E72BA">
            <w:pPr>
              <w:tabs>
                <w:tab w:val="left" w:pos="1080"/>
              </w:tabs>
              <w:spacing w:line="240" w:lineRule="auto"/>
              <w:jc w:val="center"/>
              <w:rPr>
                <w:rFonts w:ascii="Times New Roman"/>
                <w:sz w:val="21"/>
                <w:szCs w:val="21"/>
              </w:rPr>
            </w:pPr>
            <w:r>
              <w:rPr>
                <w:rFonts w:ascii="Times New Roman"/>
                <w:sz w:val="21"/>
                <w:szCs w:val="21"/>
              </w:rPr>
              <w:t>耐湿热性</w:t>
            </w:r>
          </w:p>
        </w:tc>
        <w:tc>
          <w:tcPr>
            <w:tcW w:w="1450" w:type="dxa"/>
            <w:vAlign w:val="center"/>
          </w:tcPr>
          <w:p w14:paraId="31992D89">
            <w:pPr>
              <w:tabs>
                <w:tab w:val="left" w:pos="1080"/>
              </w:tabs>
              <w:spacing w:line="240" w:lineRule="auto"/>
              <w:jc w:val="center"/>
              <w:rPr>
                <w:rFonts w:ascii="Times New Roman"/>
                <w:sz w:val="21"/>
                <w:szCs w:val="21"/>
              </w:rPr>
            </w:pPr>
            <w:r>
              <w:rPr>
                <w:rFonts w:ascii="Times New Roman"/>
                <w:sz w:val="21"/>
                <w:szCs w:val="21"/>
              </w:rPr>
              <w:t>h</w:t>
            </w:r>
          </w:p>
        </w:tc>
        <w:tc>
          <w:tcPr>
            <w:tcW w:w="5054" w:type="dxa"/>
            <w:tcBorders>
              <w:right w:val="single" w:color="auto" w:sz="12" w:space="0"/>
            </w:tcBorders>
            <w:vAlign w:val="center"/>
          </w:tcPr>
          <w:p w14:paraId="4CA7D9F4">
            <w:pPr>
              <w:tabs>
                <w:tab w:val="left" w:pos="1080"/>
              </w:tabs>
              <w:spacing w:line="240" w:lineRule="auto"/>
              <w:jc w:val="center"/>
              <w:rPr>
                <w:rFonts w:ascii="Times New Roman"/>
                <w:sz w:val="21"/>
                <w:szCs w:val="21"/>
              </w:rPr>
            </w:pPr>
            <w:r>
              <w:rPr>
                <w:rFonts w:ascii="Times New Roman"/>
                <w:sz w:val="21"/>
                <w:szCs w:val="21"/>
              </w:rPr>
              <w:t>≥120，内装材料无明显变化</w:t>
            </w:r>
          </w:p>
        </w:tc>
      </w:tr>
      <w:tr w14:paraId="68BC8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50" w:type="dxa"/>
            <w:tcBorders>
              <w:left w:val="single" w:color="auto" w:sz="12" w:space="0"/>
            </w:tcBorders>
            <w:vAlign w:val="center"/>
          </w:tcPr>
          <w:p w14:paraId="2B1B4F75">
            <w:pPr>
              <w:tabs>
                <w:tab w:val="left" w:pos="1080"/>
              </w:tabs>
              <w:spacing w:line="240" w:lineRule="auto"/>
              <w:jc w:val="center"/>
              <w:rPr>
                <w:rFonts w:ascii="Times New Roman"/>
                <w:sz w:val="21"/>
                <w:szCs w:val="21"/>
              </w:rPr>
            </w:pPr>
            <w:r>
              <w:rPr>
                <w:rFonts w:ascii="Times New Roman"/>
                <w:sz w:val="21"/>
                <w:szCs w:val="21"/>
              </w:rPr>
              <w:t>耐冻融循环</w:t>
            </w:r>
          </w:p>
        </w:tc>
        <w:tc>
          <w:tcPr>
            <w:tcW w:w="1450" w:type="dxa"/>
            <w:vAlign w:val="center"/>
          </w:tcPr>
          <w:p w14:paraId="659956BA">
            <w:pPr>
              <w:tabs>
                <w:tab w:val="left" w:pos="1080"/>
              </w:tabs>
              <w:spacing w:line="240" w:lineRule="auto"/>
              <w:jc w:val="center"/>
              <w:rPr>
                <w:rFonts w:ascii="Times New Roman"/>
                <w:sz w:val="21"/>
                <w:szCs w:val="21"/>
              </w:rPr>
            </w:pPr>
            <w:r>
              <w:rPr>
                <w:rFonts w:ascii="Times New Roman"/>
                <w:sz w:val="21"/>
                <w:szCs w:val="21"/>
              </w:rPr>
              <w:t>次</w:t>
            </w:r>
          </w:p>
        </w:tc>
        <w:tc>
          <w:tcPr>
            <w:tcW w:w="5054" w:type="dxa"/>
            <w:tcBorders>
              <w:right w:val="single" w:color="auto" w:sz="12" w:space="0"/>
            </w:tcBorders>
            <w:vAlign w:val="center"/>
          </w:tcPr>
          <w:p w14:paraId="7AF5F0D7">
            <w:pPr>
              <w:tabs>
                <w:tab w:val="left" w:pos="1080"/>
              </w:tabs>
              <w:spacing w:line="240" w:lineRule="auto"/>
              <w:jc w:val="center"/>
              <w:rPr>
                <w:rFonts w:ascii="Times New Roman"/>
                <w:sz w:val="21"/>
                <w:szCs w:val="21"/>
              </w:rPr>
            </w:pPr>
            <w:r>
              <w:rPr>
                <w:rFonts w:ascii="Times New Roman"/>
                <w:sz w:val="21"/>
                <w:szCs w:val="21"/>
              </w:rPr>
              <w:t>≥15，内装材料无明显变化</w:t>
            </w:r>
          </w:p>
        </w:tc>
      </w:tr>
      <w:tr w14:paraId="7E7FD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50" w:type="dxa"/>
            <w:tcBorders>
              <w:left w:val="single" w:color="auto" w:sz="12" w:space="0"/>
            </w:tcBorders>
            <w:vAlign w:val="center"/>
          </w:tcPr>
          <w:p w14:paraId="73EBD847">
            <w:pPr>
              <w:tabs>
                <w:tab w:val="left" w:pos="1080"/>
              </w:tabs>
              <w:spacing w:line="240" w:lineRule="auto"/>
              <w:jc w:val="center"/>
              <w:rPr>
                <w:rFonts w:ascii="Times New Roman"/>
                <w:sz w:val="21"/>
                <w:szCs w:val="21"/>
              </w:rPr>
            </w:pPr>
            <w:r>
              <w:rPr>
                <w:rFonts w:ascii="Times New Roman"/>
                <w:sz w:val="21"/>
                <w:szCs w:val="21"/>
              </w:rPr>
              <w:t>膨胀性能</w:t>
            </w:r>
          </w:p>
        </w:tc>
        <w:tc>
          <w:tcPr>
            <w:tcW w:w="1450" w:type="dxa"/>
            <w:vAlign w:val="center"/>
          </w:tcPr>
          <w:p w14:paraId="656A54A6">
            <w:pPr>
              <w:tabs>
                <w:tab w:val="left" w:pos="1080"/>
              </w:tabs>
              <w:spacing w:line="240" w:lineRule="auto"/>
              <w:jc w:val="center"/>
              <w:rPr>
                <w:rFonts w:ascii="Times New Roman"/>
                <w:sz w:val="21"/>
                <w:szCs w:val="21"/>
              </w:rPr>
            </w:pPr>
            <w:r>
              <w:rPr>
                <w:rFonts w:ascii="Times New Roman"/>
                <w:sz w:val="21"/>
                <w:szCs w:val="21"/>
              </w:rPr>
              <w:t>%</w:t>
            </w:r>
          </w:p>
        </w:tc>
        <w:tc>
          <w:tcPr>
            <w:tcW w:w="5054" w:type="dxa"/>
            <w:tcBorders>
              <w:right w:val="single" w:color="auto" w:sz="12" w:space="0"/>
            </w:tcBorders>
            <w:vAlign w:val="center"/>
          </w:tcPr>
          <w:p w14:paraId="4E883571">
            <w:pPr>
              <w:tabs>
                <w:tab w:val="left" w:pos="1080"/>
              </w:tabs>
              <w:spacing w:line="240" w:lineRule="auto"/>
              <w:jc w:val="center"/>
              <w:rPr>
                <w:rFonts w:ascii="Times New Roman"/>
                <w:sz w:val="21"/>
                <w:szCs w:val="21"/>
              </w:rPr>
            </w:pPr>
            <w:r>
              <w:rPr>
                <w:rFonts w:ascii="Times New Roman"/>
                <w:sz w:val="21"/>
                <w:szCs w:val="21"/>
              </w:rPr>
              <w:t>≥150</w:t>
            </w:r>
          </w:p>
        </w:tc>
      </w:tr>
      <w:tr w14:paraId="6B6EA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50" w:type="dxa"/>
            <w:tcBorders>
              <w:left w:val="single" w:color="auto" w:sz="12" w:space="0"/>
            </w:tcBorders>
            <w:vAlign w:val="center"/>
          </w:tcPr>
          <w:p w14:paraId="3E472DED">
            <w:pPr>
              <w:tabs>
                <w:tab w:val="left" w:pos="1080"/>
              </w:tabs>
              <w:spacing w:line="240" w:lineRule="auto"/>
              <w:jc w:val="center"/>
              <w:rPr>
                <w:rFonts w:ascii="Times New Roman"/>
                <w:sz w:val="21"/>
                <w:szCs w:val="21"/>
              </w:rPr>
            </w:pPr>
            <w:r>
              <w:rPr>
                <w:rFonts w:ascii="Times New Roman"/>
                <w:sz w:val="21"/>
                <w:szCs w:val="21"/>
              </w:rPr>
              <w:t>抗压强度</w:t>
            </w:r>
          </w:p>
        </w:tc>
        <w:tc>
          <w:tcPr>
            <w:tcW w:w="1450" w:type="dxa"/>
            <w:vAlign w:val="center"/>
          </w:tcPr>
          <w:p w14:paraId="753D6A2B">
            <w:pPr>
              <w:tabs>
                <w:tab w:val="left" w:pos="1080"/>
              </w:tabs>
              <w:spacing w:line="240" w:lineRule="auto"/>
              <w:jc w:val="center"/>
              <w:rPr>
                <w:rFonts w:ascii="Times New Roman"/>
                <w:sz w:val="21"/>
                <w:szCs w:val="21"/>
              </w:rPr>
            </w:pPr>
            <w:r>
              <w:rPr>
                <w:rFonts w:ascii="Times New Roman"/>
                <w:sz w:val="21"/>
                <w:szCs w:val="21"/>
              </w:rPr>
              <w:t>MPa</w:t>
            </w:r>
          </w:p>
        </w:tc>
        <w:tc>
          <w:tcPr>
            <w:tcW w:w="5054" w:type="dxa"/>
            <w:tcBorders>
              <w:right w:val="single" w:color="auto" w:sz="12" w:space="0"/>
            </w:tcBorders>
            <w:vAlign w:val="center"/>
          </w:tcPr>
          <w:p w14:paraId="0274A192">
            <w:pPr>
              <w:tabs>
                <w:tab w:val="left" w:pos="1080"/>
              </w:tabs>
              <w:spacing w:line="240" w:lineRule="auto"/>
              <w:jc w:val="center"/>
              <w:rPr>
                <w:rFonts w:ascii="Times New Roman"/>
                <w:sz w:val="21"/>
                <w:szCs w:val="21"/>
              </w:rPr>
            </w:pPr>
            <w:r>
              <w:rPr>
                <w:rFonts w:ascii="Times New Roman"/>
                <w:sz w:val="21"/>
                <w:szCs w:val="21"/>
              </w:rPr>
              <w:t>R≥0.05</w:t>
            </w:r>
          </w:p>
        </w:tc>
      </w:tr>
      <w:tr w14:paraId="1B698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50" w:type="dxa"/>
            <w:tcBorders>
              <w:left w:val="single" w:color="auto" w:sz="12" w:space="0"/>
            </w:tcBorders>
            <w:vAlign w:val="center"/>
          </w:tcPr>
          <w:p w14:paraId="1E98FEB6">
            <w:pPr>
              <w:tabs>
                <w:tab w:val="left" w:pos="1080"/>
              </w:tabs>
              <w:spacing w:line="240" w:lineRule="auto"/>
              <w:jc w:val="center"/>
              <w:rPr>
                <w:rFonts w:ascii="Times New Roman"/>
                <w:sz w:val="21"/>
                <w:szCs w:val="21"/>
              </w:rPr>
            </w:pPr>
            <w:r>
              <w:rPr>
                <w:rFonts w:ascii="Times New Roman"/>
                <w:sz w:val="21"/>
                <w:szCs w:val="21"/>
              </w:rPr>
              <w:t>抗跌落性</w:t>
            </w:r>
          </w:p>
        </w:tc>
        <w:tc>
          <w:tcPr>
            <w:tcW w:w="1450" w:type="dxa"/>
            <w:vAlign w:val="center"/>
          </w:tcPr>
          <w:p w14:paraId="661B3D15">
            <w:pPr>
              <w:tabs>
                <w:tab w:val="left" w:pos="1080"/>
              </w:tabs>
              <w:spacing w:line="240" w:lineRule="auto"/>
              <w:jc w:val="center"/>
              <w:rPr>
                <w:rFonts w:ascii="Times New Roman"/>
                <w:sz w:val="21"/>
                <w:szCs w:val="21"/>
              </w:rPr>
            </w:pPr>
          </w:p>
        </w:tc>
        <w:tc>
          <w:tcPr>
            <w:tcW w:w="5054" w:type="dxa"/>
            <w:tcBorders>
              <w:right w:val="single" w:color="auto" w:sz="12" w:space="0"/>
            </w:tcBorders>
            <w:vAlign w:val="center"/>
          </w:tcPr>
          <w:p w14:paraId="168BE5CB">
            <w:pPr>
              <w:tabs>
                <w:tab w:val="left" w:pos="1080"/>
              </w:tabs>
              <w:spacing w:line="240" w:lineRule="auto"/>
              <w:jc w:val="center"/>
              <w:rPr>
                <w:rFonts w:ascii="Times New Roman"/>
                <w:sz w:val="21"/>
                <w:szCs w:val="21"/>
              </w:rPr>
            </w:pPr>
            <w:r>
              <w:rPr>
                <w:rFonts w:ascii="Times New Roman"/>
                <w:sz w:val="21"/>
                <w:szCs w:val="21"/>
              </w:rPr>
              <w:t>5m高处自由落在混凝土水平面上，包体无破损</w:t>
            </w:r>
          </w:p>
        </w:tc>
      </w:tr>
      <w:tr w14:paraId="3F383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50" w:type="dxa"/>
            <w:tcBorders>
              <w:left w:val="single" w:color="auto" w:sz="12" w:space="0"/>
              <w:bottom w:val="single" w:color="auto" w:sz="12" w:space="0"/>
            </w:tcBorders>
            <w:vAlign w:val="center"/>
          </w:tcPr>
          <w:p w14:paraId="20CC4610">
            <w:pPr>
              <w:tabs>
                <w:tab w:val="left" w:pos="1080"/>
              </w:tabs>
              <w:spacing w:line="240" w:lineRule="auto"/>
              <w:jc w:val="center"/>
              <w:rPr>
                <w:rFonts w:ascii="Times New Roman"/>
                <w:sz w:val="21"/>
                <w:szCs w:val="21"/>
              </w:rPr>
            </w:pPr>
            <w:r>
              <w:rPr>
                <w:rFonts w:ascii="Times New Roman"/>
                <w:sz w:val="21"/>
                <w:szCs w:val="21"/>
              </w:rPr>
              <w:t>耐火性能</w:t>
            </w:r>
          </w:p>
        </w:tc>
        <w:tc>
          <w:tcPr>
            <w:tcW w:w="1450" w:type="dxa"/>
            <w:tcBorders>
              <w:bottom w:val="single" w:color="auto" w:sz="12" w:space="0"/>
            </w:tcBorders>
            <w:vAlign w:val="center"/>
          </w:tcPr>
          <w:p w14:paraId="5AC8656E">
            <w:pPr>
              <w:tabs>
                <w:tab w:val="left" w:pos="1080"/>
              </w:tabs>
              <w:spacing w:line="240" w:lineRule="auto"/>
              <w:jc w:val="center"/>
              <w:rPr>
                <w:rFonts w:ascii="Times New Roman"/>
                <w:sz w:val="21"/>
                <w:szCs w:val="21"/>
              </w:rPr>
            </w:pPr>
            <w:r>
              <w:rPr>
                <w:rFonts w:ascii="Times New Roman"/>
                <w:sz w:val="21"/>
                <w:szCs w:val="21"/>
              </w:rPr>
              <w:t>min</w:t>
            </w:r>
          </w:p>
        </w:tc>
        <w:tc>
          <w:tcPr>
            <w:tcW w:w="5054" w:type="dxa"/>
            <w:tcBorders>
              <w:bottom w:val="single" w:color="auto" w:sz="12" w:space="0"/>
              <w:right w:val="single" w:color="auto" w:sz="12" w:space="0"/>
            </w:tcBorders>
            <w:vAlign w:val="center"/>
          </w:tcPr>
          <w:p w14:paraId="0C56C3B1">
            <w:pPr>
              <w:tabs>
                <w:tab w:val="left" w:pos="1080"/>
              </w:tabs>
              <w:spacing w:line="240" w:lineRule="auto"/>
              <w:jc w:val="center"/>
              <w:rPr>
                <w:rFonts w:ascii="Times New Roman"/>
                <w:sz w:val="21"/>
                <w:szCs w:val="21"/>
              </w:rPr>
            </w:pPr>
            <w:r>
              <w:rPr>
                <w:rFonts w:ascii="Times New Roman"/>
                <w:sz w:val="21"/>
                <w:szCs w:val="21"/>
              </w:rPr>
              <w:t>≥180</w:t>
            </w:r>
          </w:p>
        </w:tc>
      </w:tr>
    </w:tbl>
    <w:p w14:paraId="1394EC31">
      <w:pPr>
        <w:numPr>
          <w:ilvl w:val="0"/>
          <w:numId w:val="27"/>
        </w:numPr>
        <w:adjustRightInd w:val="0"/>
        <w:snapToGrid w:val="0"/>
        <w:jc w:val="left"/>
        <w:rPr>
          <w:rFonts w:ascii="Times New Roman"/>
          <w:szCs w:val="21"/>
        </w:rPr>
      </w:pPr>
      <w:r>
        <w:rPr>
          <w:rFonts w:ascii="Times New Roman"/>
          <w:szCs w:val="21"/>
        </w:rPr>
        <w:t>柔性有机防火堵料</w:t>
      </w:r>
    </w:p>
    <w:p w14:paraId="2D2E4C1C">
      <w:pPr>
        <w:tabs>
          <w:tab w:val="left" w:pos="1080"/>
        </w:tabs>
        <w:ind w:firstLine="360" w:firstLineChars="150"/>
        <w:jc w:val="left"/>
        <w:rPr>
          <w:rFonts w:ascii="Times New Roman"/>
        </w:rPr>
      </w:pPr>
      <w:r>
        <w:rPr>
          <w:rFonts w:ascii="Times New Roman"/>
        </w:rPr>
        <w:t>有机防火堵料应以有机材料为主要成分的固状柔性防火材料制成，具有长期柔软性，遇火碳化，形成坚固的阻火隔热层，具有阻火、阻烟、防尘、防水、防小动物等功能。用于</w:t>
      </w:r>
      <w:r>
        <w:rPr>
          <w:rFonts w:ascii="Times New Roman"/>
          <w:szCs w:val="21"/>
        </w:rPr>
        <w:t>电缆桥架托盘内用防火阻断</w:t>
      </w:r>
      <w:r>
        <w:rPr>
          <w:rFonts w:hint="eastAsia" w:ascii="Times New Roman"/>
          <w:szCs w:val="21"/>
        </w:rPr>
        <w:t>、屏底封堵</w:t>
      </w:r>
      <w:r>
        <w:rPr>
          <w:rFonts w:ascii="Times New Roman"/>
        </w:rPr>
        <w:t>。</w:t>
      </w:r>
    </w:p>
    <w:p w14:paraId="0B265580">
      <w:pPr>
        <w:tabs>
          <w:tab w:val="left" w:pos="1080"/>
        </w:tabs>
        <w:ind w:firstLine="360" w:firstLineChars="150"/>
        <w:jc w:val="left"/>
        <w:rPr>
          <w:rFonts w:ascii="Times New Roman"/>
        </w:rPr>
      </w:pPr>
      <w:r>
        <w:rPr>
          <w:rFonts w:ascii="Times New Roman"/>
        </w:rPr>
        <w:t>主要技术性能要求如下：</w:t>
      </w:r>
    </w:p>
    <w:tbl>
      <w:tblPr>
        <w:tblStyle w:val="16"/>
        <w:tblW w:w="0" w:type="auto"/>
        <w:tblInd w:w="5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6"/>
        <w:gridCol w:w="1408"/>
        <w:gridCol w:w="4140"/>
      </w:tblGrid>
      <w:tr w14:paraId="14DC2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06" w:type="dxa"/>
            <w:tcBorders>
              <w:top w:val="single" w:color="auto" w:sz="12" w:space="0"/>
              <w:left w:val="single" w:color="auto" w:sz="12" w:space="0"/>
            </w:tcBorders>
            <w:vAlign w:val="center"/>
          </w:tcPr>
          <w:p w14:paraId="6F9D8C88">
            <w:pPr>
              <w:tabs>
                <w:tab w:val="left" w:pos="1080"/>
              </w:tabs>
              <w:spacing w:line="240" w:lineRule="auto"/>
              <w:jc w:val="center"/>
              <w:rPr>
                <w:rFonts w:ascii="Times New Roman"/>
                <w:sz w:val="21"/>
                <w:szCs w:val="21"/>
              </w:rPr>
            </w:pPr>
            <w:r>
              <w:rPr>
                <w:rFonts w:ascii="Times New Roman"/>
                <w:sz w:val="21"/>
                <w:szCs w:val="21"/>
              </w:rPr>
              <w:t>项目</w:t>
            </w:r>
          </w:p>
        </w:tc>
        <w:tc>
          <w:tcPr>
            <w:tcW w:w="1408" w:type="dxa"/>
            <w:tcBorders>
              <w:top w:val="single" w:color="auto" w:sz="12" w:space="0"/>
            </w:tcBorders>
            <w:vAlign w:val="center"/>
          </w:tcPr>
          <w:p w14:paraId="3080E638">
            <w:pPr>
              <w:tabs>
                <w:tab w:val="left" w:pos="1080"/>
              </w:tabs>
              <w:spacing w:line="240" w:lineRule="auto"/>
              <w:jc w:val="center"/>
              <w:rPr>
                <w:rFonts w:ascii="Times New Roman"/>
                <w:sz w:val="21"/>
                <w:szCs w:val="21"/>
              </w:rPr>
            </w:pPr>
            <w:r>
              <w:rPr>
                <w:rFonts w:ascii="Times New Roman"/>
                <w:sz w:val="21"/>
                <w:szCs w:val="21"/>
              </w:rPr>
              <w:t>单位</w:t>
            </w:r>
          </w:p>
        </w:tc>
        <w:tc>
          <w:tcPr>
            <w:tcW w:w="4140" w:type="dxa"/>
            <w:tcBorders>
              <w:top w:val="single" w:color="auto" w:sz="12" w:space="0"/>
              <w:right w:val="single" w:color="auto" w:sz="12" w:space="0"/>
            </w:tcBorders>
            <w:vAlign w:val="center"/>
          </w:tcPr>
          <w:p w14:paraId="06BD844F">
            <w:pPr>
              <w:tabs>
                <w:tab w:val="left" w:pos="1080"/>
              </w:tabs>
              <w:spacing w:line="240" w:lineRule="auto"/>
              <w:jc w:val="center"/>
              <w:rPr>
                <w:rFonts w:ascii="Times New Roman"/>
                <w:sz w:val="21"/>
                <w:szCs w:val="21"/>
              </w:rPr>
            </w:pPr>
            <w:r>
              <w:rPr>
                <w:rFonts w:ascii="Times New Roman"/>
                <w:sz w:val="21"/>
                <w:szCs w:val="21"/>
              </w:rPr>
              <w:t>技术性能指标</w:t>
            </w:r>
          </w:p>
        </w:tc>
      </w:tr>
      <w:tr w14:paraId="36521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06" w:type="dxa"/>
            <w:tcBorders>
              <w:left w:val="single" w:color="auto" w:sz="12" w:space="0"/>
            </w:tcBorders>
            <w:vAlign w:val="center"/>
          </w:tcPr>
          <w:p w14:paraId="6C304535">
            <w:pPr>
              <w:tabs>
                <w:tab w:val="left" w:pos="1080"/>
              </w:tabs>
              <w:spacing w:line="240" w:lineRule="auto"/>
              <w:jc w:val="center"/>
              <w:rPr>
                <w:rFonts w:ascii="Times New Roman"/>
                <w:sz w:val="21"/>
                <w:szCs w:val="21"/>
              </w:rPr>
            </w:pPr>
            <w:r>
              <w:rPr>
                <w:rFonts w:ascii="Times New Roman"/>
                <w:sz w:val="21"/>
                <w:szCs w:val="21"/>
              </w:rPr>
              <w:t>密度</w:t>
            </w:r>
          </w:p>
        </w:tc>
        <w:tc>
          <w:tcPr>
            <w:tcW w:w="1408" w:type="dxa"/>
            <w:vAlign w:val="center"/>
          </w:tcPr>
          <w:p w14:paraId="19D73929">
            <w:pPr>
              <w:tabs>
                <w:tab w:val="left" w:pos="1080"/>
              </w:tabs>
              <w:spacing w:line="240" w:lineRule="auto"/>
              <w:jc w:val="center"/>
              <w:rPr>
                <w:rFonts w:ascii="Times New Roman"/>
                <w:sz w:val="21"/>
                <w:szCs w:val="21"/>
              </w:rPr>
            </w:pPr>
            <w:r>
              <w:rPr>
                <w:rFonts w:ascii="Times New Roman"/>
                <w:sz w:val="21"/>
                <w:szCs w:val="21"/>
              </w:rPr>
              <w:t>kg/m</w:t>
            </w:r>
            <w:r>
              <w:rPr>
                <w:rFonts w:ascii="Times New Roman"/>
                <w:sz w:val="21"/>
                <w:szCs w:val="21"/>
                <w:vertAlign w:val="superscript"/>
              </w:rPr>
              <w:t>3</w:t>
            </w:r>
          </w:p>
        </w:tc>
        <w:tc>
          <w:tcPr>
            <w:tcW w:w="4140" w:type="dxa"/>
            <w:tcBorders>
              <w:right w:val="single" w:color="auto" w:sz="12" w:space="0"/>
            </w:tcBorders>
            <w:vAlign w:val="center"/>
          </w:tcPr>
          <w:p w14:paraId="5D4B3954">
            <w:pPr>
              <w:tabs>
                <w:tab w:val="left" w:pos="1080"/>
              </w:tabs>
              <w:spacing w:line="240" w:lineRule="auto"/>
              <w:jc w:val="center"/>
              <w:rPr>
                <w:rFonts w:ascii="Times New Roman"/>
                <w:sz w:val="21"/>
                <w:szCs w:val="21"/>
              </w:rPr>
            </w:pPr>
            <w:r>
              <w:rPr>
                <w:rFonts w:ascii="Times New Roman"/>
                <w:sz w:val="21"/>
                <w:szCs w:val="21"/>
              </w:rPr>
              <w:t>≤2.0×10</w:t>
            </w:r>
            <w:r>
              <w:rPr>
                <w:rFonts w:ascii="Times New Roman"/>
                <w:sz w:val="21"/>
                <w:szCs w:val="21"/>
                <w:vertAlign w:val="superscript"/>
              </w:rPr>
              <w:t>3</w:t>
            </w:r>
          </w:p>
        </w:tc>
      </w:tr>
      <w:tr w14:paraId="6B7C8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06" w:type="dxa"/>
            <w:tcBorders>
              <w:left w:val="single" w:color="auto" w:sz="12" w:space="0"/>
            </w:tcBorders>
            <w:vAlign w:val="center"/>
          </w:tcPr>
          <w:p w14:paraId="2CDEA469">
            <w:pPr>
              <w:tabs>
                <w:tab w:val="left" w:pos="1080"/>
              </w:tabs>
              <w:spacing w:line="240" w:lineRule="auto"/>
              <w:jc w:val="center"/>
              <w:rPr>
                <w:rFonts w:ascii="Times New Roman"/>
                <w:sz w:val="21"/>
                <w:szCs w:val="21"/>
              </w:rPr>
            </w:pPr>
            <w:r>
              <w:rPr>
                <w:rFonts w:ascii="Times New Roman"/>
                <w:sz w:val="21"/>
                <w:szCs w:val="21"/>
              </w:rPr>
              <w:t>耐水性</w:t>
            </w:r>
          </w:p>
        </w:tc>
        <w:tc>
          <w:tcPr>
            <w:tcW w:w="1408" w:type="dxa"/>
            <w:vAlign w:val="center"/>
          </w:tcPr>
          <w:p w14:paraId="6E3E602D">
            <w:pPr>
              <w:tabs>
                <w:tab w:val="left" w:pos="1080"/>
              </w:tabs>
              <w:spacing w:line="240" w:lineRule="auto"/>
              <w:jc w:val="center"/>
              <w:rPr>
                <w:rFonts w:ascii="Times New Roman"/>
                <w:sz w:val="21"/>
                <w:szCs w:val="21"/>
              </w:rPr>
            </w:pPr>
            <w:r>
              <w:rPr>
                <w:rFonts w:ascii="Times New Roman"/>
                <w:sz w:val="21"/>
                <w:szCs w:val="21"/>
              </w:rPr>
              <w:t>d</w:t>
            </w:r>
          </w:p>
        </w:tc>
        <w:tc>
          <w:tcPr>
            <w:tcW w:w="4140" w:type="dxa"/>
            <w:tcBorders>
              <w:right w:val="single" w:color="auto" w:sz="12" w:space="0"/>
            </w:tcBorders>
            <w:vAlign w:val="center"/>
          </w:tcPr>
          <w:p w14:paraId="6E01F06D">
            <w:pPr>
              <w:tabs>
                <w:tab w:val="left" w:pos="1080"/>
              </w:tabs>
              <w:spacing w:line="240" w:lineRule="auto"/>
              <w:jc w:val="center"/>
              <w:rPr>
                <w:rFonts w:ascii="Times New Roman"/>
                <w:sz w:val="21"/>
                <w:szCs w:val="21"/>
              </w:rPr>
            </w:pPr>
            <w:r>
              <w:rPr>
                <w:rFonts w:ascii="Times New Roman"/>
                <w:sz w:val="21"/>
                <w:szCs w:val="21"/>
              </w:rPr>
              <w:t>≥3，无溶胀</w:t>
            </w:r>
          </w:p>
        </w:tc>
      </w:tr>
      <w:tr w14:paraId="7FB1E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06" w:type="dxa"/>
            <w:tcBorders>
              <w:left w:val="single" w:color="auto" w:sz="12" w:space="0"/>
            </w:tcBorders>
            <w:vAlign w:val="center"/>
          </w:tcPr>
          <w:p w14:paraId="20BFF51B">
            <w:pPr>
              <w:tabs>
                <w:tab w:val="left" w:pos="1080"/>
              </w:tabs>
              <w:spacing w:line="240" w:lineRule="auto"/>
              <w:jc w:val="center"/>
              <w:rPr>
                <w:rFonts w:ascii="Times New Roman"/>
                <w:sz w:val="21"/>
                <w:szCs w:val="21"/>
              </w:rPr>
            </w:pPr>
            <w:r>
              <w:rPr>
                <w:rFonts w:ascii="Times New Roman"/>
                <w:sz w:val="21"/>
                <w:szCs w:val="21"/>
              </w:rPr>
              <w:t>耐油性</w:t>
            </w:r>
          </w:p>
        </w:tc>
        <w:tc>
          <w:tcPr>
            <w:tcW w:w="1408" w:type="dxa"/>
            <w:vAlign w:val="center"/>
          </w:tcPr>
          <w:p w14:paraId="64023311">
            <w:pPr>
              <w:tabs>
                <w:tab w:val="left" w:pos="1080"/>
              </w:tabs>
              <w:spacing w:line="240" w:lineRule="auto"/>
              <w:jc w:val="center"/>
              <w:rPr>
                <w:rFonts w:ascii="Times New Roman"/>
                <w:sz w:val="21"/>
                <w:szCs w:val="21"/>
              </w:rPr>
            </w:pPr>
            <w:r>
              <w:rPr>
                <w:rFonts w:ascii="Times New Roman"/>
                <w:sz w:val="21"/>
                <w:szCs w:val="21"/>
              </w:rPr>
              <w:t>d</w:t>
            </w:r>
          </w:p>
        </w:tc>
        <w:tc>
          <w:tcPr>
            <w:tcW w:w="4140" w:type="dxa"/>
            <w:tcBorders>
              <w:right w:val="single" w:color="auto" w:sz="12" w:space="0"/>
            </w:tcBorders>
            <w:vAlign w:val="center"/>
          </w:tcPr>
          <w:p w14:paraId="07F99C9E">
            <w:pPr>
              <w:tabs>
                <w:tab w:val="left" w:pos="1080"/>
              </w:tabs>
              <w:spacing w:line="240" w:lineRule="auto"/>
              <w:jc w:val="center"/>
              <w:rPr>
                <w:rFonts w:ascii="Times New Roman"/>
                <w:sz w:val="21"/>
                <w:szCs w:val="21"/>
              </w:rPr>
            </w:pPr>
            <w:r>
              <w:rPr>
                <w:rFonts w:ascii="Times New Roman"/>
                <w:sz w:val="21"/>
                <w:szCs w:val="21"/>
              </w:rPr>
              <w:t>≥3，无溶胀</w:t>
            </w:r>
          </w:p>
        </w:tc>
      </w:tr>
      <w:tr w14:paraId="5855B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06" w:type="dxa"/>
            <w:tcBorders>
              <w:left w:val="single" w:color="auto" w:sz="12" w:space="0"/>
            </w:tcBorders>
            <w:vAlign w:val="center"/>
          </w:tcPr>
          <w:p w14:paraId="79C433E8">
            <w:pPr>
              <w:tabs>
                <w:tab w:val="left" w:pos="1080"/>
              </w:tabs>
              <w:spacing w:line="240" w:lineRule="auto"/>
              <w:jc w:val="center"/>
              <w:rPr>
                <w:rFonts w:ascii="Times New Roman"/>
                <w:sz w:val="21"/>
                <w:szCs w:val="21"/>
              </w:rPr>
            </w:pPr>
            <w:r>
              <w:rPr>
                <w:rFonts w:ascii="Times New Roman"/>
                <w:sz w:val="21"/>
                <w:szCs w:val="21"/>
              </w:rPr>
              <w:t>腐蚀性</w:t>
            </w:r>
          </w:p>
        </w:tc>
        <w:tc>
          <w:tcPr>
            <w:tcW w:w="1408" w:type="dxa"/>
            <w:vAlign w:val="center"/>
          </w:tcPr>
          <w:p w14:paraId="17536F78">
            <w:pPr>
              <w:tabs>
                <w:tab w:val="left" w:pos="1080"/>
              </w:tabs>
              <w:spacing w:line="240" w:lineRule="auto"/>
              <w:jc w:val="center"/>
              <w:rPr>
                <w:rFonts w:ascii="Times New Roman"/>
                <w:sz w:val="21"/>
                <w:szCs w:val="21"/>
              </w:rPr>
            </w:pPr>
            <w:r>
              <w:rPr>
                <w:rFonts w:ascii="Times New Roman"/>
                <w:sz w:val="21"/>
                <w:szCs w:val="21"/>
              </w:rPr>
              <w:t>d</w:t>
            </w:r>
          </w:p>
        </w:tc>
        <w:tc>
          <w:tcPr>
            <w:tcW w:w="4140" w:type="dxa"/>
            <w:tcBorders>
              <w:right w:val="single" w:color="auto" w:sz="12" w:space="0"/>
            </w:tcBorders>
            <w:vAlign w:val="center"/>
          </w:tcPr>
          <w:p w14:paraId="0AD0FECE">
            <w:pPr>
              <w:tabs>
                <w:tab w:val="left" w:pos="1080"/>
              </w:tabs>
              <w:spacing w:line="240" w:lineRule="auto"/>
              <w:jc w:val="center"/>
              <w:rPr>
                <w:rFonts w:ascii="Times New Roman"/>
                <w:sz w:val="21"/>
                <w:szCs w:val="21"/>
              </w:rPr>
            </w:pPr>
            <w:r>
              <w:rPr>
                <w:rFonts w:ascii="Times New Roman"/>
                <w:sz w:val="21"/>
                <w:szCs w:val="21"/>
              </w:rPr>
              <w:t>≥7，无锈蚀、腐蚀现象</w:t>
            </w:r>
          </w:p>
        </w:tc>
      </w:tr>
      <w:tr w14:paraId="60327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06" w:type="dxa"/>
            <w:tcBorders>
              <w:left w:val="single" w:color="auto" w:sz="12" w:space="0"/>
            </w:tcBorders>
            <w:vAlign w:val="center"/>
          </w:tcPr>
          <w:p w14:paraId="6522C140">
            <w:pPr>
              <w:tabs>
                <w:tab w:val="left" w:pos="1080"/>
              </w:tabs>
              <w:spacing w:line="240" w:lineRule="auto"/>
              <w:jc w:val="center"/>
              <w:rPr>
                <w:rFonts w:ascii="Times New Roman"/>
                <w:sz w:val="21"/>
                <w:szCs w:val="21"/>
              </w:rPr>
            </w:pPr>
            <w:r>
              <w:rPr>
                <w:rFonts w:ascii="Times New Roman"/>
                <w:sz w:val="21"/>
                <w:szCs w:val="21"/>
              </w:rPr>
              <w:t>耐水性</w:t>
            </w:r>
          </w:p>
        </w:tc>
        <w:tc>
          <w:tcPr>
            <w:tcW w:w="1408" w:type="dxa"/>
            <w:vAlign w:val="center"/>
          </w:tcPr>
          <w:p w14:paraId="616FB285">
            <w:pPr>
              <w:tabs>
                <w:tab w:val="left" w:pos="1080"/>
              </w:tabs>
              <w:spacing w:line="240" w:lineRule="auto"/>
              <w:jc w:val="center"/>
              <w:rPr>
                <w:rFonts w:ascii="Times New Roman"/>
                <w:sz w:val="21"/>
                <w:szCs w:val="21"/>
              </w:rPr>
            </w:pPr>
            <w:r>
              <w:rPr>
                <w:rFonts w:ascii="Times New Roman"/>
                <w:sz w:val="21"/>
                <w:szCs w:val="21"/>
              </w:rPr>
              <w:t>d</w:t>
            </w:r>
          </w:p>
        </w:tc>
        <w:tc>
          <w:tcPr>
            <w:tcW w:w="4140" w:type="dxa"/>
            <w:tcBorders>
              <w:right w:val="single" w:color="auto" w:sz="12" w:space="0"/>
            </w:tcBorders>
            <w:vAlign w:val="center"/>
          </w:tcPr>
          <w:p w14:paraId="30CE9BEE">
            <w:pPr>
              <w:tabs>
                <w:tab w:val="left" w:pos="1080"/>
              </w:tabs>
              <w:spacing w:line="240" w:lineRule="auto"/>
              <w:jc w:val="center"/>
              <w:rPr>
                <w:rFonts w:ascii="Times New Roman"/>
                <w:sz w:val="21"/>
                <w:szCs w:val="21"/>
              </w:rPr>
            </w:pPr>
            <w:r>
              <w:rPr>
                <w:rFonts w:ascii="Times New Roman"/>
                <w:sz w:val="21"/>
                <w:szCs w:val="21"/>
              </w:rPr>
              <w:t>≥3，不溶胀，不开裂</w:t>
            </w:r>
          </w:p>
        </w:tc>
      </w:tr>
      <w:tr w14:paraId="7DAF8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06" w:type="dxa"/>
            <w:tcBorders>
              <w:left w:val="single" w:color="auto" w:sz="12" w:space="0"/>
            </w:tcBorders>
            <w:vAlign w:val="center"/>
          </w:tcPr>
          <w:p w14:paraId="1FE66B51">
            <w:pPr>
              <w:tabs>
                <w:tab w:val="left" w:pos="1080"/>
              </w:tabs>
              <w:spacing w:line="240" w:lineRule="auto"/>
              <w:jc w:val="center"/>
              <w:rPr>
                <w:rFonts w:ascii="Times New Roman"/>
                <w:sz w:val="21"/>
                <w:szCs w:val="21"/>
              </w:rPr>
            </w:pPr>
            <w:r>
              <w:rPr>
                <w:rFonts w:ascii="Times New Roman"/>
                <w:sz w:val="21"/>
                <w:szCs w:val="21"/>
              </w:rPr>
              <w:t>耐油性</w:t>
            </w:r>
          </w:p>
        </w:tc>
        <w:tc>
          <w:tcPr>
            <w:tcW w:w="1408" w:type="dxa"/>
            <w:vAlign w:val="center"/>
          </w:tcPr>
          <w:p w14:paraId="49E63249">
            <w:pPr>
              <w:tabs>
                <w:tab w:val="left" w:pos="1080"/>
              </w:tabs>
              <w:spacing w:line="240" w:lineRule="auto"/>
              <w:jc w:val="center"/>
              <w:rPr>
                <w:rFonts w:ascii="Times New Roman"/>
                <w:sz w:val="21"/>
                <w:szCs w:val="21"/>
              </w:rPr>
            </w:pPr>
            <w:r>
              <w:rPr>
                <w:rFonts w:ascii="Times New Roman"/>
                <w:sz w:val="21"/>
                <w:szCs w:val="21"/>
              </w:rPr>
              <w:t>d</w:t>
            </w:r>
          </w:p>
        </w:tc>
        <w:tc>
          <w:tcPr>
            <w:tcW w:w="4140" w:type="dxa"/>
            <w:tcBorders>
              <w:right w:val="single" w:color="auto" w:sz="12" w:space="0"/>
            </w:tcBorders>
            <w:vAlign w:val="center"/>
          </w:tcPr>
          <w:p w14:paraId="5A39DDE5">
            <w:pPr>
              <w:tabs>
                <w:tab w:val="left" w:pos="1080"/>
              </w:tabs>
              <w:spacing w:line="240" w:lineRule="auto"/>
              <w:jc w:val="center"/>
              <w:rPr>
                <w:rFonts w:ascii="Times New Roman"/>
                <w:sz w:val="21"/>
                <w:szCs w:val="21"/>
              </w:rPr>
            </w:pPr>
            <w:r>
              <w:rPr>
                <w:rFonts w:ascii="Times New Roman"/>
                <w:sz w:val="21"/>
                <w:szCs w:val="21"/>
              </w:rPr>
              <w:t>≥3，不溶胀，不开裂</w:t>
            </w:r>
          </w:p>
        </w:tc>
      </w:tr>
      <w:tr w14:paraId="7564B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06" w:type="dxa"/>
            <w:tcBorders>
              <w:left w:val="single" w:color="auto" w:sz="12" w:space="0"/>
            </w:tcBorders>
            <w:vAlign w:val="center"/>
          </w:tcPr>
          <w:p w14:paraId="7286A795">
            <w:pPr>
              <w:tabs>
                <w:tab w:val="left" w:pos="1080"/>
              </w:tabs>
              <w:spacing w:line="240" w:lineRule="auto"/>
              <w:jc w:val="center"/>
              <w:rPr>
                <w:rFonts w:ascii="Times New Roman"/>
                <w:sz w:val="21"/>
                <w:szCs w:val="21"/>
              </w:rPr>
            </w:pPr>
            <w:r>
              <w:rPr>
                <w:rFonts w:ascii="Times New Roman"/>
                <w:sz w:val="21"/>
                <w:szCs w:val="21"/>
              </w:rPr>
              <w:t>耐湿热性</w:t>
            </w:r>
          </w:p>
        </w:tc>
        <w:tc>
          <w:tcPr>
            <w:tcW w:w="1408" w:type="dxa"/>
            <w:vAlign w:val="center"/>
          </w:tcPr>
          <w:p w14:paraId="77674E88">
            <w:pPr>
              <w:tabs>
                <w:tab w:val="left" w:pos="1080"/>
              </w:tabs>
              <w:spacing w:line="240" w:lineRule="auto"/>
              <w:jc w:val="center"/>
              <w:rPr>
                <w:rFonts w:ascii="Times New Roman"/>
                <w:sz w:val="21"/>
                <w:szCs w:val="21"/>
              </w:rPr>
            </w:pPr>
            <w:r>
              <w:rPr>
                <w:rFonts w:ascii="Times New Roman"/>
                <w:sz w:val="21"/>
                <w:szCs w:val="21"/>
              </w:rPr>
              <w:t>h</w:t>
            </w:r>
          </w:p>
        </w:tc>
        <w:tc>
          <w:tcPr>
            <w:tcW w:w="4140" w:type="dxa"/>
            <w:tcBorders>
              <w:right w:val="single" w:color="auto" w:sz="12" w:space="0"/>
            </w:tcBorders>
            <w:vAlign w:val="center"/>
          </w:tcPr>
          <w:p w14:paraId="478EB238">
            <w:pPr>
              <w:tabs>
                <w:tab w:val="left" w:pos="1080"/>
              </w:tabs>
              <w:spacing w:line="240" w:lineRule="auto"/>
              <w:jc w:val="center"/>
              <w:rPr>
                <w:rFonts w:ascii="Times New Roman"/>
                <w:sz w:val="21"/>
                <w:szCs w:val="21"/>
              </w:rPr>
            </w:pPr>
            <w:r>
              <w:rPr>
                <w:rFonts w:ascii="Times New Roman"/>
                <w:sz w:val="21"/>
                <w:szCs w:val="21"/>
              </w:rPr>
              <w:t>≥120，不开裂、不粉化</w:t>
            </w:r>
          </w:p>
        </w:tc>
      </w:tr>
      <w:tr w14:paraId="629C4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06" w:type="dxa"/>
            <w:tcBorders>
              <w:left w:val="single" w:color="auto" w:sz="12" w:space="0"/>
            </w:tcBorders>
            <w:vAlign w:val="center"/>
          </w:tcPr>
          <w:p w14:paraId="029A7514">
            <w:pPr>
              <w:tabs>
                <w:tab w:val="left" w:pos="1080"/>
              </w:tabs>
              <w:spacing w:line="240" w:lineRule="auto"/>
              <w:jc w:val="center"/>
              <w:rPr>
                <w:rFonts w:ascii="Times New Roman"/>
                <w:sz w:val="21"/>
                <w:szCs w:val="21"/>
              </w:rPr>
            </w:pPr>
            <w:r>
              <w:rPr>
                <w:rFonts w:ascii="Times New Roman"/>
                <w:sz w:val="21"/>
                <w:szCs w:val="21"/>
              </w:rPr>
              <w:t>耐冻融循环</w:t>
            </w:r>
          </w:p>
        </w:tc>
        <w:tc>
          <w:tcPr>
            <w:tcW w:w="1408" w:type="dxa"/>
            <w:vAlign w:val="center"/>
          </w:tcPr>
          <w:p w14:paraId="5852669E">
            <w:pPr>
              <w:tabs>
                <w:tab w:val="left" w:pos="1080"/>
              </w:tabs>
              <w:spacing w:line="240" w:lineRule="auto"/>
              <w:jc w:val="center"/>
              <w:rPr>
                <w:rFonts w:ascii="Times New Roman"/>
                <w:sz w:val="21"/>
                <w:szCs w:val="21"/>
              </w:rPr>
            </w:pPr>
            <w:r>
              <w:rPr>
                <w:rFonts w:ascii="Times New Roman"/>
                <w:sz w:val="21"/>
                <w:szCs w:val="21"/>
              </w:rPr>
              <w:t>次</w:t>
            </w:r>
          </w:p>
        </w:tc>
        <w:tc>
          <w:tcPr>
            <w:tcW w:w="4140" w:type="dxa"/>
            <w:tcBorders>
              <w:right w:val="single" w:color="auto" w:sz="12" w:space="0"/>
            </w:tcBorders>
            <w:vAlign w:val="center"/>
          </w:tcPr>
          <w:p w14:paraId="45DC8C14">
            <w:pPr>
              <w:tabs>
                <w:tab w:val="left" w:pos="1080"/>
              </w:tabs>
              <w:spacing w:line="240" w:lineRule="auto"/>
              <w:jc w:val="center"/>
              <w:rPr>
                <w:rFonts w:ascii="Times New Roman"/>
                <w:sz w:val="21"/>
                <w:szCs w:val="21"/>
              </w:rPr>
            </w:pPr>
            <w:r>
              <w:rPr>
                <w:rFonts w:ascii="Times New Roman"/>
                <w:sz w:val="21"/>
                <w:szCs w:val="21"/>
              </w:rPr>
              <w:t>≥15，不开裂、不粉化</w:t>
            </w:r>
          </w:p>
        </w:tc>
      </w:tr>
      <w:tr w14:paraId="73548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06" w:type="dxa"/>
            <w:tcBorders>
              <w:left w:val="single" w:color="auto" w:sz="12" w:space="0"/>
            </w:tcBorders>
            <w:vAlign w:val="center"/>
          </w:tcPr>
          <w:p w14:paraId="45913C7D">
            <w:pPr>
              <w:tabs>
                <w:tab w:val="left" w:pos="1080"/>
              </w:tabs>
              <w:spacing w:line="240" w:lineRule="auto"/>
              <w:jc w:val="center"/>
              <w:rPr>
                <w:rFonts w:ascii="Times New Roman"/>
                <w:sz w:val="21"/>
                <w:szCs w:val="21"/>
              </w:rPr>
            </w:pPr>
            <w:r>
              <w:rPr>
                <w:rFonts w:ascii="Times New Roman"/>
                <w:sz w:val="21"/>
                <w:szCs w:val="21"/>
              </w:rPr>
              <w:t>耐火性能</w:t>
            </w:r>
          </w:p>
        </w:tc>
        <w:tc>
          <w:tcPr>
            <w:tcW w:w="1408" w:type="dxa"/>
            <w:vAlign w:val="center"/>
          </w:tcPr>
          <w:p w14:paraId="111C3190">
            <w:pPr>
              <w:tabs>
                <w:tab w:val="left" w:pos="1080"/>
              </w:tabs>
              <w:spacing w:line="240" w:lineRule="auto"/>
              <w:jc w:val="center"/>
              <w:rPr>
                <w:rFonts w:ascii="Times New Roman"/>
                <w:sz w:val="21"/>
                <w:szCs w:val="21"/>
              </w:rPr>
            </w:pPr>
            <w:r>
              <w:rPr>
                <w:rFonts w:ascii="Times New Roman"/>
                <w:sz w:val="21"/>
                <w:szCs w:val="21"/>
              </w:rPr>
              <w:t>min</w:t>
            </w:r>
          </w:p>
        </w:tc>
        <w:tc>
          <w:tcPr>
            <w:tcW w:w="4140" w:type="dxa"/>
            <w:tcBorders>
              <w:right w:val="single" w:color="auto" w:sz="12" w:space="0"/>
            </w:tcBorders>
            <w:vAlign w:val="center"/>
          </w:tcPr>
          <w:p w14:paraId="01EDFDE8">
            <w:pPr>
              <w:tabs>
                <w:tab w:val="left" w:pos="1080"/>
              </w:tabs>
              <w:spacing w:line="240" w:lineRule="auto"/>
              <w:jc w:val="center"/>
              <w:rPr>
                <w:rFonts w:ascii="Times New Roman"/>
                <w:sz w:val="21"/>
                <w:szCs w:val="21"/>
              </w:rPr>
            </w:pPr>
            <w:r>
              <w:rPr>
                <w:rFonts w:ascii="Times New Roman"/>
                <w:sz w:val="21"/>
                <w:szCs w:val="21"/>
              </w:rPr>
              <w:t>≥180</w:t>
            </w:r>
          </w:p>
        </w:tc>
      </w:tr>
      <w:tr w14:paraId="2D1BB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06" w:type="dxa"/>
            <w:tcBorders>
              <w:left w:val="single" w:color="auto" w:sz="12" w:space="0"/>
            </w:tcBorders>
            <w:vAlign w:val="center"/>
          </w:tcPr>
          <w:p w14:paraId="14F236C1">
            <w:pPr>
              <w:tabs>
                <w:tab w:val="left" w:pos="1080"/>
              </w:tabs>
              <w:spacing w:line="240" w:lineRule="auto"/>
              <w:jc w:val="center"/>
              <w:rPr>
                <w:rFonts w:ascii="Times New Roman"/>
                <w:sz w:val="21"/>
                <w:szCs w:val="21"/>
              </w:rPr>
            </w:pPr>
            <w:r>
              <w:rPr>
                <w:rFonts w:ascii="Times New Roman"/>
                <w:sz w:val="21"/>
                <w:szCs w:val="21"/>
              </w:rPr>
              <w:t>无卤型卤酸含量</w:t>
            </w:r>
          </w:p>
        </w:tc>
        <w:tc>
          <w:tcPr>
            <w:tcW w:w="1408" w:type="dxa"/>
            <w:vAlign w:val="center"/>
          </w:tcPr>
          <w:p w14:paraId="2B9D647A">
            <w:pPr>
              <w:tabs>
                <w:tab w:val="left" w:pos="1080"/>
              </w:tabs>
              <w:spacing w:line="240" w:lineRule="auto"/>
              <w:jc w:val="center"/>
              <w:rPr>
                <w:rFonts w:ascii="Times New Roman"/>
                <w:sz w:val="21"/>
                <w:szCs w:val="21"/>
              </w:rPr>
            </w:pPr>
            <w:r>
              <w:rPr>
                <w:rFonts w:ascii="Times New Roman"/>
                <w:sz w:val="21"/>
                <w:szCs w:val="21"/>
              </w:rPr>
              <w:t>mg/g</w:t>
            </w:r>
          </w:p>
        </w:tc>
        <w:tc>
          <w:tcPr>
            <w:tcW w:w="4140" w:type="dxa"/>
            <w:tcBorders>
              <w:right w:val="single" w:color="auto" w:sz="12" w:space="0"/>
            </w:tcBorders>
            <w:vAlign w:val="center"/>
          </w:tcPr>
          <w:p w14:paraId="412E498D">
            <w:pPr>
              <w:tabs>
                <w:tab w:val="left" w:pos="1080"/>
              </w:tabs>
              <w:spacing w:line="240" w:lineRule="auto"/>
              <w:jc w:val="center"/>
              <w:rPr>
                <w:rFonts w:ascii="Times New Roman"/>
                <w:sz w:val="21"/>
                <w:szCs w:val="21"/>
              </w:rPr>
            </w:pPr>
            <w:r>
              <w:rPr>
                <w:rFonts w:ascii="Times New Roman"/>
                <w:sz w:val="21"/>
                <w:szCs w:val="21"/>
              </w:rPr>
              <w:t>0</w:t>
            </w:r>
          </w:p>
        </w:tc>
      </w:tr>
      <w:tr w14:paraId="1BBE0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06" w:type="dxa"/>
            <w:tcBorders>
              <w:left w:val="single" w:color="auto" w:sz="12" w:space="0"/>
              <w:bottom w:val="single" w:color="auto" w:sz="12" w:space="0"/>
            </w:tcBorders>
            <w:vAlign w:val="center"/>
          </w:tcPr>
          <w:p w14:paraId="4B8C88FB">
            <w:pPr>
              <w:tabs>
                <w:tab w:val="left" w:pos="1080"/>
              </w:tabs>
              <w:spacing w:line="240" w:lineRule="auto"/>
              <w:jc w:val="center"/>
              <w:rPr>
                <w:rFonts w:ascii="Times New Roman"/>
                <w:sz w:val="21"/>
                <w:szCs w:val="21"/>
              </w:rPr>
            </w:pPr>
            <w:r>
              <w:rPr>
                <w:rFonts w:ascii="Times New Roman"/>
                <w:sz w:val="21"/>
                <w:szCs w:val="21"/>
              </w:rPr>
              <w:t>无卤型烟气毒性</w:t>
            </w:r>
          </w:p>
        </w:tc>
        <w:tc>
          <w:tcPr>
            <w:tcW w:w="1408" w:type="dxa"/>
            <w:tcBorders>
              <w:bottom w:val="single" w:color="auto" w:sz="12" w:space="0"/>
            </w:tcBorders>
            <w:vAlign w:val="center"/>
          </w:tcPr>
          <w:p w14:paraId="30B4E7D0">
            <w:pPr>
              <w:tabs>
                <w:tab w:val="left" w:pos="1080"/>
              </w:tabs>
              <w:spacing w:line="240" w:lineRule="auto"/>
              <w:jc w:val="center"/>
              <w:rPr>
                <w:rFonts w:ascii="Times New Roman"/>
                <w:sz w:val="21"/>
                <w:szCs w:val="21"/>
              </w:rPr>
            </w:pPr>
            <w:r>
              <w:rPr>
                <w:rFonts w:ascii="Times New Roman"/>
                <w:sz w:val="21"/>
                <w:szCs w:val="21"/>
              </w:rPr>
              <w:t>级</w:t>
            </w:r>
          </w:p>
        </w:tc>
        <w:tc>
          <w:tcPr>
            <w:tcW w:w="4140" w:type="dxa"/>
            <w:tcBorders>
              <w:bottom w:val="single" w:color="auto" w:sz="12" w:space="0"/>
              <w:right w:val="single" w:color="auto" w:sz="12" w:space="0"/>
            </w:tcBorders>
            <w:vAlign w:val="center"/>
          </w:tcPr>
          <w:p w14:paraId="17E8519F">
            <w:pPr>
              <w:tabs>
                <w:tab w:val="left" w:pos="1080"/>
              </w:tabs>
              <w:spacing w:line="240" w:lineRule="auto"/>
              <w:jc w:val="center"/>
              <w:rPr>
                <w:rFonts w:ascii="Times New Roman"/>
                <w:sz w:val="21"/>
                <w:szCs w:val="21"/>
              </w:rPr>
            </w:pPr>
            <w:r>
              <w:rPr>
                <w:rFonts w:ascii="Times New Roman"/>
                <w:sz w:val="21"/>
                <w:szCs w:val="21"/>
              </w:rPr>
              <w:t>ZA</w:t>
            </w:r>
          </w:p>
        </w:tc>
      </w:tr>
    </w:tbl>
    <w:p w14:paraId="1B150FE3">
      <w:pPr>
        <w:numPr>
          <w:ilvl w:val="0"/>
          <w:numId w:val="27"/>
        </w:numPr>
        <w:adjustRightInd w:val="0"/>
        <w:snapToGrid w:val="0"/>
        <w:jc w:val="left"/>
        <w:rPr>
          <w:rFonts w:ascii="Times New Roman"/>
          <w:szCs w:val="21"/>
        </w:rPr>
      </w:pPr>
      <w:r>
        <w:rPr>
          <w:rFonts w:ascii="Times New Roman"/>
          <w:szCs w:val="21"/>
        </w:rPr>
        <w:t>无机防火堵料</w:t>
      </w:r>
    </w:p>
    <w:p w14:paraId="31ABAF6C">
      <w:pPr>
        <w:tabs>
          <w:tab w:val="left" w:pos="1080"/>
        </w:tabs>
        <w:ind w:firstLine="360" w:firstLineChars="150"/>
        <w:jc w:val="left"/>
        <w:rPr>
          <w:rFonts w:ascii="Times New Roman"/>
        </w:rPr>
      </w:pPr>
      <w:r>
        <w:rPr>
          <w:rFonts w:ascii="Times New Roman"/>
        </w:rPr>
        <w:t>无机防火堵料应以无机材料为主要成分的防火材料制成。</w:t>
      </w:r>
    </w:p>
    <w:p w14:paraId="49962F97">
      <w:pPr>
        <w:tabs>
          <w:tab w:val="left" w:pos="1080"/>
        </w:tabs>
        <w:ind w:firstLine="360" w:firstLineChars="150"/>
        <w:jc w:val="left"/>
        <w:rPr>
          <w:rFonts w:ascii="Times New Roman"/>
        </w:rPr>
      </w:pPr>
      <w:r>
        <w:rPr>
          <w:rFonts w:ascii="Times New Roman"/>
        </w:rPr>
        <w:t>主要技术性能要求如下：</w:t>
      </w:r>
    </w:p>
    <w:tbl>
      <w:tblPr>
        <w:tblStyle w:val="16"/>
        <w:tblW w:w="0" w:type="auto"/>
        <w:tblInd w:w="5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2"/>
        <w:gridCol w:w="1797"/>
        <w:gridCol w:w="4334"/>
      </w:tblGrid>
      <w:tr w14:paraId="27017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1642" w:type="dxa"/>
            <w:tcBorders>
              <w:top w:val="single" w:color="auto" w:sz="12" w:space="0"/>
              <w:left w:val="single" w:color="auto" w:sz="12" w:space="0"/>
            </w:tcBorders>
            <w:vAlign w:val="center"/>
          </w:tcPr>
          <w:p w14:paraId="3DF6507E">
            <w:pPr>
              <w:tabs>
                <w:tab w:val="left" w:pos="1080"/>
              </w:tabs>
              <w:spacing w:line="240" w:lineRule="auto"/>
              <w:jc w:val="center"/>
              <w:rPr>
                <w:rFonts w:ascii="Times New Roman"/>
                <w:sz w:val="21"/>
                <w:szCs w:val="21"/>
              </w:rPr>
            </w:pPr>
            <w:r>
              <w:rPr>
                <w:rFonts w:ascii="Times New Roman"/>
                <w:sz w:val="21"/>
                <w:szCs w:val="21"/>
              </w:rPr>
              <w:t>项目</w:t>
            </w:r>
          </w:p>
        </w:tc>
        <w:tc>
          <w:tcPr>
            <w:tcW w:w="1797" w:type="dxa"/>
            <w:tcBorders>
              <w:top w:val="single" w:color="auto" w:sz="12" w:space="0"/>
            </w:tcBorders>
            <w:vAlign w:val="center"/>
          </w:tcPr>
          <w:p w14:paraId="2FC1EE8C">
            <w:pPr>
              <w:tabs>
                <w:tab w:val="left" w:pos="1080"/>
              </w:tabs>
              <w:spacing w:line="240" w:lineRule="auto"/>
              <w:jc w:val="center"/>
              <w:rPr>
                <w:rFonts w:ascii="Times New Roman"/>
                <w:sz w:val="21"/>
                <w:szCs w:val="21"/>
              </w:rPr>
            </w:pPr>
            <w:r>
              <w:rPr>
                <w:rFonts w:ascii="Times New Roman"/>
                <w:sz w:val="21"/>
                <w:szCs w:val="21"/>
              </w:rPr>
              <w:t>单位</w:t>
            </w:r>
          </w:p>
        </w:tc>
        <w:tc>
          <w:tcPr>
            <w:tcW w:w="4334" w:type="dxa"/>
            <w:tcBorders>
              <w:top w:val="single" w:color="auto" w:sz="12" w:space="0"/>
              <w:right w:val="single" w:color="auto" w:sz="12" w:space="0"/>
            </w:tcBorders>
            <w:vAlign w:val="center"/>
          </w:tcPr>
          <w:p w14:paraId="42408DB5">
            <w:pPr>
              <w:tabs>
                <w:tab w:val="left" w:pos="1080"/>
              </w:tabs>
              <w:spacing w:line="240" w:lineRule="auto"/>
              <w:jc w:val="center"/>
              <w:rPr>
                <w:rFonts w:ascii="Times New Roman"/>
                <w:sz w:val="21"/>
                <w:szCs w:val="21"/>
              </w:rPr>
            </w:pPr>
            <w:r>
              <w:rPr>
                <w:rFonts w:ascii="Times New Roman"/>
                <w:sz w:val="21"/>
                <w:szCs w:val="21"/>
              </w:rPr>
              <w:t>技术性能指标</w:t>
            </w:r>
          </w:p>
        </w:tc>
      </w:tr>
      <w:tr w14:paraId="3B978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2" w:type="dxa"/>
            <w:tcBorders>
              <w:left w:val="single" w:color="auto" w:sz="12" w:space="0"/>
            </w:tcBorders>
            <w:vAlign w:val="center"/>
          </w:tcPr>
          <w:p w14:paraId="01D5909C">
            <w:pPr>
              <w:tabs>
                <w:tab w:val="left" w:pos="1080"/>
              </w:tabs>
              <w:spacing w:line="240" w:lineRule="auto"/>
              <w:jc w:val="center"/>
              <w:rPr>
                <w:rFonts w:ascii="Times New Roman"/>
                <w:sz w:val="21"/>
                <w:szCs w:val="21"/>
              </w:rPr>
            </w:pPr>
            <w:r>
              <w:rPr>
                <w:rFonts w:ascii="Times New Roman"/>
                <w:sz w:val="21"/>
                <w:szCs w:val="21"/>
              </w:rPr>
              <w:t>干密度</w:t>
            </w:r>
          </w:p>
        </w:tc>
        <w:tc>
          <w:tcPr>
            <w:tcW w:w="1797" w:type="dxa"/>
            <w:vAlign w:val="center"/>
          </w:tcPr>
          <w:p w14:paraId="67390B7D">
            <w:pPr>
              <w:tabs>
                <w:tab w:val="left" w:pos="1080"/>
              </w:tabs>
              <w:spacing w:line="240" w:lineRule="auto"/>
              <w:jc w:val="center"/>
              <w:rPr>
                <w:rFonts w:ascii="Times New Roman"/>
                <w:sz w:val="21"/>
                <w:szCs w:val="21"/>
              </w:rPr>
            </w:pPr>
            <w:r>
              <w:rPr>
                <w:rFonts w:ascii="Times New Roman"/>
                <w:sz w:val="21"/>
                <w:szCs w:val="21"/>
              </w:rPr>
              <w:t>kg/m</w:t>
            </w:r>
            <w:r>
              <w:rPr>
                <w:rFonts w:ascii="Times New Roman"/>
                <w:sz w:val="21"/>
                <w:szCs w:val="21"/>
                <w:vertAlign w:val="superscript"/>
              </w:rPr>
              <w:t>3</w:t>
            </w:r>
          </w:p>
        </w:tc>
        <w:tc>
          <w:tcPr>
            <w:tcW w:w="4334" w:type="dxa"/>
            <w:tcBorders>
              <w:right w:val="single" w:color="auto" w:sz="12" w:space="0"/>
            </w:tcBorders>
            <w:vAlign w:val="center"/>
          </w:tcPr>
          <w:p w14:paraId="6CDA59C3">
            <w:pPr>
              <w:tabs>
                <w:tab w:val="left" w:pos="1080"/>
              </w:tabs>
              <w:spacing w:line="240" w:lineRule="auto"/>
              <w:jc w:val="center"/>
              <w:rPr>
                <w:rFonts w:ascii="Times New Roman"/>
                <w:sz w:val="21"/>
                <w:szCs w:val="21"/>
              </w:rPr>
            </w:pPr>
            <w:r>
              <w:rPr>
                <w:rFonts w:ascii="Times New Roman"/>
                <w:sz w:val="21"/>
                <w:szCs w:val="21"/>
              </w:rPr>
              <w:t>≤2.0×10</w:t>
            </w:r>
            <w:r>
              <w:rPr>
                <w:rFonts w:ascii="Times New Roman"/>
                <w:sz w:val="21"/>
                <w:szCs w:val="21"/>
                <w:vertAlign w:val="superscript"/>
              </w:rPr>
              <w:t>3</w:t>
            </w:r>
          </w:p>
        </w:tc>
      </w:tr>
      <w:tr w14:paraId="265FF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2" w:type="dxa"/>
            <w:tcBorders>
              <w:left w:val="single" w:color="auto" w:sz="12" w:space="0"/>
            </w:tcBorders>
            <w:vAlign w:val="center"/>
          </w:tcPr>
          <w:p w14:paraId="7FFE1D10">
            <w:pPr>
              <w:tabs>
                <w:tab w:val="left" w:pos="1080"/>
              </w:tabs>
              <w:spacing w:line="240" w:lineRule="auto"/>
              <w:jc w:val="center"/>
              <w:rPr>
                <w:rFonts w:ascii="Times New Roman"/>
                <w:sz w:val="21"/>
                <w:szCs w:val="21"/>
              </w:rPr>
            </w:pPr>
            <w:r>
              <w:rPr>
                <w:rFonts w:ascii="Times New Roman"/>
                <w:sz w:val="21"/>
                <w:szCs w:val="21"/>
              </w:rPr>
              <w:t>耐水性</w:t>
            </w:r>
          </w:p>
        </w:tc>
        <w:tc>
          <w:tcPr>
            <w:tcW w:w="1797" w:type="dxa"/>
            <w:vAlign w:val="center"/>
          </w:tcPr>
          <w:p w14:paraId="101F5286">
            <w:pPr>
              <w:tabs>
                <w:tab w:val="left" w:pos="1080"/>
              </w:tabs>
              <w:spacing w:line="240" w:lineRule="auto"/>
              <w:jc w:val="center"/>
              <w:rPr>
                <w:rFonts w:ascii="Times New Roman"/>
                <w:sz w:val="21"/>
                <w:szCs w:val="21"/>
              </w:rPr>
            </w:pPr>
            <w:r>
              <w:rPr>
                <w:rFonts w:ascii="Times New Roman"/>
                <w:sz w:val="21"/>
                <w:szCs w:val="21"/>
              </w:rPr>
              <w:t>d</w:t>
            </w:r>
          </w:p>
        </w:tc>
        <w:tc>
          <w:tcPr>
            <w:tcW w:w="4334" w:type="dxa"/>
            <w:tcBorders>
              <w:right w:val="single" w:color="auto" w:sz="12" w:space="0"/>
            </w:tcBorders>
            <w:vAlign w:val="center"/>
          </w:tcPr>
          <w:p w14:paraId="24DAC041">
            <w:pPr>
              <w:tabs>
                <w:tab w:val="left" w:pos="1080"/>
              </w:tabs>
              <w:spacing w:line="240" w:lineRule="auto"/>
              <w:jc w:val="center"/>
              <w:rPr>
                <w:rFonts w:ascii="Times New Roman"/>
                <w:sz w:val="21"/>
                <w:szCs w:val="21"/>
              </w:rPr>
            </w:pPr>
            <w:r>
              <w:rPr>
                <w:rFonts w:ascii="Times New Roman"/>
                <w:sz w:val="21"/>
                <w:szCs w:val="21"/>
              </w:rPr>
              <w:t>≥3，无溶胀</w:t>
            </w:r>
          </w:p>
        </w:tc>
      </w:tr>
      <w:tr w14:paraId="10311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2" w:type="dxa"/>
            <w:tcBorders>
              <w:left w:val="single" w:color="auto" w:sz="12" w:space="0"/>
            </w:tcBorders>
            <w:vAlign w:val="center"/>
          </w:tcPr>
          <w:p w14:paraId="35339BF2">
            <w:pPr>
              <w:tabs>
                <w:tab w:val="left" w:pos="1080"/>
              </w:tabs>
              <w:spacing w:line="240" w:lineRule="auto"/>
              <w:jc w:val="center"/>
              <w:rPr>
                <w:rFonts w:ascii="Times New Roman"/>
                <w:sz w:val="21"/>
                <w:szCs w:val="21"/>
              </w:rPr>
            </w:pPr>
            <w:r>
              <w:rPr>
                <w:rFonts w:ascii="Times New Roman"/>
                <w:sz w:val="21"/>
                <w:szCs w:val="21"/>
              </w:rPr>
              <w:t>耐油性</w:t>
            </w:r>
          </w:p>
        </w:tc>
        <w:tc>
          <w:tcPr>
            <w:tcW w:w="1797" w:type="dxa"/>
            <w:vAlign w:val="center"/>
          </w:tcPr>
          <w:p w14:paraId="68D5443A">
            <w:pPr>
              <w:tabs>
                <w:tab w:val="left" w:pos="1080"/>
              </w:tabs>
              <w:spacing w:line="240" w:lineRule="auto"/>
              <w:jc w:val="center"/>
              <w:rPr>
                <w:rFonts w:ascii="Times New Roman"/>
                <w:sz w:val="21"/>
                <w:szCs w:val="21"/>
              </w:rPr>
            </w:pPr>
            <w:r>
              <w:rPr>
                <w:rFonts w:ascii="Times New Roman"/>
                <w:sz w:val="21"/>
                <w:szCs w:val="21"/>
              </w:rPr>
              <w:t>d</w:t>
            </w:r>
          </w:p>
        </w:tc>
        <w:tc>
          <w:tcPr>
            <w:tcW w:w="4334" w:type="dxa"/>
            <w:tcBorders>
              <w:right w:val="single" w:color="auto" w:sz="12" w:space="0"/>
            </w:tcBorders>
            <w:vAlign w:val="center"/>
          </w:tcPr>
          <w:p w14:paraId="4B17E851">
            <w:pPr>
              <w:tabs>
                <w:tab w:val="left" w:pos="1080"/>
              </w:tabs>
              <w:spacing w:line="240" w:lineRule="auto"/>
              <w:jc w:val="center"/>
              <w:rPr>
                <w:rFonts w:ascii="Times New Roman"/>
                <w:sz w:val="21"/>
                <w:szCs w:val="21"/>
              </w:rPr>
            </w:pPr>
            <w:r>
              <w:rPr>
                <w:rFonts w:ascii="Times New Roman"/>
                <w:sz w:val="21"/>
                <w:szCs w:val="21"/>
              </w:rPr>
              <w:t>≥3，无溶胀</w:t>
            </w:r>
          </w:p>
        </w:tc>
      </w:tr>
      <w:tr w14:paraId="403E1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2" w:type="dxa"/>
            <w:tcBorders>
              <w:left w:val="single" w:color="auto" w:sz="12" w:space="0"/>
            </w:tcBorders>
            <w:vAlign w:val="center"/>
          </w:tcPr>
          <w:p w14:paraId="7B0321A0">
            <w:pPr>
              <w:tabs>
                <w:tab w:val="left" w:pos="1080"/>
              </w:tabs>
              <w:spacing w:line="240" w:lineRule="auto"/>
              <w:jc w:val="center"/>
              <w:rPr>
                <w:rFonts w:ascii="Times New Roman"/>
                <w:sz w:val="21"/>
                <w:szCs w:val="21"/>
              </w:rPr>
            </w:pPr>
            <w:r>
              <w:rPr>
                <w:rFonts w:ascii="Times New Roman"/>
                <w:sz w:val="21"/>
                <w:szCs w:val="21"/>
              </w:rPr>
              <w:t>耐湿热性</w:t>
            </w:r>
          </w:p>
        </w:tc>
        <w:tc>
          <w:tcPr>
            <w:tcW w:w="1797" w:type="dxa"/>
            <w:vAlign w:val="center"/>
          </w:tcPr>
          <w:p w14:paraId="1C67671D">
            <w:pPr>
              <w:tabs>
                <w:tab w:val="left" w:pos="1080"/>
              </w:tabs>
              <w:spacing w:line="240" w:lineRule="auto"/>
              <w:jc w:val="center"/>
              <w:rPr>
                <w:rFonts w:ascii="Times New Roman"/>
                <w:sz w:val="21"/>
                <w:szCs w:val="21"/>
              </w:rPr>
            </w:pPr>
            <w:r>
              <w:rPr>
                <w:rFonts w:ascii="Times New Roman"/>
                <w:sz w:val="21"/>
                <w:szCs w:val="21"/>
              </w:rPr>
              <w:t>h</w:t>
            </w:r>
          </w:p>
        </w:tc>
        <w:tc>
          <w:tcPr>
            <w:tcW w:w="4334" w:type="dxa"/>
            <w:tcBorders>
              <w:right w:val="single" w:color="auto" w:sz="12" w:space="0"/>
            </w:tcBorders>
            <w:vAlign w:val="center"/>
          </w:tcPr>
          <w:p w14:paraId="51FB8A49">
            <w:pPr>
              <w:tabs>
                <w:tab w:val="left" w:pos="1080"/>
              </w:tabs>
              <w:spacing w:line="240" w:lineRule="auto"/>
              <w:jc w:val="center"/>
              <w:rPr>
                <w:rFonts w:ascii="Times New Roman"/>
                <w:sz w:val="21"/>
                <w:szCs w:val="21"/>
              </w:rPr>
            </w:pPr>
            <w:r>
              <w:rPr>
                <w:rFonts w:ascii="Times New Roman"/>
                <w:sz w:val="21"/>
                <w:szCs w:val="21"/>
              </w:rPr>
              <w:t>≥120，不开裂、不粉化</w:t>
            </w:r>
          </w:p>
        </w:tc>
      </w:tr>
      <w:tr w14:paraId="24B58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2" w:type="dxa"/>
            <w:tcBorders>
              <w:left w:val="single" w:color="auto" w:sz="12" w:space="0"/>
            </w:tcBorders>
            <w:vAlign w:val="center"/>
          </w:tcPr>
          <w:p w14:paraId="0578A998">
            <w:pPr>
              <w:tabs>
                <w:tab w:val="left" w:pos="1080"/>
              </w:tabs>
              <w:spacing w:line="240" w:lineRule="auto"/>
              <w:jc w:val="center"/>
              <w:rPr>
                <w:rFonts w:ascii="Times New Roman"/>
                <w:sz w:val="21"/>
                <w:szCs w:val="21"/>
              </w:rPr>
            </w:pPr>
            <w:r>
              <w:rPr>
                <w:rFonts w:ascii="Times New Roman"/>
                <w:sz w:val="21"/>
                <w:szCs w:val="21"/>
              </w:rPr>
              <w:t>耐冻融循环</w:t>
            </w:r>
          </w:p>
        </w:tc>
        <w:tc>
          <w:tcPr>
            <w:tcW w:w="1797" w:type="dxa"/>
            <w:vAlign w:val="center"/>
          </w:tcPr>
          <w:p w14:paraId="462767C5">
            <w:pPr>
              <w:tabs>
                <w:tab w:val="left" w:pos="1080"/>
              </w:tabs>
              <w:spacing w:line="240" w:lineRule="auto"/>
              <w:jc w:val="center"/>
              <w:rPr>
                <w:rFonts w:ascii="Times New Roman"/>
                <w:sz w:val="21"/>
                <w:szCs w:val="21"/>
              </w:rPr>
            </w:pPr>
            <w:r>
              <w:rPr>
                <w:rFonts w:ascii="Times New Roman"/>
                <w:sz w:val="21"/>
                <w:szCs w:val="21"/>
              </w:rPr>
              <w:t>次</w:t>
            </w:r>
          </w:p>
        </w:tc>
        <w:tc>
          <w:tcPr>
            <w:tcW w:w="4334" w:type="dxa"/>
            <w:tcBorders>
              <w:right w:val="single" w:color="auto" w:sz="12" w:space="0"/>
            </w:tcBorders>
            <w:vAlign w:val="center"/>
          </w:tcPr>
          <w:p w14:paraId="3524CA66">
            <w:pPr>
              <w:tabs>
                <w:tab w:val="left" w:pos="1080"/>
              </w:tabs>
              <w:spacing w:line="240" w:lineRule="auto"/>
              <w:jc w:val="center"/>
              <w:rPr>
                <w:rFonts w:ascii="Times New Roman"/>
                <w:sz w:val="21"/>
                <w:szCs w:val="21"/>
              </w:rPr>
            </w:pPr>
            <w:r>
              <w:rPr>
                <w:rFonts w:ascii="Times New Roman"/>
                <w:sz w:val="21"/>
                <w:szCs w:val="21"/>
              </w:rPr>
              <w:t>≥15，不开裂、不粉化</w:t>
            </w:r>
          </w:p>
        </w:tc>
      </w:tr>
      <w:tr w14:paraId="2B0F2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2" w:type="dxa"/>
            <w:tcBorders>
              <w:left w:val="single" w:color="auto" w:sz="12" w:space="0"/>
            </w:tcBorders>
            <w:vAlign w:val="center"/>
          </w:tcPr>
          <w:p w14:paraId="6694CE6A">
            <w:pPr>
              <w:tabs>
                <w:tab w:val="left" w:pos="1080"/>
              </w:tabs>
              <w:spacing w:line="240" w:lineRule="auto"/>
              <w:jc w:val="center"/>
              <w:rPr>
                <w:rFonts w:ascii="Times New Roman"/>
                <w:sz w:val="21"/>
                <w:szCs w:val="21"/>
              </w:rPr>
            </w:pPr>
            <w:r>
              <w:rPr>
                <w:rFonts w:ascii="Times New Roman"/>
                <w:sz w:val="21"/>
                <w:szCs w:val="21"/>
              </w:rPr>
              <w:t>腐蚀性</w:t>
            </w:r>
          </w:p>
        </w:tc>
        <w:tc>
          <w:tcPr>
            <w:tcW w:w="1797" w:type="dxa"/>
            <w:vAlign w:val="center"/>
          </w:tcPr>
          <w:p w14:paraId="5465E8D1">
            <w:pPr>
              <w:tabs>
                <w:tab w:val="left" w:pos="1080"/>
              </w:tabs>
              <w:spacing w:line="240" w:lineRule="auto"/>
              <w:jc w:val="center"/>
              <w:rPr>
                <w:rFonts w:ascii="Times New Roman"/>
                <w:sz w:val="21"/>
                <w:szCs w:val="21"/>
              </w:rPr>
            </w:pPr>
            <w:r>
              <w:rPr>
                <w:rFonts w:ascii="Times New Roman"/>
                <w:sz w:val="21"/>
                <w:szCs w:val="21"/>
              </w:rPr>
              <w:t>d</w:t>
            </w:r>
          </w:p>
        </w:tc>
        <w:tc>
          <w:tcPr>
            <w:tcW w:w="4334" w:type="dxa"/>
            <w:tcBorders>
              <w:right w:val="single" w:color="auto" w:sz="12" w:space="0"/>
            </w:tcBorders>
            <w:vAlign w:val="center"/>
          </w:tcPr>
          <w:p w14:paraId="73483F87">
            <w:pPr>
              <w:tabs>
                <w:tab w:val="left" w:pos="1080"/>
              </w:tabs>
              <w:spacing w:line="240" w:lineRule="auto"/>
              <w:jc w:val="center"/>
              <w:rPr>
                <w:rFonts w:ascii="Times New Roman"/>
                <w:sz w:val="21"/>
                <w:szCs w:val="21"/>
              </w:rPr>
            </w:pPr>
            <w:r>
              <w:rPr>
                <w:rFonts w:ascii="Times New Roman"/>
                <w:sz w:val="21"/>
                <w:szCs w:val="21"/>
              </w:rPr>
              <w:t>≥7，无锈蚀、腐蚀现象</w:t>
            </w:r>
          </w:p>
        </w:tc>
      </w:tr>
      <w:tr w14:paraId="4B61A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2" w:type="dxa"/>
            <w:tcBorders>
              <w:left w:val="single" w:color="auto" w:sz="12" w:space="0"/>
            </w:tcBorders>
            <w:vAlign w:val="center"/>
          </w:tcPr>
          <w:p w14:paraId="5C831350">
            <w:pPr>
              <w:tabs>
                <w:tab w:val="left" w:pos="1080"/>
              </w:tabs>
              <w:spacing w:line="240" w:lineRule="auto"/>
              <w:jc w:val="center"/>
              <w:rPr>
                <w:rFonts w:ascii="Times New Roman"/>
                <w:sz w:val="21"/>
                <w:szCs w:val="21"/>
              </w:rPr>
            </w:pPr>
            <w:r>
              <w:rPr>
                <w:rFonts w:ascii="Times New Roman"/>
                <w:sz w:val="21"/>
                <w:szCs w:val="21"/>
              </w:rPr>
              <w:t>耐火性能</w:t>
            </w:r>
          </w:p>
        </w:tc>
        <w:tc>
          <w:tcPr>
            <w:tcW w:w="1797" w:type="dxa"/>
            <w:vAlign w:val="center"/>
          </w:tcPr>
          <w:p w14:paraId="1813834A">
            <w:pPr>
              <w:tabs>
                <w:tab w:val="left" w:pos="1080"/>
              </w:tabs>
              <w:spacing w:line="240" w:lineRule="auto"/>
              <w:jc w:val="center"/>
              <w:rPr>
                <w:rFonts w:ascii="Times New Roman"/>
                <w:sz w:val="21"/>
                <w:szCs w:val="21"/>
              </w:rPr>
            </w:pPr>
            <w:r>
              <w:rPr>
                <w:rFonts w:ascii="Times New Roman"/>
                <w:sz w:val="21"/>
                <w:szCs w:val="21"/>
              </w:rPr>
              <w:t>min</w:t>
            </w:r>
          </w:p>
        </w:tc>
        <w:tc>
          <w:tcPr>
            <w:tcW w:w="4334" w:type="dxa"/>
            <w:tcBorders>
              <w:right w:val="single" w:color="auto" w:sz="12" w:space="0"/>
            </w:tcBorders>
            <w:vAlign w:val="center"/>
          </w:tcPr>
          <w:p w14:paraId="5681958B">
            <w:pPr>
              <w:tabs>
                <w:tab w:val="left" w:pos="1080"/>
              </w:tabs>
              <w:spacing w:line="240" w:lineRule="auto"/>
              <w:jc w:val="center"/>
              <w:rPr>
                <w:rFonts w:ascii="Times New Roman"/>
                <w:sz w:val="21"/>
                <w:szCs w:val="21"/>
              </w:rPr>
            </w:pPr>
            <w:r>
              <w:rPr>
                <w:rFonts w:ascii="Times New Roman"/>
                <w:sz w:val="21"/>
                <w:szCs w:val="21"/>
              </w:rPr>
              <w:t>≥180</w:t>
            </w:r>
          </w:p>
        </w:tc>
      </w:tr>
      <w:tr w14:paraId="4D843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2" w:type="dxa"/>
            <w:tcBorders>
              <w:left w:val="single" w:color="auto" w:sz="12" w:space="0"/>
            </w:tcBorders>
            <w:vAlign w:val="center"/>
          </w:tcPr>
          <w:p w14:paraId="0AAA73EB">
            <w:pPr>
              <w:tabs>
                <w:tab w:val="left" w:pos="1080"/>
              </w:tabs>
              <w:spacing w:line="240" w:lineRule="auto"/>
              <w:jc w:val="center"/>
              <w:rPr>
                <w:rFonts w:ascii="Times New Roman"/>
                <w:sz w:val="21"/>
                <w:szCs w:val="21"/>
              </w:rPr>
            </w:pPr>
            <w:r>
              <w:rPr>
                <w:rFonts w:ascii="Times New Roman"/>
                <w:sz w:val="21"/>
                <w:szCs w:val="21"/>
              </w:rPr>
              <w:t>抗压强度，R</w:t>
            </w:r>
          </w:p>
        </w:tc>
        <w:tc>
          <w:tcPr>
            <w:tcW w:w="1797" w:type="dxa"/>
            <w:vAlign w:val="center"/>
          </w:tcPr>
          <w:p w14:paraId="34CA8540">
            <w:pPr>
              <w:tabs>
                <w:tab w:val="left" w:pos="1080"/>
              </w:tabs>
              <w:spacing w:line="240" w:lineRule="auto"/>
              <w:jc w:val="center"/>
              <w:rPr>
                <w:rFonts w:ascii="Times New Roman"/>
                <w:sz w:val="21"/>
                <w:szCs w:val="21"/>
              </w:rPr>
            </w:pPr>
            <w:r>
              <w:rPr>
                <w:rFonts w:ascii="Times New Roman"/>
                <w:sz w:val="21"/>
                <w:szCs w:val="21"/>
              </w:rPr>
              <w:t>MPa</w:t>
            </w:r>
          </w:p>
        </w:tc>
        <w:tc>
          <w:tcPr>
            <w:tcW w:w="4334" w:type="dxa"/>
            <w:tcBorders>
              <w:right w:val="single" w:color="auto" w:sz="12" w:space="0"/>
            </w:tcBorders>
            <w:vAlign w:val="center"/>
          </w:tcPr>
          <w:p w14:paraId="321E032B">
            <w:pPr>
              <w:tabs>
                <w:tab w:val="left" w:pos="1080"/>
              </w:tabs>
              <w:spacing w:line="240" w:lineRule="auto"/>
              <w:jc w:val="center"/>
              <w:rPr>
                <w:rFonts w:ascii="Times New Roman"/>
                <w:sz w:val="21"/>
                <w:szCs w:val="21"/>
              </w:rPr>
            </w:pPr>
            <w:r>
              <w:rPr>
                <w:rFonts w:ascii="Times New Roman"/>
                <w:sz w:val="21"/>
                <w:szCs w:val="21"/>
              </w:rPr>
              <w:t>0.8≤R≤6.5</w:t>
            </w:r>
          </w:p>
        </w:tc>
      </w:tr>
      <w:tr w14:paraId="59A8C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642" w:type="dxa"/>
            <w:tcBorders>
              <w:left w:val="single" w:color="auto" w:sz="12" w:space="0"/>
              <w:bottom w:val="single" w:color="auto" w:sz="12" w:space="0"/>
            </w:tcBorders>
            <w:vAlign w:val="center"/>
          </w:tcPr>
          <w:p w14:paraId="15AB61AF">
            <w:pPr>
              <w:tabs>
                <w:tab w:val="left" w:pos="1080"/>
              </w:tabs>
              <w:spacing w:line="240" w:lineRule="auto"/>
              <w:jc w:val="center"/>
              <w:rPr>
                <w:rFonts w:ascii="Times New Roman"/>
                <w:sz w:val="21"/>
                <w:szCs w:val="21"/>
              </w:rPr>
            </w:pPr>
            <w:r>
              <w:rPr>
                <w:rFonts w:ascii="Times New Roman"/>
                <w:sz w:val="21"/>
                <w:szCs w:val="21"/>
              </w:rPr>
              <w:t>初疑时间，t</w:t>
            </w:r>
          </w:p>
        </w:tc>
        <w:tc>
          <w:tcPr>
            <w:tcW w:w="1797" w:type="dxa"/>
            <w:tcBorders>
              <w:bottom w:val="single" w:color="auto" w:sz="12" w:space="0"/>
            </w:tcBorders>
            <w:vAlign w:val="center"/>
          </w:tcPr>
          <w:p w14:paraId="6451D2D4">
            <w:pPr>
              <w:tabs>
                <w:tab w:val="left" w:pos="1080"/>
              </w:tabs>
              <w:spacing w:line="240" w:lineRule="auto"/>
              <w:jc w:val="center"/>
              <w:rPr>
                <w:rFonts w:ascii="Times New Roman"/>
                <w:sz w:val="21"/>
                <w:szCs w:val="21"/>
              </w:rPr>
            </w:pPr>
            <w:r>
              <w:rPr>
                <w:rFonts w:ascii="Times New Roman"/>
                <w:sz w:val="21"/>
                <w:szCs w:val="21"/>
              </w:rPr>
              <w:t>min</w:t>
            </w:r>
          </w:p>
        </w:tc>
        <w:tc>
          <w:tcPr>
            <w:tcW w:w="4334" w:type="dxa"/>
            <w:tcBorders>
              <w:bottom w:val="single" w:color="auto" w:sz="12" w:space="0"/>
              <w:right w:val="single" w:color="auto" w:sz="12" w:space="0"/>
            </w:tcBorders>
            <w:vAlign w:val="center"/>
          </w:tcPr>
          <w:p w14:paraId="102AC241">
            <w:pPr>
              <w:tabs>
                <w:tab w:val="left" w:pos="1080"/>
              </w:tabs>
              <w:spacing w:line="240" w:lineRule="auto"/>
              <w:jc w:val="center"/>
              <w:rPr>
                <w:rFonts w:ascii="Times New Roman"/>
                <w:sz w:val="21"/>
                <w:szCs w:val="21"/>
              </w:rPr>
            </w:pPr>
            <w:r>
              <w:rPr>
                <w:rFonts w:ascii="Times New Roman"/>
                <w:sz w:val="21"/>
                <w:szCs w:val="21"/>
              </w:rPr>
              <w:t>15≤t ≤45</w:t>
            </w:r>
          </w:p>
        </w:tc>
      </w:tr>
    </w:tbl>
    <w:p w14:paraId="42C46400">
      <w:pPr>
        <w:numPr>
          <w:ilvl w:val="0"/>
          <w:numId w:val="27"/>
        </w:numPr>
        <w:adjustRightInd w:val="0"/>
        <w:snapToGrid w:val="0"/>
        <w:jc w:val="left"/>
        <w:rPr>
          <w:rFonts w:ascii="Times New Roman"/>
          <w:szCs w:val="21"/>
        </w:rPr>
      </w:pPr>
      <w:r>
        <w:rPr>
          <w:rFonts w:ascii="Times New Roman"/>
          <w:szCs w:val="21"/>
        </w:rPr>
        <w:t>水性防火涂料</w:t>
      </w:r>
    </w:p>
    <w:p w14:paraId="384DB784">
      <w:pPr>
        <w:tabs>
          <w:tab w:val="left" w:pos="1080"/>
        </w:tabs>
        <w:ind w:firstLine="360" w:firstLineChars="150"/>
        <w:jc w:val="left"/>
        <w:rPr>
          <w:rFonts w:ascii="Times New Roman"/>
        </w:rPr>
      </w:pPr>
      <w:r>
        <w:rPr>
          <w:rFonts w:ascii="Times New Roman"/>
        </w:rPr>
        <w:t>水性溶剂，无异味，绿色环保型涂料。具有附着力强，抗弯性好，耐水、耐油、耐盐、耐候等特性。</w:t>
      </w:r>
    </w:p>
    <w:p w14:paraId="5A44BD86">
      <w:pPr>
        <w:tabs>
          <w:tab w:val="left" w:pos="1080"/>
        </w:tabs>
        <w:ind w:firstLine="360" w:firstLineChars="150"/>
        <w:jc w:val="left"/>
        <w:rPr>
          <w:rFonts w:ascii="Times New Roman"/>
        </w:rPr>
      </w:pPr>
      <w:r>
        <w:rPr>
          <w:rFonts w:ascii="Times New Roman"/>
        </w:rPr>
        <w:t>主要技术性能要求如下：</w:t>
      </w:r>
    </w:p>
    <w:tbl>
      <w:tblPr>
        <w:tblStyle w:val="16"/>
        <w:tblW w:w="0" w:type="auto"/>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0"/>
        <w:gridCol w:w="1240"/>
        <w:gridCol w:w="5004"/>
      </w:tblGrid>
      <w:tr w14:paraId="16238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1950" w:type="dxa"/>
            <w:tcBorders>
              <w:top w:val="single" w:color="auto" w:sz="12" w:space="0"/>
              <w:left w:val="single" w:color="auto" w:sz="12" w:space="0"/>
            </w:tcBorders>
            <w:vAlign w:val="center"/>
          </w:tcPr>
          <w:p w14:paraId="423C1406">
            <w:pPr>
              <w:tabs>
                <w:tab w:val="left" w:pos="1080"/>
              </w:tabs>
              <w:spacing w:line="240" w:lineRule="auto"/>
              <w:jc w:val="center"/>
              <w:rPr>
                <w:rFonts w:ascii="Times New Roman"/>
                <w:sz w:val="21"/>
                <w:szCs w:val="21"/>
              </w:rPr>
            </w:pPr>
            <w:r>
              <w:rPr>
                <w:rFonts w:ascii="Times New Roman"/>
                <w:sz w:val="21"/>
                <w:szCs w:val="21"/>
              </w:rPr>
              <w:t>项目</w:t>
            </w:r>
          </w:p>
        </w:tc>
        <w:tc>
          <w:tcPr>
            <w:tcW w:w="1240" w:type="dxa"/>
            <w:tcBorders>
              <w:top w:val="single" w:color="auto" w:sz="12" w:space="0"/>
            </w:tcBorders>
            <w:vAlign w:val="center"/>
          </w:tcPr>
          <w:p w14:paraId="1B47F565">
            <w:pPr>
              <w:tabs>
                <w:tab w:val="left" w:pos="1080"/>
              </w:tabs>
              <w:spacing w:line="240" w:lineRule="auto"/>
              <w:jc w:val="center"/>
              <w:rPr>
                <w:rFonts w:ascii="Times New Roman"/>
                <w:sz w:val="21"/>
                <w:szCs w:val="21"/>
              </w:rPr>
            </w:pPr>
            <w:r>
              <w:rPr>
                <w:rFonts w:ascii="Times New Roman"/>
                <w:sz w:val="21"/>
                <w:szCs w:val="21"/>
              </w:rPr>
              <w:t>单位</w:t>
            </w:r>
          </w:p>
        </w:tc>
        <w:tc>
          <w:tcPr>
            <w:tcW w:w="5004" w:type="dxa"/>
            <w:tcBorders>
              <w:top w:val="single" w:color="auto" w:sz="12" w:space="0"/>
              <w:right w:val="single" w:color="auto" w:sz="12" w:space="0"/>
            </w:tcBorders>
            <w:vAlign w:val="center"/>
          </w:tcPr>
          <w:p w14:paraId="47077AE7">
            <w:pPr>
              <w:tabs>
                <w:tab w:val="left" w:pos="1080"/>
              </w:tabs>
              <w:spacing w:line="240" w:lineRule="auto"/>
              <w:jc w:val="center"/>
              <w:rPr>
                <w:rFonts w:ascii="Times New Roman"/>
                <w:sz w:val="21"/>
                <w:szCs w:val="21"/>
              </w:rPr>
            </w:pPr>
            <w:r>
              <w:rPr>
                <w:rFonts w:ascii="Times New Roman"/>
                <w:sz w:val="21"/>
                <w:szCs w:val="21"/>
              </w:rPr>
              <w:t>技术性能指标</w:t>
            </w:r>
          </w:p>
        </w:tc>
      </w:tr>
      <w:tr w14:paraId="5E265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950" w:type="dxa"/>
            <w:tcBorders>
              <w:left w:val="single" w:color="auto" w:sz="12" w:space="0"/>
            </w:tcBorders>
            <w:vAlign w:val="center"/>
          </w:tcPr>
          <w:p w14:paraId="14CEE9BD">
            <w:pPr>
              <w:tabs>
                <w:tab w:val="left" w:pos="1080"/>
              </w:tabs>
              <w:spacing w:line="240" w:lineRule="auto"/>
              <w:jc w:val="center"/>
              <w:rPr>
                <w:rFonts w:ascii="Times New Roman"/>
                <w:sz w:val="21"/>
                <w:szCs w:val="21"/>
              </w:rPr>
            </w:pPr>
            <w:r>
              <w:rPr>
                <w:rFonts w:ascii="Times New Roman"/>
                <w:sz w:val="21"/>
                <w:szCs w:val="21"/>
              </w:rPr>
              <w:t>阻燃性</w:t>
            </w:r>
          </w:p>
        </w:tc>
        <w:tc>
          <w:tcPr>
            <w:tcW w:w="1240" w:type="dxa"/>
            <w:vAlign w:val="center"/>
          </w:tcPr>
          <w:p w14:paraId="19C4820D">
            <w:pPr>
              <w:tabs>
                <w:tab w:val="left" w:pos="1080"/>
              </w:tabs>
              <w:spacing w:line="240" w:lineRule="auto"/>
              <w:jc w:val="center"/>
              <w:rPr>
                <w:rFonts w:ascii="Times New Roman"/>
                <w:sz w:val="21"/>
                <w:szCs w:val="21"/>
              </w:rPr>
            </w:pPr>
            <w:r>
              <w:rPr>
                <w:rFonts w:ascii="Times New Roman"/>
                <w:sz w:val="21"/>
                <w:szCs w:val="21"/>
              </w:rPr>
              <w:t>m</w:t>
            </w:r>
          </w:p>
        </w:tc>
        <w:tc>
          <w:tcPr>
            <w:tcW w:w="5004" w:type="dxa"/>
            <w:tcBorders>
              <w:right w:val="single" w:color="auto" w:sz="12" w:space="0"/>
            </w:tcBorders>
            <w:vAlign w:val="center"/>
          </w:tcPr>
          <w:p w14:paraId="18D21780">
            <w:pPr>
              <w:tabs>
                <w:tab w:val="left" w:pos="1080"/>
              </w:tabs>
              <w:spacing w:line="240" w:lineRule="auto"/>
              <w:jc w:val="center"/>
              <w:rPr>
                <w:rFonts w:ascii="Times New Roman"/>
                <w:sz w:val="21"/>
                <w:szCs w:val="21"/>
              </w:rPr>
            </w:pPr>
            <w:r>
              <w:rPr>
                <w:rFonts w:ascii="Times New Roman"/>
                <w:sz w:val="21"/>
                <w:szCs w:val="21"/>
              </w:rPr>
              <w:t>炭化高度≤2.5</w:t>
            </w:r>
          </w:p>
        </w:tc>
      </w:tr>
      <w:tr w14:paraId="5C6D2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950" w:type="dxa"/>
            <w:tcBorders>
              <w:left w:val="single" w:color="auto" w:sz="12" w:space="0"/>
            </w:tcBorders>
            <w:vAlign w:val="center"/>
          </w:tcPr>
          <w:p w14:paraId="5E1B7561">
            <w:pPr>
              <w:tabs>
                <w:tab w:val="left" w:pos="1080"/>
              </w:tabs>
              <w:spacing w:line="240" w:lineRule="auto"/>
              <w:jc w:val="center"/>
              <w:rPr>
                <w:rFonts w:ascii="Times New Roman"/>
                <w:sz w:val="21"/>
                <w:szCs w:val="21"/>
              </w:rPr>
            </w:pPr>
            <w:r>
              <w:rPr>
                <w:rFonts w:ascii="Times New Roman"/>
                <w:sz w:val="21"/>
                <w:szCs w:val="21"/>
              </w:rPr>
              <w:t>细度</w:t>
            </w:r>
          </w:p>
        </w:tc>
        <w:tc>
          <w:tcPr>
            <w:tcW w:w="1240" w:type="dxa"/>
            <w:vAlign w:val="center"/>
          </w:tcPr>
          <w:p w14:paraId="3BBB9203">
            <w:pPr>
              <w:tabs>
                <w:tab w:val="left" w:pos="1080"/>
              </w:tabs>
              <w:spacing w:line="240" w:lineRule="auto"/>
              <w:jc w:val="center"/>
              <w:rPr>
                <w:rFonts w:ascii="Times New Roman"/>
                <w:sz w:val="21"/>
                <w:szCs w:val="21"/>
              </w:rPr>
            </w:pPr>
            <w:r>
              <w:rPr>
                <w:rFonts w:ascii="Times New Roman"/>
                <w:sz w:val="21"/>
                <w:szCs w:val="21"/>
              </w:rPr>
              <w:t>μm</w:t>
            </w:r>
          </w:p>
        </w:tc>
        <w:tc>
          <w:tcPr>
            <w:tcW w:w="5004" w:type="dxa"/>
            <w:tcBorders>
              <w:right w:val="single" w:color="auto" w:sz="12" w:space="0"/>
            </w:tcBorders>
            <w:vAlign w:val="center"/>
          </w:tcPr>
          <w:p w14:paraId="7887ECE1">
            <w:pPr>
              <w:tabs>
                <w:tab w:val="left" w:pos="1080"/>
              </w:tabs>
              <w:spacing w:line="240" w:lineRule="auto"/>
              <w:jc w:val="center"/>
              <w:rPr>
                <w:rFonts w:ascii="Times New Roman"/>
                <w:sz w:val="21"/>
                <w:szCs w:val="21"/>
              </w:rPr>
            </w:pPr>
            <w:r>
              <w:rPr>
                <w:rFonts w:ascii="Times New Roman"/>
                <w:sz w:val="21"/>
                <w:szCs w:val="21"/>
              </w:rPr>
              <w:t>≤90</w:t>
            </w:r>
          </w:p>
        </w:tc>
      </w:tr>
      <w:tr w14:paraId="4C986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950" w:type="dxa"/>
            <w:tcBorders>
              <w:left w:val="single" w:color="auto" w:sz="12" w:space="0"/>
            </w:tcBorders>
            <w:vAlign w:val="center"/>
          </w:tcPr>
          <w:p w14:paraId="7BE789E5">
            <w:pPr>
              <w:tabs>
                <w:tab w:val="left" w:pos="1080"/>
              </w:tabs>
              <w:spacing w:line="240" w:lineRule="auto"/>
              <w:jc w:val="center"/>
              <w:rPr>
                <w:rFonts w:ascii="Times New Roman"/>
                <w:sz w:val="21"/>
                <w:szCs w:val="21"/>
              </w:rPr>
            </w:pPr>
            <w:r>
              <w:rPr>
                <w:rFonts w:ascii="Times New Roman"/>
                <w:sz w:val="21"/>
                <w:szCs w:val="21"/>
              </w:rPr>
              <w:t>黏度</w:t>
            </w:r>
          </w:p>
        </w:tc>
        <w:tc>
          <w:tcPr>
            <w:tcW w:w="1240" w:type="dxa"/>
            <w:vAlign w:val="center"/>
          </w:tcPr>
          <w:p w14:paraId="3596B193">
            <w:pPr>
              <w:tabs>
                <w:tab w:val="left" w:pos="1080"/>
              </w:tabs>
              <w:spacing w:line="240" w:lineRule="auto"/>
              <w:jc w:val="center"/>
              <w:rPr>
                <w:rFonts w:ascii="Times New Roman"/>
                <w:sz w:val="21"/>
                <w:szCs w:val="21"/>
              </w:rPr>
            </w:pPr>
            <w:r>
              <w:rPr>
                <w:rFonts w:ascii="Times New Roman"/>
                <w:sz w:val="21"/>
                <w:szCs w:val="21"/>
              </w:rPr>
              <w:t>s</w:t>
            </w:r>
          </w:p>
        </w:tc>
        <w:tc>
          <w:tcPr>
            <w:tcW w:w="5004" w:type="dxa"/>
            <w:tcBorders>
              <w:right w:val="single" w:color="auto" w:sz="12" w:space="0"/>
            </w:tcBorders>
            <w:vAlign w:val="center"/>
          </w:tcPr>
          <w:p w14:paraId="7ECBA43B">
            <w:pPr>
              <w:tabs>
                <w:tab w:val="left" w:pos="1080"/>
              </w:tabs>
              <w:spacing w:line="240" w:lineRule="auto"/>
              <w:jc w:val="center"/>
              <w:rPr>
                <w:rFonts w:ascii="Times New Roman"/>
                <w:sz w:val="21"/>
                <w:szCs w:val="21"/>
              </w:rPr>
            </w:pPr>
            <w:r>
              <w:rPr>
                <w:rFonts w:ascii="Times New Roman"/>
                <w:sz w:val="21"/>
                <w:szCs w:val="21"/>
              </w:rPr>
              <w:t>≥70</w:t>
            </w:r>
          </w:p>
        </w:tc>
      </w:tr>
      <w:tr w14:paraId="7FC66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950" w:type="dxa"/>
            <w:tcBorders>
              <w:left w:val="single" w:color="auto" w:sz="12" w:space="0"/>
            </w:tcBorders>
            <w:vAlign w:val="center"/>
          </w:tcPr>
          <w:p w14:paraId="7347D5DE">
            <w:pPr>
              <w:tabs>
                <w:tab w:val="left" w:pos="1080"/>
              </w:tabs>
              <w:spacing w:line="240" w:lineRule="auto"/>
              <w:jc w:val="center"/>
              <w:rPr>
                <w:rFonts w:ascii="Times New Roman"/>
                <w:sz w:val="21"/>
                <w:szCs w:val="21"/>
              </w:rPr>
            </w:pPr>
            <w:r>
              <w:rPr>
                <w:rFonts w:ascii="Times New Roman"/>
                <w:sz w:val="21"/>
                <w:szCs w:val="21"/>
              </w:rPr>
              <w:t>干燥时间</w:t>
            </w:r>
          </w:p>
        </w:tc>
        <w:tc>
          <w:tcPr>
            <w:tcW w:w="1240" w:type="dxa"/>
            <w:vAlign w:val="center"/>
          </w:tcPr>
          <w:p w14:paraId="7D13118A">
            <w:pPr>
              <w:tabs>
                <w:tab w:val="left" w:pos="1080"/>
              </w:tabs>
              <w:spacing w:line="240" w:lineRule="auto"/>
              <w:jc w:val="center"/>
              <w:rPr>
                <w:rFonts w:ascii="Times New Roman"/>
                <w:sz w:val="21"/>
                <w:szCs w:val="21"/>
              </w:rPr>
            </w:pPr>
            <w:r>
              <w:rPr>
                <w:rFonts w:ascii="Times New Roman"/>
                <w:sz w:val="21"/>
                <w:szCs w:val="21"/>
              </w:rPr>
              <w:t>h</w:t>
            </w:r>
          </w:p>
        </w:tc>
        <w:tc>
          <w:tcPr>
            <w:tcW w:w="5004" w:type="dxa"/>
            <w:tcBorders>
              <w:right w:val="single" w:color="auto" w:sz="12" w:space="0"/>
            </w:tcBorders>
            <w:vAlign w:val="center"/>
          </w:tcPr>
          <w:p w14:paraId="5D73C504">
            <w:pPr>
              <w:tabs>
                <w:tab w:val="left" w:pos="1080"/>
              </w:tabs>
              <w:spacing w:line="240" w:lineRule="auto"/>
              <w:jc w:val="center"/>
              <w:rPr>
                <w:rFonts w:ascii="Times New Roman"/>
                <w:sz w:val="21"/>
                <w:szCs w:val="21"/>
              </w:rPr>
            </w:pPr>
            <w:r>
              <w:rPr>
                <w:rFonts w:ascii="Times New Roman"/>
                <w:sz w:val="21"/>
                <w:szCs w:val="21"/>
              </w:rPr>
              <w:t>表干≤5，实干≤24</w:t>
            </w:r>
          </w:p>
        </w:tc>
      </w:tr>
      <w:tr w14:paraId="489E5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950" w:type="dxa"/>
            <w:tcBorders>
              <w:left w:val="single" w:color="auto" w:sz="12" w:space="0"/>
            </w:tcBorders>
            <w:vAlign w:val="center"/>
          </w:tcPr>
          <w:p w14:paraId="3A3107C7">
            <w:pPr>
              <w:tabs>
                <w:tab w:val="left" w:pos="1080"/>
              </w:tabs>
              <w:spacing w:line="240" w:lineRule="auto"/>
              <w:jc w:val="center"/>
              <w:rPr>
                <w:rFonts w:ascii="Times New Roman"/>
                <w:sz w:val="21"/>
                <w:szCs w:val="21"/>
              </w:rPr>
            </w:pPr>
            <w:r>
              <w:rPr>
                <w:rFonts w:ascii="Times New Roman"/>
                <w:sz w:val="21"/>
                <w:szCs w:val="21"/>
              </w:rPr>
              <w:t>耐油性</w:t>
            </w:r>
          </w:p>
        </w:tc>
        <w:tc>
          <w:tcPr>
            <w:tcW w:w="1240" w:type="dxa"/>
            <w:vAlign w:val="center"/>
          </w:tcPr>
          <w:p w14:paraId="2E842688">
            <w:pPr>
              <w:tabs>
                <w:tab w:val="left" w:pos="1080"/>
              </w:tabs>
              <w:spacing w:line="240" w:lineRule="auto"/>
              <w:jc w:val="center"/>
              <w:rPr>
                <w:rFonts w:ascii="Times New Roman"/>
                <w:sz w:val="21"/>
                <w:szCs w:val="21"/>
              </w:rPr>
            </w:pPr>
            <w:r>
              <w:rPr>
                <w:rFonts w:ascii="Times New Roman"/>
                <w:sz w:val="21"/>
                <w:szCs w:val="21"/>
              </w:rPr>
              <w:t>d</w:t>
            </w:r>
          </w:p>
        </w:tc>
        <w:tc>
          <w:tcPr>
            <w:tcW w:w="5004" w:type="dxa"/>
            <w:tcBorders>
              <w:right w:val="single" w:color="auto" w:sz="12" w:space="0"/>
            </w:tcBorders>
            <w:vAlign w:val="center"/>
          </w:tcPr>
          <w:p w14:paraId="6F0C38A1">
            <w:pPr>
              <w:tabs>
                <w:tab w:val="left" w:pos="1080"/>
              </w:tabs>
              <w:spacing w:line="240" w:lineRule="auto"/>
              <w:jc w:val="center"/>
              <w:rPr>
                <w:rFonts w:ascii="Times New Roman"/>
                <w:sz w:val="21"/>
                <w:szCs w:val="21"/>
              </w:rPr>
            </w:pPr>
            <w:r>
              <w:rPr>
                <w:rFonts w:ascii="Times New Roman"/>
                <w:sz w:val="21"/>
                <w:szCs w:val="21"/>
              </w:rPr>
              <w:t>浸泡7d，涂层无起皱、无剥落</w:t>
            </w:r>
          </w:p>
        </w:tc>
      </w:tr>
      <w:tr w14:paraId="1D072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950" w:type="dxa"/>
            <w:tcBorders>
              <w:left w:val="single" w:color="auto" w:sz="12" w:space="0"/>
            </w:tcBorders>
            <w:vAlign w:val="center"/>
          </w:tcPr>
          <w:p w14:paraId="4B06E8FF">
            <w:pPr>
              <w:tabs>
                <w:tab w:val="left" w:pos="1080"/>
              </w:tabs>
              <w:spacing w:line="240" w:lineRule="auto"/>
              <w:jc w:val="center"/>
              <w:rPr>
                <w:rFonts w:ascii="Times New Roman"/>
                <w:sz w:val="21"/>
                <w:szCs w:val="21"/>
              </w:rPr>
            </w:pPr>
            <w:r>
              <w:rPr>
                <w:rFonts w:ascii="Times New Roman"/>
                <w:sz w:val="21"/>
                <w:szCs w:val="21"/>
              </w:rPr>
              <w:t>耐盐水性</w:t>
            </w:r>
          </w:p>
        </w:tc>
        <w:tc>
          <w:tcPr>
            <w:tcW w:w="1240" w:type="dxa"/>
            <w:vAlign w:val="center"/>
          </w:tcPr>
          <w:p w14:paraId="2822D2E2">
            <w:pPr>
              <w:tabs>
                <w:tab w:val="left" w:pos="1080"/>
              </w:tabs>
              <w:spacing w:line="240" w:lineRule="auto"/>
              <w:jc w:val="center"/>
              <w:rPr>
                <w:rFonts w:ascii="Times New Roman"/>
                <w:sz w:val="21"/>
                <w:szCs w:val="21"/>
              </w:rPr>
            </w:pPr>
            <w:r>
              <w:rPr>
                <w:rFonts w:ascii="Times New Roman"/>
                <w:sz w:val="21"/>
                <w:szCs w:val="21"/>
              </w:rPr>
              <w:t>d</w:t>
            </w:r>
          </w:p>
        </w:tc>
        <w:tc>
          <w:tcPr>
            <w:tcW w:w="5004" w:type="dxa"/>
            <w:tcBorders>
              <w:right w:val="single" w:color="auto" w:sz="12" w:space="0"/>
            </w:tcBorders>
            <w:vAlign w:val="center"/>
          </w:tcPr>
          <w:p w14:paraId="2E32AE60">
            <w:pPr>
              <w:tabs>
                <w:tab w:val="left" w:pos="1080"/>
              </w:tabs>
              <w:spacing w:line="240" w:lineRule="auto"/>
              <w:jc w:val="center"/>
              <w:rPr>
                <w:rFonts w:ascii="Times New Roman"/>
                <w:sz w:val="21"/>
                <w:szCs w:val="21"/>
              </w:rPr>
            </w:pPr>
            <w:r>
              <w:rPr>
                <w:rFonts w:ascii="Times New Roman"/>
                <w:sz w:val="21"/>
                <w:szCs w:val="21"/>
              </w:rPr>
              <w:t>浸泡3d，涂层无起皱、无剥落</w:t>
            </w:r>
          </w:p>
        </w:tc>
      </w:tr>
      <w:tr w14:paraId="7E1BF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950" w:type="dxa"/>
            <w:tcBorders>
              <w:left w:val="single" w:color="auto" w:sz="12" w:space="0"/>
            </w:tcBorders>
            <w:vAlign w:val="center"/>
          </w:tcPr>
          <w:p w14:paraId="7114ED8D">
            <w:pPr>
              <w:tabs>
                <w:tab w:val="left" w:pos="1080"/>
              </w:tabs>
              <w:spacing w:line="240" w:lineRule="auto"/>
              <w:jc w:val="center"/>
              <w:rPr>
                <w:rFonts w:ascii="Times New Roman"/>
                <w:sz w:val="21"/>
                <w:szCs w:val="21"/>
              </w:rPr>
            </w:pPr>
            <w:r>
              <w:rPr>
                <w:rFonts w:ascii="Times New Roman"/>
                <w:sz w:val="21"/>
                <w:szCs w:val="21"/>
              </w:rPr>
              <w:t>耐湿热性</w:t>
            </w:r>
          </w:p>
        </w:tc>
        <w:tc>
          <w:tcPr>
            <w:tcW w:w="1240" w:type="dxa"/>
            <w:vAlign w:val="center"/>
          </w:tcPr>
          <w:p w14:paraId="037583A1">
            <w:pPr>
              <w:tabs>
                <w:tab w:val="left" w:pos="1080"/>
              </w:tabs>
              <w:spacing w:line="240" w:lineRule="auto"/>
              <w:jc w:val="center"/>
              <w:rPr>
                <w:rFonts w:ascii="Times New Roman"/>
                <w:sz w:val="21"/>
                <w:szCs w:val="21"/>
              </w:rPr>
            </w:pPr>
            <w:r>
              <w:rPr>
                <w:rFonts w:ascii="Times New Roman"/>
                <w:sz w:val="21"/>
                <w:szCs w:val="21"/>
              </w:rPr>
              <w:t>d</w:t>
            </w:r>
          </w:p>
        </w:tc>
        <w:tc>
          <w:tcPr>
            <w:tcW w:w="5004" w:type="dxa"/>
            <w:tcBorders>
              <w:right w:val="single" w:color="auto" w:sz="12" w:space="0"/>
            </w:tcBorders>
            <w:vAlign w:val="center"/>
          </w:tcPr>
          <w:p w14:paraId="36830605">
            <w:pPr>
              <w:tabs>
                <w:tab w:val="left" w:pos="1080"/>
              </w:tabs>
              <w:spacing w:line="240" w:lineRule="auto"/>
              <w:jc w:val="center"/>
              <w:rPr>
                <w:rFonts w:ascii="Times New Roman"/>
                <w:sz w:val="21"/>
                <w:szCs w:val="21"/>
              </w:rPr>
            </w:pPr>
            <w:r>
              <w:rPr>
                <w:rFonts w:ascii="Times New Roman"/>
                <w:sz w:val="21"/>
                <w:szCs w:val="21"/>
              </w:rPr>
              <w:t>经过7d试验，涂层无起泡、无脱落</w:t>
            </w:r>
          </w:p>
        </w:tc>
      </w:tr>
      <w:tr w14:paraId="21CDB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950" w:type="dxa"/>
            <w:tcBorders>
              <w:left w:val="single" w:color="auto" w:sz="12" w:space="0"/>
            </w:tcBorders>
            <w:vAlign w:val="center"/>
          </w:tcPr>
          <w:p w14:paraId="64E28CC8">
            <w:pPr>
              <w:tabs>
                <w:tab w:val="left" w:pos="1080"/>
              </w:tabs>
              <w:spacing w:line="240" w:lineRule="auto"/>
              <w:jc w:val="center"/>
              <w:rPr>
                <w:rFonts w:ascii="Times New Roman"/>
                <w:sz w:val="21"/>
                <w:szCs w:val="21"/>
              </w:rPr>
            </w:pPr>
            <w:r>
              <w:rPr>
                <w:rFonts w:ascii="Times New Roman"/>
                <w:sz w:val="21"/>
                <w:szCs w:val="21"/>
              </w:rPr>
              <w:t>耐冷热循环性</w:t>
            </w:r>
          </w:p>
        </w:tc>
        <w:tc>
          <w:tcPr>
            <w:tcW w:w="1240" w:type="dxa"/>
            <w:vAlign w:val="center"/>
          </w:tcPr>
          <w:p w14:paraId="13B34E80">
            <w:pPr>
              <w:tabs>
                <w:tab w:val="left" w:pos="1080"/>
              </w:tabs>
              <w:spacing w:line="240" w:lineRule="auto"/>
              <w:jc w:val="center"/>
              <w:rPr>
                <w:rFonts w:ascii="Times New Roman"/>
                <w:sz w:val="21"/>
                <w:szCs w:val="21"/>
              </w:rPr>
            </w:pPr>
            <w:r>
              <w:rPr>
                <w:rFonts w:ascii="Times New Roman"/>
                <w:sz w:val="21"/>
                <w:szCs w:val="21"/>
              </w:rPr>
              <w:t>次</w:t>
            </w:r>
          </w:p>
        </w:tc>
        <w:tc>
          <w:tcPr>
            <w:tcW w:w="5004" w:type="dxa"/>
            <w:tcBorders>
              <w:right w:val="single" w:color="auto" w:sz="12" w:space="0"/>
            </w:tcBorders>
            <w:vAlign w:val="center"/>
          </w:tcPr>
          <w:p w14:paraId="4B6A990B">
            <w:pPr>
              <w:tabs>
                <w:tab w:val="left" w:pos="1080"/>
              </w:tabs>
              <w:spacing w:line="240" w:lineRule="auto"/>
              <w:jc w:val="center"/>
              <w:rPr>
                <w:rFonts w:ascii="Times New Roman"/>
                <w:sz w:val="21"/>
                <w:szCs w:val="21"/>
              </w:rPr>
            </w:pPr>
            <w:r>
              <w:rPr>
                <w:rFonts w:ascii="Times New Roman"/>
                <w:sz w:val="21"/>
                <w:szCs w:val="21"/>
              </w:rPr>
              <w:t>经15次循环，涂层无起泡、无脱落</w:t>
            </w:r>
          </w:p>
        </w:tc>
      </w:tr>
      <w:tr w14:paraId="3A3C3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950" w:type="dxa"/>
            <w:tcBorders>
              <w:left w:val="single" w:color="auto" w:sz="12" w:space="0"/>
              <w:bottom w:val="single" w:color="auto" w:sz="12" w:space="0"/>
            </w:tcBorders>
            <w:vAlign w:val="center"/>
          </w:tcPr>
          <w:p w14:paraId="157BF358">
            <w:pPr>
              <w:tabs>
                <w:tab w:val="left" w:pos="1080"/>
              </w:tabs>
              <w:spacing w:line="240" w:lineRule="auto"/>
              <w:jc w:val="center"/>
              <w:rPr>
                <w:rFonts w:ascii="Times New Roman"/>
                <w:sz w:val="21"/>
                <w:szCs w:val="21"/>
              </w:rPr>
            </w:pPr>
            <w:r>
              <w:rPr>
                <w:rFonts w:ascii="Times New Roman"/>
                <w:sz w:val="21"/>
                <w:szCs w:val="21"/>
              </w:rPr>
              <w:t>抗弯性</w:t>
            </w:r>
          </w:p>
        </w:tc>
        <w:tc>
          <w:tcPr>
            <w:tcW w:w="1240" w:type="dxa"/>
            <w:tcBorders>
              <w:bottom w:val="single" w:color="auto" w:sz="12" w:space="0"/>
            </w:tcBorders>
            <w:vAlign w:val="center"/>
          </w:tcPr>
          <w:p w14:paraId="73D60647">
            <w:pPr>
              <w:tabs>
                <w:tab w:val="left" w:pos="1080"/>
              </w:tabs>
              <w:spacing w:line="240" w:lineRule="auto"/>
              <w:jc w:val="center"/>
              <w:rPr>
                <w:rFonts w:ascii="Times New Roman"/>
                <w:sz w:val="21"/>
                <w:szCs w:val="21"/>
              </w:rPr>
            </w:pPr>
          </w:p>
        </w:tc>
        <w:tc>
          <w:tcPr>
            <w:tcW w:w="5004" w:type="dxa"/>
            <w:tcBorders>
              <w:bottom w:val="single" w:color="auto" w:sz="12" w:space="0"/>
              <w:right w:val="single" w:color="auto" w:sz="12" w:space="0"/>
            </w:tcBorders>
            <w:vAlign w:val="center"/>
          </w:tcPr>
          <w:p w14:paraId="06C35371">
            <w:pPr>
              <w:tabs>
                <w:tab w:val="left" w:pos="1080"/>
              </w:tabs>
              <w:spacing w:line="240" w:lineRule="auto"/>
              <w:jc w:val="center"/>
              <w:rPr>
                <w:rFonts w:ascii="Times New Roman"/>
                <w:sz w:val="21"/>
                <w:szCs w:val="21"/>
              </w:rPr>
            </w:pPr>
            <w:r>
              <w:rPr>
                <w:rFonts w:ascii="Times New Roman"/>
                <w:sz w:val="21"/>
                <w:szCs w:val="21"/>
              </w:rPr>
              <w:t>涂层不起层、无脱落、无剥落</w:t>
            </w:r>
          </w:p>
        </w:tc>
      </w:tr>
    </w:tbl>
    <w:p w14:paraId="12CD2B43">
      <w:pPr>
        <w:adjustRightInd w:val="0"/>
        <w:snapToGrid w:val="0"/>
        <w:rPr>
          <w:rFonts w:ascii="Times New Roman"/>
          <w:szCs w:val="21"/>
        </w:rPr>
      </w:pPr>
      <w:r>
        <w:rPr>
          <w:rFonts w:ascii="Times New Roman"/>
          <w:szCs w:val="21"/>
        </w:rPr>
        <w:t>5.</w:t>
      </w:r>
      <w:r>
        <w:rPr>
          <w:rFonts w:hint="eastAsia" w:ascii="Times New Roman"/>
          <w:szCs w:val="21"/>
        </w:rPr>
        <w:t>9</w:t>
      </w:r>
      <w:r>
        <w:rPr>
          <w:rFonts w:ascii="Times New Roman"/>
          <w:szCs w:val="21"/>
        </w:rPr>
        <w:t>.2 防火封堵的安装部位</w:t>
      </w:r>
    </w:p>
    <w:p w14:paraId="5C46089C">
      <w:pPr>
        <w:numPr>
          <w:ilvl w:val="0"/>
          <w:numId w:val="28"/>
        </w:numPr>
        <w:tabs>
          <w:tab w:val="left" w:pos="480"/>
          <w:tab w:val="left" w:pos="720"/>
        </w:tabs>
        <w:adjustRightInd w:val="0"/>
        <w:snapToGrid w:val="0"/>
        <w:ind w:hanging="185"/>
        <w:rPr>
          <w:rFonts w:ascii="Times New Roman"/>
          <w:szCs w:val="21"/>
        </w:rPr>
      </w:pPr>
      <w:r>
        <w:rPr>
          <w:rFonts w:ascii="Times New Roman"/>
          <w:szCs w:val="21"/>
        </w:rPr>
        <w:t>电缆有室外进入室内的入口处；</w:t>
      </w:r>
    </w:p>
    <w:p w14:paraId="72B1C473">
      <w:pPr>
        <w:numPr>
          <w:ilvl w:val="0"/>
          <w:numId w:val="28"/>
        </w:numPr>
        <w:tabs>
          <w:tab w:val="left" w:pos="480"/>
          <w:tab w:val="left" w:pos="720"/>
        </w:tabs>
        <w:adjustRightInd w:val="0"/>
        <w:snapToGrid w:val="0"/>
        <w:ind w:hanging="185"/>
        <w:rPr>
          <w:rFonts w:ascii="Times New Roman"/>
          <w:szCs w:val="21"/>
        </w:rPr>
      </w:pPr>
      <w:r>
        <w:rPr>
          <w:rFonts w:ascii="Times New Roman"/>
          <w:szCs w:val="21"/>
        </w:rPr>
        <w:t>电缆竖井的层间楼层；</w:t>
      </w:r>
    </w:p>
    <w:p w14:paraId="1133F2EC">
      <w:pPr>
        <w:numPr>
          <w:ilvl w:val="0"/>
          <w:numId w:val="28"/>
        </w:numPr>
        <w:tabs>
          <w:tab w:val="left" w:pos="480"/>
          <w:tab w:val="left" w:pos="720"/>
        </w:tabs>
        <w:adjustRightInd w:val="0"/>
        <w:snapToGrid w:val="0"/>
        <w:ind w:hanging="185"/>
        <w:rPr>
          <w:rFonts w:ascii="Times New Roman"/>
          <w:szCs w:val="21"/>
        </w:rPr>
      </w:pPr>
      <w:r>
        <w:rPr>
          <w:rFonts w:ascii="Times New Roman"/>
          <w:szCs w:val="21"/>
        </w:rPr>
        <w:t>电缆进出竖井、廊道的出入口处；</w:t>
      </w:r>
    </w:p>
    <w:p w14:paraId="0D074244">
      <w:pPr>
        <w:numPr>
          <w:ilvl w:val="0"/>
          <w:numId w:val="28"/>
        </w:numPr>
        <w:tabs>
          <w:tab w:val="left" w:pos="480"/>
          <w:tab w:val="left" w:pos="720"/>
        </w:tabs>
        <w:adjustRightInd w:val="0"/>
        <w:snapToGrid w:val="0"/>
        <w:ind w:hanging="185"/>
        <w:rPr>
          <w:rFonts w:ascii="Times New Roman"/>
          <w:szCs w:val="21"/>
        </w:rPr>
      </w:pPr>
      <w:r>
        <w:rPr>
          <w:rFonts w:ascii="Times New Roman"/>
          <w:szCs w:val="21"/>
        </w:rPr>
        <w:t>电缆构筑物中电缆引至电气柜、盘或控制屏的开孔部位；</w:t>
      </w:r>
    </w:p>
    <w:p w14:paraId="1E730D39">
      <w:pPr>
        <w:numPr>
          <w:ilvl w:val="0"/>
          <w:numId w:val="28"/>
        </w:numPr>
        <w:tabs>
          <w:tab w:val="left" w:pos="480"/>
          <w:tab w:val="left" w:pos="720"/>
        </w:tabs>
        <w:adjustRightInd w:val="0"/>
        <w:snapToGrid w:val="0"/>
        <w:ind w:hanging="185"/>
        <w:rPr>
          <w:rFonts w:ascii="Times New Roman"/>
          <w:szCs w:val="21"/>
        </w:rPr>
      </w:pPr>
      <w:r>
        <w:rPr>
          <w:rFonts w:ascii="Times New Roman"/>
          <w:szCs w:val="21"/>
        </w:rPr>
        <w:t>电缆贯穿隔墙、楼板的孔洞处；</w:t>
      </w:r>
    </w:p>
    <w:p w14:paraId="1BACC370">
      <w:pPr>
        <w:numPr>
          <w:ilvl w:val="0"/>
          <w:numId w:val="28"/>
        </w:numPr>
        <w:tabs>
          <w:tab w:val="left" w:pos="480"/>
          <w:tab w:val="left" w:pos="720"/>
        </w:tabs>
        <w:adjustRightInd w:val="0"/>
        <w:snapToGrid w:val="0"/>
        <w:ind w:hanging="185"/>
        <w:rPr>
          <w:rFonts w:ascii="Times New Roman"/>
          <w:szCs w:val="21"/>
        </w:rPr>
      </w:pPr>
      <w:r>
        <w:rPr>
          <w:rFonts w:ascii="Times New Roman"/>
          <w:szCs w:val="21"/>
        </w:rPr>
        <w:t>主控制室或配电室与电缆夹层之间；</w:t>
      </w:r>
    </w:p>
    <w:p w14:paraId="2D0C4034">
      <w:pPr>
        <w:numPr>
          <w:ilvl w:val="0"/>
          <w:numId w:val="28"/>
        </w:numPr>
        <w:tabs>
          <w:tab w:val="left" w:pos="480"/>
          <w:tab w:val="left" w:pos="720"/>
        </w:tabs>
        <w:adjustRightInd w:val="0"/>
        <w:snapToGrid w:val="0"/>
        <w:ind w:hanging="185"/>
        <w:rPr>
          <w:rFonts w:ascii="Times New Roman"/>
          <w:szCs w:val="21"/>
        </w:rPr>
      </w:pPr>
      <w:r>
        <w:rPr>
          <w:rFonts w:ascii="Times New Roman"/>
          <w:szCs w:val="21"/>
        </w:rPr>
        <w:t>电缆转接箱内；</w:t>
      </w:r>
    </w:p>
    <w:p w14:paraId="5C0B87EB">
      <w:pPr>
        <w:numPr>
          <w:ilvl w:val="0"/>
          <w:numId w:val="28"/>
        </w:numPr>
        <w:tabs>
          <w:tab w:val="left" w:pos="480"/>
          <w:tab w:val="left" w:pos="720"/>
        </w:tabs>
        <w:adjustRightInd w:val="0"/>
        <w:snapToGrid w:val="0"/>
        <w:ind w:hanging="185"/>
        <w:rPr>
          <w:rFonts w:ascii="Times New Roman"/>
          <w:szCs w:val="21"/>
        </w:rPr>
      </w:pPr>
      <w:r>
        <w:rPr>
          <w:rFonts w:ascii="Times New Roman"/>
          <w:szCs w:val="21"/>
        </w:rPr>
        <w:t>电缆桥架水平直线走向60米部位、主电缆通道电缆桥架交叉位置；</w:t>
      </w:r>
    </w:p>
    <w:p w14:paraId="2E42E130">
      <w:pPr>
        <w:numPr>
          <w:ilvl w:val="0"/>
          <w:numId w:val="28"/>
        </w:numPr>
        <w:tabs>
          <w:tab w:val="left" w:pos="480"/>
          <w:tab w:val="left" w:pos="720"/>
        </w:tabs>
        <w:adjustRightInd w:val="0"/>
        <w:snapToGrid w:val="0"/>
        <w:ind w:hanging="185"/>
        <w:rPr>
          <w:rFonts w:ascii="Times New Roman"/>
          <w:szCs w:val="21"/>
        </w:rPr>
      </w:pPr>
      <w:r>
        <w:rPr>
          <w:rFonts w:ascii="Times New Roman"/>
          <w:szCs w:val="21"/>
        </w:rPr>
        <w:t>其他需要设置的地方。</w:t>
      </w:r>
    </w:p>
    <w:p w14:paraId="38F6DA71">
      <w:pPr>
        <w:numPr>
          <w:ilvl w:val="1"/>
          <w:numId w:val="2"/>
        </w:numPr>
        <w:spacing w:after="120" w:afterLines="50" w:line="240" w:lineRule="auto"/>
        <w:outlineLvl w:val="0"/>
        <w:rPr>
          <w:rFonts w:ascii="Times New Roman"/>
          <w:b/>
          <w:bCs/>
          <w:sz w:val="28"/>
          <w:szCs w:val="28"/>
        </w:rPr>
      </w:pPr>
      <w:bookmarkStart w:id="55" w:name="_Toc14017"/>
      <w:r>
        <w:rPr>
          <w:rFonts w:hint="eastAsia" w:ascii="Times New Roman"/>
          <w:b/>
          <w:bCs/>
          <w:sz w:val="28"/>
          <w:szCs w:val="28"/>
        </w:rPr>
        <w:t>电缆转接箱</w:t>
      </w:r>
      <w:r>
        <w:rPr>
          <w:rFonts w:ascii="Times New Roman"/>
          <w:b/>
          <w:bCs/>
          <w:sz w:val="28"/>
          <w:szCs w:val="28"/>
        </w:rPr>
        <w:t>技术要求</w:t>
      </w:r>
      <w:bookmarkEnd w:id="55"/>
    </w:p>
    <w:p w14:paraId="58864E8F">
      <w:pPr>
        <w:pStyle w:val="6"/>
        <w:ind w:left="480"/>
        <w:rPr>
          <w:rFonts w:ascii="Times New Roman"/>
          <w:szCs w:val="21"/>
        </w:rPr>
      </w:pPr>
      <w:r>
        <w:rPr>
          <w:rFonts w:ascii="Times New Roman"/>
          <w:szCs w:val="21"/>
        </w:rPr>
        <w:t>（1）</w:t>
      </w:r>
      <w:r>
        <w:rPr>
          <w:rFonts w:hint="eastAsia" w:ascii="Times New Roman"/>
          <w:szCs w:val="21"/>
        </w:rPr>
        <w:t>材料要求</w:t>
      </w:r>
    </w:p>
    <w:p w14:paraId="5C692EC5">
      <w:pPr>
        <w:widowControl/>
        <w:ind w:firstLine="480" w:firstLineChars="200"/>
        <w:jc w:val="left"/>
        <w:rPr>
          <w:rFonts w:ascii="Times New Roman"/>
        </w:rPr>
      </w:pPr>
      <w:r>
        <w:rPr>
          <w:rFonts w:hint="eastAsia" w:ascii="Times New Roman"/>
        </w:rPr>
        <w:t>电缆转接箱应能满足现场巡视要求，且不影响电缆散热；箱体</w:t>
      </w:r>
      <w:r>
        <w:rPr>
          <w:rFonts w:ascii="Times New Roman"/>
        </w:rPr>
        <w:t>活动柜门及百叶封板所用钢板采用304不锈钢钢板；包箱门及百叶封板厚度为2.0mm</w:t>
      </w:r>
      <w:r>
        <w:rPr>
          <w:rFonts w:hint="eastAsia" w:ascii="Times New Roman"/>
        </w:rPr>
        <w:t>；</w:t>
      </w:r>
      <w:r>
        <w:rPr>
          <w:rFonts w:ascii="Times New Roman"/>
        </w:rPr>
        <w:t>包箱护罩（蒙皮）厚度为1.5mm。</w:t>
      </w:r>
    </w:p>
    <w:p w14:paraId="24AA8FEA">
      <w:pPr>
        <w:pStyle w:val="6"/>
        <w:ind w:left="480"/>
        <w:rPr>
          <w:rFonts w:ascii="Times New Roman"/>
          <w:szCs w:val="21"/>
        </w:rPr>
      </w:pPr>
      <w:r>
        <w:rPr>
          <w:rFonts w:ascii="Times New Roman"/>
          <w:szCs w:val="21"/>
        </w:rPr>
        <w:t>（</w:t>
      </w:r>
      <w:r>
        <w:rPr>
          <w:rFonts w:hint="eastAsia" w:ascii="Times New Roman"/>
          <w:szCs w:val="21"/>
        </w:rPr>
        <w:t>2</w:t>
      </w:r>
      <w:r>
        <w:rPr>
          <w:rFonts w:ascii="Times New Roman"/>
          <w:szCs w:val="21"/>
        </w:rPr>
        <w:t>）</w:t>
      </w:r>
      <w:r>
        <w:rPr>
          <w:rFonts w:hint="eastAsia" w:ascii="Times New Roman"/>
          <w:szCs w:val="21"/>
        </w:rPr>
        <w:t>安装位置</w:t>
      </w:r>
    </w:p>
    <w:p w14:paraId="70C2796B">
      <w:pPr>
        <w:widowControl/>
        <w:ind w:firstLine="480" w:firstLineChars="200"/>
        <w:jc w:val="left"/>
        <w:rPr>
          <w:rFonts w:ascii="Times New Roman"/>
        </w:rPr>
      </w:pPr>
      <w:r>
        <w:rPr>
          <w:rFonts w:hint="eastAsia" w:ascii="Times New Roman"/>
        </w:rPr>
        <w:t>应在以下位置安装电缆转接箱：</w:t>
      </w:r>
      <w:r>
        <w:rPr>
          <w:rFonts w:ascii="Times New Roman"/>
        </w:rPr>
        <w:t>动力电缆之间或控制电缆之间</w:t>
      </w:r>
      <w:r>
        <w:rPr>
          <w:rFonts w:hint="eastAsia" w:ascii="Times New Roman"/>
        </w:rPr>
        <w:t>密集</w:t>
      </w:r>
      <w:r>
        <w:rPr>
          <w:rFonts w:ascii="Times New Roman"/>
        </w:rPr>
        <w:t>交叉</w:t>
      </w:r>
      <w:r>
        <w:rPr>
          <w:rFonts w:hint="eastAsia" w:ascii="Times New Roman"/>
        </w:rPr>
        <w:t>处、电缆临空敷设处、电缆密集穿墙处、廊道与竖井的交叉处以及其他的位置</w:t>
      </w:r>
      <w:r>
        <w:rPr>
          <w:rFonts w:ascii="Times New Roman"/>
        </w:rPr>
        <w:t>。</w:t>
      </w:r>
    </w:p>
    <w:p w14:paraId="77BF9AB2">
      <w:pPr>
        <w:pStyle w:val="6"/>
        <w:ind w:left="480"/>
        <w:rPr>
          <w:rFonts w:ascii="Times New Roman"/>
          <w:szCs w:val="21"/>
        </w:rPr>
      </w:pPr>
      <w:r>
        <w:rPr>
          <w:rFonts w:ascii="Times New Roman"/>
          <w:szCs w:val="21"/>
        </w:rPr>
        <w:t>（</w:t>
      </w:r>
      <w:r>
        <w:rPr>
          <w:rFonts w:hint="eastAsia" w:ascii="Times New Roman"/>
          <w:szCs w:val="21"/>
        </w:rPr>
        <w:t>3</w:t>
      </w:r>
      <w:r>
        <w:rPr>
          <w:rFonts w:ascii="Times New Roman"/>
          <w:szCs w:val="21"/>
        </w:rPr>
        <w:t>）</w:t>
      </w:r>
      <w:r>
        <w:rPr>
          <w:rFonts w:hint="eastAsia" w:ascii="Times New Roman"/>
          <w:szCs w:val="21"/>
        </w:rPr>
        <w:t>结构型式</w:t>
      </w:r>
    </w:p>
    <w:p w14:paraId="5C7BC49A">
      <w:pPr>
        <w:widowControl/>
        <w:ind w:firstLine="480" w:firstLineChars="200"/>
        <w:jc w:val="left"/>
        <w:rPr>
          <w:rFonts w:ascii="Times New Roman"/>
        </w:rPr>
      </w:pPr>
      <w:r>
        <w:rPr>
          <w:rFonts w:hint="eastAsia" w:ascii="Times New Roman"/>
        </w:rPr>
        <w:t>电缆转接箱结构型式需要据实进行设计，具体将根据现场实际情况及设置位置进行调整。</w:t>
      </w:r>
    </w:p>
    <w:p w14:paraId="79CB5E4C">
      <w:pPr>
        <w:numPr>
          <w:ilvl w:val="0"/>
          <w:numId w:val="2"/>
        </w:numPr>
        <w:spacing w:after="120" w:afterLines="50" w:line="240" w:lineRule="auto"/>
        <w:outlineLvl w:val="0"/>
        <w:rPr>
          <w:rFonts w:ascii="Times New Roman"/>
          <w:b/>
          <w:bCs/>
          <w:sz w:val="28"/>
          <w:szCs w:val="28"/>
        </w:rPr>
      </w:pPr>
      <w:bookmarkStart w:id="56" w:name="_Toc30513"/>
      <w:bookmarkStart w:id="57" w:name="_Toc20914"/>
      <w:r>
        <w:rPr>
          <w:rFonts w:hint="eastAsia" w:ascii="Times New Roman"/>
          <w:b/>
          <w:bCs/>
          <w:sz w:val="28"/>
          <w:szCs w:val="28"/>
        </w:rPr>
        <w:t>主要</w:t>
      </w:r>
      <w:r>
        <w:rPr>
          <w:rFonts w:ascii="Times New Roman"/>
          <w:b/>
          <w:bCs/>
          <w:sz w:val="28"/>
          <w:szCs w:val="28"/>
        </w:rPr>
        <w:t>工程量清单</w:t>
      </w:r>
      <w:bookmarkEnd w:id="56"/>
      <w:bookmarkEnd w:id="57"/>
    </w:p>
    <w:tbl>
      <w:tblPr>
        <w:tblStyle w:val="16"/>
        <w:tblW w:w="862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0"/>
        <w:gridCol w:w="1720"/>
        <w:gridCol w:w="1940"/>
        <w:gridCol w:w="2306"/>
        <w:gridCol w:w="820"/>
        <w:gridCol w:w="1220"/>
      </w:tblGrid>
      <w:tr w14:paraId="6BC11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0" w:type="dxa"/>
            <w:tcBorders>
              <w:tl2br w:val="nil"/>
              <w:tr2bl w:val="nil"/>
            </w:tcBorders>
            <w:shd w:val="clear" w:color="auto" w:fill="auto"/>
            <w:noWrap/>
            <w:vAlign w:val="center"/>
          </w:tcPr>
          <w:p w14:paraId="3161AB72">
            <w:pPr>
              <w:widowControl/>
              <w:spacing w:line="240" w:lineRule="auto"/>
              <w:jc w:val="center"/>
              <w:rPr>
                <w:rFonts w:hAnsi="宋体" w:cs="宋体"/>
                <w:color w:val="auto"/>
                <w:kern w:val="0"/>
                <w:sz w:val="22"/>
                <w:szCs w:val="22"/>
              </w:rPr>
            </w:pPr>
            <w:r>
              <w:rPr>
                <w:rFonts w:hint="eastAsia" w:hAnsi="宋体" w:cs="宋体"/>
                <w:color w:val="auto"/>
                <w:kern w:val="0"/>
                <w:sz w:val="22"/>
                <w:szCs w:val="22"/>
              </w:rPr>
              <w:t>序号</w:t>
            </w:r>
          </w:p>
        </w:tc>
        <w:tc>
          <w:tcPr>
            <w:tcW w:w="1720" w:type="dxa"/>
            <w:tcBorders>
              <w:tl2br w:val="nil"/>
              <w:tr2bl w:val="nil"/>
            </w:tcBorders>
            <w:shd w:val="clear" w:color="auto" w:fill="auto"/>
            <w:vAlign w:val="center"/>
          </w:tcPr>
          <w:p w14:paraId="562F8040">
            <w:pPr>
              <w:widowControl/>
              <w:spacing w:line="240" w:lineRule="auto"/>
              <w:jc w:val="center"/>
              <w:rPr>
                <w:rFonts w:hint="eastAsia" w:hAnsi="宋体" w:cs="宋体"/>
                <w:color w:val="auto"/>
                <w:kern w:val="0"/>
                <w:sz w:val="22"/>
                <w:szCs w:val="22"/>
              </w:rPr>
            </w:pPr>
            <w:r>
              <w:rPr>
                <w:rFonts w:hint="eastAsia" w:hAnsi="宋体" w:cs="宋体"/>
                <w:color w:val="auto"/>
                <w:kern w:val="0"/>
                <w:sz w:val="22"/>
                <w:szCs w:val="22"/>
              </w:rPr>
              <w:t>区域</w:t>
            </w:r>
          </w:p>
        </w:tc>
        <w:tc>
          <w:tcPr>
            <w:tcW w:w="1940" w:type="dxa"/>
            <w:tcBorders>
              <w:tl2br w:val="nil"/>
              <w:tr2bl w:val="nil"/>
            </w:tcBorders>
            <w:shd w:val="clear" w:color="auto" w:fill="auto"/>
            <w:noWrap/>
            <w:vAlign w:val="center"/>
          </w:tcPr>
          <w:p w14:paraId="131B66B5">
            <w:pPr>
              <w:widowControl/>
              <w:spacing w:line="240" w:lineRule="auto"/>
              <w:jc w:val="center"/>
              <w:rPr>
                <w:rFonts w:hint="eastAsia" w:hAnsi="宋体" w:cs="宋体"/>
                <w:color w:val="auto"/>
                <w:kern w:val="0"/>
                <w:sz w:val="22"/>
                <w:szCs w:val="22"/>
              </w:rPr>
            </w:pPr>
            <w:r>
              <w:rPr>
                <w:rFonts w:hint="eastAsia" w:hAnsi="宋体" w:cs="宋体"/>
                <w:color w:val="auto"/>
                <w:kern w:val="0"/>
                <w:sz w:val="22"/>
                <w:szCs w:val="22"/>
              </w:rPr>
              <w:t>名称</w:t>
            </w:r>
          </w:p>
        </w:tc>
        <w:tc>
          <w:tcPr>
            <w:tcW w:w="2306" w:type="dxa"/>
            <w:tcBorders>
              <w:tl2br w:val="nil"/>
              <w:tr2bl w:val="nil"/>
            </w:tcBorders>
            <w:shd w:val="clear" w:color="auto" w:fill="auto"/>
            <w:noWrap/>
            <w:vAlign w:val="center"/>
          </w:tcPr>
          <w:p w14:paraId="33DE462B">
            <w:pPr>
              <w:widowControl/>
              <w:spacing w:line="240" w:lineRule="auto"/>
              <w:jc w:val="center"/>
              <w:rPr>
                <w:rFonts w:hint="eastAsia" w:hAnsi="宋体" w:cs="宋体"/>
                <w:color w:val="auto"/>
                <w:kern w:val="0"/>
                <w:sz w:val="22"/>
                <w:szCs w:val="22"/>
              </w:rPr>
            </w:pPr>
            <w:r>
              <w:rPr>
                <w:rFonts w:hint="eastAsia" w:hAnsi="宋体" w:cs="宋体"/>
                <w:color w:val="auto"/>
                <w:kern w:val="0"/>
                <w:sz w:val="22"/>
                <w:szCs w:val="22"/>
              </w:rPr>
              <w:t>规格型号</w:t>
            </w:r>
          </w:p>
        </w:tc>
        <w:tc>
          <w:tcPr>
            <w:tcW w:w="820" w:type="dxa"/>
            <w:tcBorders>
              <w:tl2br w:val="nil"/>
              <w:tr2bl w:val="nil"/>
            </w:tcBorders>
            <w:shd w:val="clear" w:color="auto" w:fill="auto"/>
            <w:noWrap/>
            <w:vAlign w:val="center"/>
          </w:tcPr>
          <w:p w14:paraId="5999AA80">
            <w:pPr>
              <w:widowControl/>
              <w:spacing w:line="240" w:lineRule="auto"/>
              <w:jc w:val="center"/>
              <w:rPr>
                <w:rFonts w:hint="eastAsia" w:hAnsi="宋体" w:cs="宋体"/>
                <w:color w:val="auto"/>
                <w:kern w:val="0"/>
                <w:sz w:val="22"/>
                <w:szCs w:val="22"/>
              </w:rPr>
            </w:pPr>
            <w:r>
              <w:rPr>
                <w:rFonts w:hint="eastAsia" w:hAnsi="宋体" w:cs="宋体"/>
                <w:color w:val="auto"/>
                <w:kern w:val="0"/>
                <w:sz w:val="22"/>
                <w:szCs w:val="22"/>
              </w:rPr>
              <w:t>单位</w:t>
            </w:r>
          </w:p>
        </w:tc>
        <w:tc>
          <w:tcPr>
            <w:tcW w:w="1220" w:type="dxa"/>
            <w:tcBorders>
              <w:tl2br w:val="nil"/>
              <w:tr2bl w:val="nil"/>
            </w:tcBorders>
            <w:shd w:val="clear" w:color="auto" w:fill="auto"/>
            <w:noWrap/>
            <w:vAlign w:val="center"/>
          </w:tcPr>
          <w:p w14:paraId="1837321B">
            <w:pPr>
              <w:widowControl/>
              <w:spacing w:line="240" w:lineRule="auto"/>
              <w:jc w:val="center"/>
              <w:rPr>
                <w:rFonts w:hint="eastAsia" w:hAnsi="宋体" w:cs="宋体"/>
                <w:color w:val="auto"/>
                <w:kern w:val="0"/>
                <w:sz w:val="22"/>
                <w:szCs w:val="22"/>
              </w:rPr>
            </w:pPr>
            <w:r>
              <w:rPr>
                <w:rFonts w:hint="eastAsia" w:hAnsi="宋体" w:cs="宋体"/>
                <w:color w:val="auto"/>
                <w:kern w:val="0"/>
                <w:sz w:val="22"/>
                <w:szCs w:val="22"/>
                <w:lang w:val="en-US" w:eastAsia="zh-CN"/>
              </w:rPr>
              <w:t>预估</w:t>
            </w:r>
            <w:r>
              <w:rPr>
                <w:rFonts w:hint="eastAsia" w:hAnsi="宋体" w:cs="宋体"/>
                <w:color w:val="auto"/>
                <w:kern w:val="0"/>
                <w:sz w:val="22"/>
                <w:szCs w:val="22"/>
              </w:rPr>
              <w:t>数量</w:t>
            </w:r>
          </w:p>
        </w:tc>
      </w:tr>
      <w:tr w14:paraId="166E1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620" w:type="dxa"/>
            <w:tcBorders>
              <w:tl2br w:val="nil"/>
              <w:tr2bl w:val="nil"/>
            </w:tcBorders>
            <w:shd w:val="clear" w:color="000000" w:fill="FFFFFF"/>
            <w:vAlign w:val="center"/>
          </w:tcPr>
          <w:p w14:paraId="1F200489">
            <w:pPr>
              <w:widowControl/>
              <w:spacing w:line="240" w:lineRule="auto"/>
              <w:jc w:val="center"/>
              <w:rPr>
                <w:rFonts w:hAnsi="宋体" w:cs="宋体"/>
                <w:color w:val="auto"/>
                <w:kern w:val="0"/>
                <w:sz w:val="22"/>
                <w:szCs w:val="22"/>
              </w:rPr>
            </w:pPr>
            <w:r>
              <w:rPr>
                <w:rFonts w:hint="eastAsia" w:hAnsi="宋体" w:cs="宋体"/>
                <w:color w:val="auto"/>
                <w:kern w:val="0"/>
                <w:sz w:val="22"/>
                <w:szCs w:val="22"/>
              </w:rPr>
              <w:t xml:space="preserve">1 </w:t>
            </w:r>
          </w:p>
        </w:tc>
        <w:tc>
          <w:tcPr>
            <w:tcW w:w="1720" w:type="dxa"/>
            <w:vMerge w:val="restart"/>
            <w:tcBorders>
              <w:tl2br w:val="nil"/>
              <w:tr2bl w:val="nil"/>
            </w:tcBorders>
            <w:shd w:val="clear" w:color="auto" w:fill="auto"/>
            <w:vAlign w:val="center"/>
          </w:tcPr>
          <w:p w14:paraId="04B25B4E">
            <w:pPr>
              <w:widowControl/>
              <w:spacing w:line="240" w:lineRule="auto"/>
              <w:jc w:val="center"/>
              <w:rPr>
                <w:rFonts w:hint="eastAsia" w:hAnsi="宋体" w:cs="宋体"/>
                <w:color w:val="auto"/>
                <w:kern w:val="0"/>
                <w:sz w:val="22"/>
                <w:szCs w:val="22"/>
              </w:rPr>
            </w:pPr>
            <w:r>
              <w:rPr>
                <w:rFonts w:hint="eastAsia" w:hAnsi="宋体" w:cs="宋体"/>
                <w:color w:val="auto"/>
                <w:kern w:val="0"/>
                <w:sz w:val="22"/>
                <w:szCs w:val="22"/>
              </w:rPr>
              <w:t>厂房3楼水车室内与压油罐处</w:t>
            </w:r>
          </w:p>
        </w:tc>
        <w:tc>
          <w:tcPr>
            <w:tcW w:w="1940" w:type="dxa"/>
            <w:tcBorders>
              <w:tl2br w:val="nil"/>
              <w:tr2bl w:val="nil"/>
            </w:tcBorders>
            <w:shd w:val="clear" w:color="auto" w:fill="auto"/>
            <w:vAlign w:val="center"/>
          </w:tcPr>
          <w:p w14:paraId="7A389CC3">
            <w:pPr>
              <w:widowControl/>
              <w:spacing w:line="240" w:lineRule="auto"/>
              <w:jc w:val="center"/>
              <w:rPr>
                <w:rFonts w:hint="eastAsia" w:hAnsi="宋体" w:cs="宋体"/>
                <w:color w:val="auto"/>
                <w:kern w:val="0"/>
                <w:sz w:val="22"/>
                <w:szCs w:val="22"/>
              </w:rPr>
            </w:pPr>
            <w:r>
              <w:rPr>
                <w:rFonts w:hint="eastAsia" w:hAnsi="宋体" w:cs="宋体"/>
                <w:color w:val="auto"/>
                <w:kern w:val="0"/>
                <w:sz w:val="22"/>
                <w:szCs w:val="22"/>
              </w:rPr>
              <w:t>不锈钢托盘式直通桥架</w:t>
            </w:r>
          </w:p>
        </w:tc>
        <w:tc>
          <w:tcPr>
            <w:tcW w:w="2306" w:type="dxa"/>
            <w:tcBorders>
              <w:tl2br w:val="nil"/>
              <w:tr2bl w:val="nil"/>
            </w:tcBorders>
            <w:shd w:val="clear" w:color="auto" w:fill="auto"/>
            <w:vAlign w:val="center"/>
          </w:tcPr>
          <w:p w14:paraId="3009468B">
            <w:pPr>
              <w:widowControl/>
              <w:spacing w:line="240" w:lineRule="auto"/>
              <w:jc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lang w:val="en-US" w:eastAsia="zh-CN"/>
              </w:rPr>
              <w:t>DQJ-P-ZT-100×800，L=2000</w:t>
            </w:r>
          </w:p>
        </w:tc>
        <w:tc>
          <w:tcPr>
            <w:tcW w:w="820" w:type="dxa"/>
            <w:tcBorders>
              <w:tl2br w:val="nil"/>
              <w:tr2bl w:val="nil"/>
            </w:tcBorders>
            <w:shd w:val="clear" w:color="auto" w:fill="auto"/>
            <w:vAlign w:val="center"/>
          </w:tcPr>
          <w:p w14:paraId="34C1BB73">
            <w:pPr>
              <w:widowControl/>
              <w:spacing w:line="240" w:lineRule="auto"/>
              <w:jc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lang w:val="en-US" w:eastAsia="zh-CN"/>
              </w:rPr>
              <w:t>套</w:t>
            </w:r>
          </w:p>
        </w:tc>
        <w:tc>
          <w:tcPr>
            <w:tcW w:w="1220" w:type="dxa"/>
            <w:tcBorders>
              <w:tl2br w:val="nil"/>
              <w:tr2bl w:val="nil"/>
            </w:tcBorders>
            <w:shd w:val="clear" w:color="auto" w:fill="auto"/>
            <w:vAlign w:val="center"/>
          </w:tcPr>
          <w:p w14:paraId="47BF465E">
            <w:pPr>
              <w:widowControl/>
              <w:spacing w:line="240" w:lineRule="auto"/>
              <w:jc w:val="center"/>
              <w:rPr>
                <w:rFonts w:hint="default" w:ascii="宋体" w:hAnsi="宋体" w:eastAsia="宋体" w:cs="宋体"/>
                <w:color w:val="auto"/>
                <w:kern w:val="0"/>
                <w:sz w:val="22"/>
                <w:szCs w:val="22"/>
                <w:lang w:val="en-US"/>
              </w:rPr>
            </w:pPr>
            <w:r>
              <w:rPr>
                <w:rFonts w:hint="eastAsia" w:ascii="宋体" w:hAnsi="宋体" w:eastAsia="宋体" w:cs="宋体"/>
                <w:color w:val="auto"/>
                <w:kern w:val="0"/>
                <w:sz w:val="22"/>
                <w:szCs w:val="22"/>
                <w:lang w:val="en-US" w:eastAsia="zh-CN"/>
              </w:rPr>
              <w:t>1</w:t>
            </w:r>
            <w:r>
              <w:rPr>
                <w:rFonts w:hint="eastAsia" w:hAnsi="宋体" w:cs="宋体"/>
                <w:color w:val="auto"/>
                <w:kern w:val="0"/>
                <w:sz w:val="22"/>
                <w:szCs w:val="22"/>
                <w:lang w:val="en-US" w:eastAsia="zh-CN"/>
              </w:rPr>
              <w:t>0</w:t>
            </w:r>
          </w:p>
        </w:tc>
      </w:tr>
      <w:tr w14:paraId="32A50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620" w:type="dxa"/>
            <w:tcBorders>
              <w:tl2br w:val="nil"/>
              <w:tr2bl w:val="nil"/>
            </w:tcBorders>
            <w:shd w:val="clear" w:color="000000" w:fill="FFFFFF"/>
            <w:vAlign w:val="center"/>
          </w:tcPr>
          <w:p w14:paraId="2BF84458">
            <w:pPr>
              <w:widowControl/>
              <w:spacing w:line="240" w:lineRule="auto"/>
              <w:jc w:val="center"/>
              <w:rPr>
                <w:rFonts w:hAnsi="宋体" w:cs="宋体"/>
                <w:color w:val="auto"/>
                <w:kern w:val="0"/>
                <w:sz w:val="22"/>
                <w:szCs w:val="22"/>
              </w:rPr>
            </w:pPr>
            <w:r>
              <w:rPr>
                <w:rFonts w:hint="eastAsia" w:hAnsi="宋体" w:cs="宋体"/>
                <w:color w:val="auto"/>
                <w:kern w:val="0"/>
                <w:sz w:val="22"/>
                <w:szCs w:val="22"/>
              </w:rPr>
              <w:t xml:space="preserve">2 </w:t>
            </w:r>
          </w:p>
        </w:tc>
        <w:tc>
          <w:tcPr>
            <w:tcW w:w="1720" w:type="dxa"/>
            <w:vMerge w:val="continue"/>
            <w:tcBorders>
              <w:tl2br w:val="nil"/>
              <w:tr2bl w:val="nil"/>
            </w:tcBorders>
            <w:vAlign w:val="center"/>
          </w:tcPr>
          <w:p w14:paraId="5BB0D036">
            <w:pPr>
              <w:widowControl/>
              <w:spacing w:line="240" w:lineRule="auto"/>
              <w:jc w:val="left"/>
              <w:rPr>
                <w:rFonts w:hAnsi="宋体" w:cs="宋体"/>
                <w:color w:val="auto"/>
                <w:kern w:val="0"/>
                <w:sz w:val="22"/>
                <w:szCs w:val="22"/>
              </w:rPr>
            </w:pPr>
          </w:p>
        </w:tc>
        <w:tc>
          <w:tcPr>
            <w:tcW w:w="1940" w:type="dxa"/>
            <w:tcBorders>
              <w:tl2br w:val="nil"/>
              <w:tr2bl w:val="nil"/>
            </w:tcBorders>
            <w:shd w:val="clear" w:color="auto" w:fill="auto"/>
            <w:vAlign w:val="center"/>
          </w:tcPr>
          <w:p w14:paraId="330451B6">
            <w:pPr>
              <w:widowControl/>
              <w:spacing w:line="240" w:lineRule="auto"/>
              <w:jc w:val="center"/>
              <w:rPr>
                <w:rFonts w:hint="eastAsia" w:ascii="宋体" w:hAnsi="宋体" w:eastAsia="宋体" w:cs="宋体"/>
                <w:color w:val="auto"/>
                <w:kern w:val="0"/>
                <w:sz w:val="22"/>
                <w:szCs w:val="22"/>
                <w:lang w:val="en-US" w:eastAsia="zh-CN" w:bidi="ar-SA"/>
              </w:rPr>
            </w:pPr>
            <w:r>
              <w:rPr>
                <w:rFonts w:hint="eastAsia" w:hAnsi="宋体" w:cs="宋体"/>
                <w:color w:val="auto"/>
                <w:kern w:val="0"/>
                <w:sz w:val="22"/>
                <w:szCs w:val="22"/>
              </w:rPr>
              <w:t>不锈钢托盘式直通桥架</w:t>
            </w:r>
          </w:p>
        </w:tc>
        <w:tc>
          <w:tcPr>
            <w:tcW w:w="2306" w:type="dxa"/>
            <w:tcBorders>
              <w:tl2br w:val="nil"/>
              <w:tr2bl w:val="nil"/>
            </w:tcBorders>
            <w:shd w:val="clear" w:color="auto" w:fill="auto"/>
            <w:vAlign w:val="center"/>
          </w:tcPr>
          <w:p w14:paraId="22CD35C6">
            <w:pPr>
              <w:widowControl/>
              <w:spacing w:line="240" w:lineRule="auto"/>
              <w:jc w:val="center"/>
              <w:rPr>
                <w:rFonts w:hint="eastAsia" w:ascii="宋体" w:hAnsi="宋体" w:eastAsia="宋体" w:cs="宋体"/>
                <w:color w:val="auto"/>
                <w:kern w:val="0"/>
                <w:sz w:val="22"/>
                <w:szCs w:val="22"/>
                <w:lang w:val="en-US" w:eastAsia="zh-CN" w:bidi="ar-SA"/>
              </w:rPr>
            </w:pPr>
            <w:r>
              <w:rPr>
                <w:rFonts w:hint="eastAsia" w:ascii="宋体" w:hAnsi="宋体" w:eastAsia="宋体" w:cs="宋体"/>
                <w:color w:val="auto"/>
                <w:kern w:val="0"/>
                <w:sz w:val="22"/>
                <w:szCs w:val="22"/>
                <w:lang w:val="en-US" w:eastAsia="zh-CN"/>
              </w:rPr>
              <w:t>DQJ-P-ZT-100×500，L=2000</w:t>
            </w:r>
          </w:p>
        </w:tc>
        <w:tc>
          <w:tcPr>
            <w:tcW w:w="820" w:type="dxa"/>
            <w:tcBorders>
              <w:tl2br w:val="nil"/>
              <w:tr2bl w:val="nil"/>
            </w:tcBorders>
            <w:shd w:val="clear" w:color="auto" w:fill="auto"/>
            <w:vAlign w:val="center"/>
          </w:tcPr>
          <w:p w14:paraId="620F5236">
            <w:pPr>
              <w:widowControl/>
              <w:spacing w:line="240" w:lineRule="auto"/>
              <w:jc w:val="center"/>
              <w:rPr>
                <w:rFonts w:hint="eastAsia" w:ascii="宋体" w:hAnsi="宋体" w:eastAsia="宋体" w:cs="宋体"/>
                <w:color w:val="auto"/>
                <w:kern w:val="0"/>
                <w:sz w:val="22"/>
                <w:szCs w:val="22"/>
                <w:lang w:val="en-US" w:eastAsia="zh-CN" w:bidi="ar-SA"/>
              </w:rPr>
            </w:pPr>
            <w:r>
              <w:rPr>
                <w:rFonts w:hint="eastAsia" w:ascii="宋体" w:hAnsi="宋体" w:eastAsia="宋体" w:cs="宋体"/>
                <w:color w:val="auto"/>
                <w:kern w:val="0"/>
                <w:sz w:val="22"/>
                <w:szCs w:val="22"/>
                <w:lang w:val="en-US" w:eastAsia="zh-CN"/>
              </w:rPr>
              <w:t>套</w:t>
            </w:r>
          </w:p>
        </w:tc>
        <w:tc>
          <w:tcPr>
            <w:tcW w:w="1220" w:type="dxa"/>
            <w:tcBorders>
              <w:tl2br w:val="nil"/>
              <w:tr2bl w:val="nil"/>
            </w:tcBorders>
            <w:shd w:val="clear" w:color="auto" w:fill="auto"/>
            <w:vAlign w:val="center"/>
          </w:tcPr>
          <w:p w14:paraId="72CA91B1">
            <w:pPr>
              <w:widowControl/>
              <w:spacing w:line="240" w:lineRule="auto"/>
              <w:jc w:val="center"/>
              <w:rPr>
                <w:rFonts w:hint="default" w:ascii="宋体" w:hAnsi="宋体" w:eastAsia="宋体" w:cs="宋体"/>
                <w:color w:val="auto"/>
                <w:kern w:val="0"/>
                <w:sz w:val="22"/>
                <w:szCs w:val="22"/>
                <w:lang w:val="en-US" w:eastAsia="zh-CN" w:bidi="ar-SA"/>
              </w:rPr>
            </w:pPr>
            <w:r>
              <w:rPr>
                <w:rFonts w:hint="eastAsia" w:hAnsi="宋体" w:cs="宋体"/>
                <w:color w:val="auto"/>
                <w:kern w:val="0"/>
                <w:sz w:val="22"/>
                <w:szCs w:val="22"/>
                <w:lang w:val="en-US" w:eastAsia="zh-CN" w:bidi="ar-SA"/>
              </w:rPr>
              <w:t>4</w:t>
            </w:r>
          </w:p>
        </w:tc>
      </w:tr>
      <w:tr w14:paraId="68145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620" w:type="dxa"/>
            <w:tcBorders>
              <w:tl2br w:val="nil"/>
              <w:tr2bl w:val="nil"/>
            </w:tcBorders>
            <w:shd w:val="clear" w:color="000000" w:fill="FFFFFF"/>
            <w:vAlign w:val="center"/>
          </w:tcPr>
          <w:p w14:paraId="63757D82">
            <w:pPr>
              <w:widowControl/>
              <w:spacing w:line="240" w:lineRule="auto"/>
              <w:jc w:val="center"/>
              <w:rPr>
                <w:rFonts w:hAnsi="宋体" w:cs="宋体"/>
                <w:color w:val="auto"/>
                <w:kern w:val="0"/>
                <w:sz w:val="22"/>
                <w:szCs w:val="22"/>
              </w:rPr>
            </w:pPr>
            <w:r>
              <w:rPr>
                <w:rFonts w:hint="eastAsia" w:hAnsi="宋体" w:cs="宋体"/>
                <w:color w:val="auto"/>
                <w:kern w:val="0"/>
                <w:sz w:val="22"/>
                <w:szCs w:val="22"/>
              </w:rPr>
              <w:t xml:space="preserve">3 </w:t>
            </w:r>
          </w:p>
        </w:tc>
        <w:tc>
          <w:tcPr>
            <w:tcW w:w="1720" w:type="dxa"/>
            <w:vMerge w:val="continue"/>
            <w:tcBorders>
              <w:tl2br w:val="nil"/>
              <w:tr2bl w:val="nil"/>
            </w:tcBorders>
            <w:vAlign w:val="center"/>
          </w:tcPr>
          <w:p w14:paraId="30F20234">
            <w:pPr>
              <w:widowControl/>
              <w:spacing w:line="240" w:lineRule="auto"/>
              <w:jc w:val="left"/>
              <w:rPr>
                <w:rFonts w:hAnsi="宋体" w:cs="宋体"/>
                <w:color w:val="auto"/>
                <w:kern w:val="0"/>
                <w:sz w:val="22"/>
                <w:szCs w:val="22"/>
              </w:rPr>
            </w:pPr>
          </w:p>
        </w:tc>
        <w:tc>
          <w:tcPr>
            <w:tcW w:w="1940" w:type="dxa"/>
            <w:tcBorders>
              <w:tl2br w:val="nil"/>
              <w:tr2bl w:val="nil"/>
            </w:tcBorders>
            <w:shd w:val="clear" w:color="auto" w:fill="auto"/>
            <w:vAlign w:val="center"/>
          </w:tcPr>
          <w:p w14:paraId="2A74519E">
            <w:pPr>
              <w:widowControl/>
              <w:spacing w:line="240" w:lineRule="auto"/>
              <w:jc w:val="center"/>
              <w:rPr>
                <w:rFonts w:hint="eastAsia" w:ascii="宋体" w:hAnsi="宋体" w:eastAsia="宋体" w:cs="宋体"/>
                <w:color w:val="auto"/>
                <w:kern w:val="0"/>
                <w:sz w:val="22"/>
                <w:szCs w:val="22"/>
                <w:lang w:val="en-US" w:eastAsia="zh-CN" w:bidi="ar-SA"/>
              </w:rPr>
            </w:pPr>
            <w:r>
              <w:rPr>
                <w:rFonts w:hint="eastAsia" w:hAnsi="宋体" w:cs="宋体"/>
                <w:color w:val="auto"/>
                <w:kern w:val="0"/>
                <w:sz w:val="22"/>
                <w:szCs w:val="22"/>
              </w:rPr>
              <w:t>不锈钢托盘式直通桥架</w:t>
            </w:r>
          </w:p>
        </w:tc>
        <w:tc>
          <w:tcPr>
            <w:tcW w:w="2306" w:type="dxa"/>
            <w:tcBorders>
              <w:tl2br w:val="nil"/>
              <w:tr2bl w:val="nil"/>
            </w:tcBorders>
            <w:shd w:val="clear" w:color="auto" w:fill="auto"/>
            <w:vAlign w:val="center"/>
          </w:tcPr>
          <w:p w14:paraId="3766DF81">
            <w:pPr>
              <w:widowControl/>
              <w:spacing w:line="240" w:lineRule="auto"/>
              <w:jc w:val="center"/>
              <w:rPr>
                <w:rFonts w:hint="eastAsia" w:ascii="宋体" w:hAnsi="宋体" w:eastAsia="宋体" w:cs="宋体"/>
                <w:color w:val="auto"/>
                <w:kern w:val="0"/>
                <w:sz w:val="22"/>
                <w:szCs w:val="22"/>
                <w:lang w:val="en-US" w:eastAsia="zh-CN" w:bidi="ar-SA"/>
              </w:rPr>
            </w:pPr>
            <w:r>
              <w:rPr>
                <w:rFonts w:hint="eastAsia" w:ascii="宋体" w:hAnsi="宋体" w:eastAsia="宋体" w:cs="宋体"/>
                <w:color w:val="auto"/>
                <w:kern w:val="0"/>
                <w:sz w:val="22"/>
                <w:szCs w:val="22"/>
                <w:lang w:val="en-US" w:eastAsia="zh-CN"/>
              </w:rPr>
              <w:t>DQJ-P-ZT-150×400，L=2000</w:t>
            </w:r>
          </w:p>
        </w:tc>
        <w:tc>
          <w:tcPr>
            <w:tcW w:w="820" w:type="dxa"/>
            <w:tcBorders>
              <w:tl2br w:val="nil"/>
              <w:tr2bl w:val="nil"/>
            </w:tcBorders>
            <w:shd w:val="clear" w:color="auto" w:fill="auto"/>
            <w:vAlign w:val="center"/>
          </w:tcPr>
          <w:p w14:paraId="28926711">
            <w:pPr>
              <w:widowControl/>
              <w:spacing w:line="240" w:lineRule="auto"/>
              <w:jc w:val="center"/>
              <w:rPr>
                <w:rFonts w:hint="eastAsia" w:ascii="宋体" w:hAnsi="宋体" w:eastAsia="宋体" w:cs="宋体"/>
                <w:color w:val="auto"/>
                <w:kern w:val="0"/>
                <w:sz w:val="22"/>
                <w:szCs w:val="22"/>
                <w:lang w:val="en-US" w:eastAsia="zh-CN" w:bidi="ar-SA"/>
              </w:rPr>
            </w:pPr>
            <w:r>
              <w:rPr>
                <w:rFonts w:hint="eastAsia" w:ascii="宋体" w:hAnsi="宋体" w:eastAsia="宋体" w:cs="宋体"/>
                <w:color w:val="auto"/>
                <w:kern w:val="0"/>
                <w:sz w:val="22"/>
                <w:szCs w:val="22"/>
                <w:lang w:val="en-US" w:eastAsia="zh-CN"/>
              </w:rPr>
              <w:t>套</w:t>
            </w:r>
          </w:p>
        </w:tc>
        <w:tc>
          <w:tcPr>
            <w:tcW w:w="1220" w:type="dxa"/>
            <w:tcBorders>
              <w:tl2br w:val="nil"/>
              <w:tr2bl w:val="nil"/>
            </w:tcBorders>
            <w:shd w:val="clear" w:color="auto" w:fill="auto"/>
            <w:vAlign w:val="center"/>
          </w:tcPr>
          <w:p w14:paraId="48D958F0">
            <w:pPr>
              <w:widowControl/>
              <w:spacing w:line="240" w:lineRule="auto"/>
              <w:jc w:val="center"/>
              <w:rPr>
                <w:rFonts w:hint="eastAsia" w:ascii="宋体" w:hAnsi="宋体" w:eastAsia="宋体" w:cs="宋体"/>
                <w:color w:val="auto"/>
                <w:kern w:val="0"/>
                <w:sz w:val="22"/>
                <w:szCs w:val="22"/>
                <w:lang w:val="en-US" w:eastAsia="zh-CN" w:bidi="ar-SA"/>
              </w:rPr>
            </w:pPr>
            <w:r>
              <w:rPr>
                <w:rFonts w:hint="eastAsia" w:ascii="宋体" w:hAnsi="宋体" w:eastAsia="宋体" w:cs="宋体"/>
                <w:color w:val="auto"/>
                <w:kern w:val="0"/>
                <w:sz w:val="22"/>
                <w:szCs w:val="22"/>
                <w:lang w:val="en-US" w:eastAsia="zh-CN"/>
              </w:rPr>
              <w:t xml:space="preserve">4 </w:t>
            </w:r>
          </w:p>
        </w:tc>
      </w:tr>
      <w:tr w14:paraId="48A09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620" w:type="dxa"/>
            <w:tcBorders>
              <w:tl2br w:val="nil"/>
              <w:tr2bl w:val="nil"/>
            </w:tcBorders>
            <w:shd w:val="clear" w:color="000000" w:fill="FFFFFF"/>
            <w:vAlign w:val="center"/>
          </w:tcPr>
          <w:p w14:paraId="490E0FBA">
            <w:pPr>
              <w:widowControl/>
              <w:spacing w:line="240" w:lineRule="auto"/>
              <w:jc w:val="center"/>
              <w:rPr>
                <w:rFonts w:hAnsi="宋体" w:cs="宋体"/>
                <w:color w:val="auto"/>
                <w:kern w:val="0"/>
                <w:sz w:val="22"/>
                <w:szCs w:val="22"/>
              </w:rPr>
            </w:pPr>
            <w:r>
              <w:rPr>
                <w:rFonts w:hint="eastAsia" w:hAnsi="宋体" w:cs="宋体"/>
                <w:color w:val="auto"/>
                <w:kern w:val="0"/>
                <w:sz w:val="22"/>
                <w:szCs w:val="22"/>
              </w:rPr>
              <w:t xml:space="preserve">4 </w:t>
            </w:r>
          </w:p>
        </w:tc>
        <w:tc>
          <w:tcPr>
            <w:tcW w:w="1720" w:type="dxa"/>
            <w:vMerge w:val="continue"/>
            <w:tcBorders>
              <w:tl2br w:val="nil"/>
              <w:tr2bl w:val="nil"/>
            </w:tcBorders>
            <w:vAlign w:val="center"/>
          </w:tcPr>
          <w:p w14:paraId="251516D8">
            <w:pPr>
              <w:widowControl/>
              <w:spacing w:line="240" w:lineRule="auto"/>
              <w:jc w:val="left"/>
              <w:rPr>
                <w:rFonts w:hAnsi="宋体" w:cs="宋体"/>
                <w:color w:val="auto"/>
                <w:kern w:val="0"/>
                <w:sz w:val="22"/>
                <w:szCs w:val="22"/>
              </w:rPr>
            </w:pPr>
          </w:p>
        </w:tc>
        <w:tc>
          <w:tcPr>
            <w:tcW w:w="1940" w:type="dxa"/>
            <w:tcBorders>
              <w:tl2br w:val="nil"/>
              <w:tr2bl w:val="nil"/>
            </w:tcBorders>
            <w:shd w:val="clear" w:color="auto" w:fill="auto"/>
            <w:vAlign w:val="center"/>
          </w:tcPr>
          <w:p w14:paraId="18E32629">
            <w:pPr>
              <w:widowControl/>
              <w:spacing w:line="240" w:lineRule="auto"/>
              <w:jc w:val="center"/>
              <w:rPr>
                <w:rFonts w:hint="eastAsia" w:ascii="宋体" w:hAnsi="宋体" w:eastAsia="宋体" w:cs="宋体"/>
                <w:color w:val="auto"/>
                <w:kern w:val="0"/>
                <w:sz w:val="22"/>
                <w:szCs w:val="22"/>
                <w:lang w:val="en-US" w:eastAsia="zh-CN" w:bidi="ar-SA"/>
              </w:rPr>
            </w:pPr>
            <w:r>
              <w:rPr>
                <w:rFonts w:hint="eastAsia" w:hAnsi="宋体" w:cs="宋体"/>
                <w:color w:val="auto"/>
                <w:kern w:val="0"/>
                <w:sz w:val="22"/>
                <w:szCs w:val="22"/>
              </w:rPr>
              <w:t>不锈钢托盘式直通桥架</w:t>
            </w:r>
          </w:p>
        </w:tc>
        <w:tc>
          <w:tcPr>
            <w:tcW w:w="2306" w:type="dxa"/>
            <w:tcBorders>
              <w:tl2br w:val="nil"/>
              <w:tr2bl w:val="nil"/>
            </w:tcBorders>
            <w:shd w:val="clear" w:color="auto" w:fill="auto"/>
            <w:vAlign w:val="center"/>
          </w:tcPr>
          <w:p w14:paraId="7C155426">
            <w:pPr>
              <w:widowControl/>
              <w:spacing w:line="240" w:lineRule="auto"/>
              <w:jc w:val="center"/>
              <w:rPr>
                <w:rFonts w:hint="eastAsia" w:ascii="宋体" w:hAnsi="宋体" w:eastAsia="宋体" w:cs="宋体"/>
                <w:color w:val="auto"/>
                <w:kern w:val="0"/>
                <w:sz w:val="22"/>
                <w:szCs w:val="22"/>
                <w:lang w:val="en-US" w:eastAsia="zh-CN" w:bidi="ar-SA"/>
              </w:rPr>
            </w:pPr>
            <w:r>
              <w:rPr>
                <w:rFonts w:hint="eastAsia" w:ascii="宋体" w:hAnsi="宋体" w:eastAsia="宋体" w:cs="宋体"/>
                <w:color w:val="auto"/>
                <w:kern w:val="0"/>
                <w:sz w:val="22"/>
                <w:szCs w:val="22"/>
                <w:lang w:val="en-US" w:eastAsia="zh-CN"/>
              </w:rPr>
              <w:t>DQJ-P-ZT-150×300，L=2000</w:t>
            </w:r>
          </w:p>
        </w:tc>
        <w:tc>
          <w:tcPr>
            <w:tcW w:w="820" w:type="dxa"/>
            <w:tcBorders>
              <w:tl2br w:val="nil"/>
              <w:tr2bl w:val="nil"/>
            </w:tcBorders>
            <w:shd w:val="clear" w:color="auto" w:fill="auto"/>
            <w:vAlign w:val="center"/>
          </w:tcPr>
          <w:p w14:paraId="2D4F45F7">
            <w:pPr>
              <w:widowControl/>
              <w:spacing w:line="240" w:lineRule="auto"/>
              <w:jc w:val="center"/>
              <w:rPr>
                <w:rFonts w:hint="eastAsia" w:ascii="宋体" w:hAnsi="宋体" w:eastAsia="宋体" w:cs="宋体"/>
                <w:color w:val="auto"/>
                <w:kern w:val="0"/>
                <w:sz w:val="22"/>
                <w:szCs w:val="22"/>
                <w:lang w:val="en-US" w:eastAsia="zh-CN" w:bidi="ar-SA"/>
              </w:rPr>
            </w:pPr>
            <w:r>
              <w:rPr>
                <w:rFonts w:hint="eastAsia" w:ascii="宋体" w:hAnsi="宋体" w:eastAsia="宋体" w:cs="宋体"/>
                <w:color w:val="auto"/>
                <w:kern w:val="0"/>
                <w:sz w:val="22"/>
                <w:szCs w:val="22"/>
                <w:lang w:val="en-US" w:eastAsia="zh-CN"/>
              </w:rPr>
              <w:t>套</w:t>
            </w:r>
          </w:p>
        </w:tc>
        <w:tc>
          <w:tcPr>
            <w:tcW w:w="1220" w:type="dxa"/>
            <w:tcBorders>
              <w:tl2br w:val="nil"/>
              <w:tr2bl w:val="nil"/>
            </w:tcBorders>
            <w:shd w:val="clear" w:color="auto" w:fill="auto"/>
            <w:vAlign w:val="center"/>
          </w:tcPr>
          <w:p w14:paraId="0CC48E31">
            <w:pPr>
              <w:widowControl/>
              <w:spacing w:line="240" w:lineRule="auto"/>
              <w:jc w:val="center"/>
              <w:rPr>
                <w:rFonts w:hint="eastAsia" w:ascii="宋体" w:hAnsi="宋体" w:eastAsia="宋体" w:cs="宋体"/>
                <w:color w:val="auto"/>
                <w:kern w:val="0"/>
                <w:sz w:val="22"/>
                <w:szCs w:val="22"/>
                <w:lang w:val="en-US" w:eastAsia="zh-CN" w:bidi="ar-SA"/>
              </w:rPr>
            </w:pPr>
            <w:r>
              <w:rPr>
                <w:rFonts w:hint="eastAsia" w:ascii="宋体" w:hAnsi="宋体" w:eastAsia="宋体" w:cs="宋体"/>
                <w:color w:val="auto"/>
                <w:kern w:val="0"/>
                <w:sz w:val="22"/>
                <w:szCs w:val="22"/>
                <w:lang w:val="en-US" w:eastAsia="zh-CN"/>
              </w:rPr>
              <w:t xml:space="preserve">8 </w:t>
            </w:r>
          </w:p>
        </w:tc>
      </w:tr>
      <w:tr w14:paraId="45F05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620" w:type="dxa"/>
            <w:tcBorders>
              <w:tl2br w:val="nil"/>
              <w:tr2bl w:val="nil"/>
            </w:tcBorders>
            <w:shd w:val="clear" w:color="000000" w:fill="FFFFFF"/>
            <w:vAlign w:val="center"/>
          </w:tcPr>
          <w:p w14:paraId="7BCF9A8B">
            <w:pPr>
              <w:widowControl/>
              <w:spacing w:line="240" w:lineRule="auto"/>
              <w:jc w:val="center"/>
              <w:rPr>
                <w:rFonts w:hAnsi="宋体" w:cs="宋体"/>
                <w:color w:val="auto"/>
                <w:kern w:val="0"/>
                <w:sz w:val="22"/>
                <w:szCs w:val="22"/>
              </w:rPr>
            </w:pPr>
            <w:r>
              <w:rPr>
                <w:rFonts w:hint="eastAsia" w:hAnsi="宋体" w:cs="宋体"/>
                <w:color w:val="auto"/>
                <w:kern w:val="0"/>
                <w:sz w:val="22"/>
                <w:szCs w:val="22"/>
              </w:rPr>
              <w:t xml:space="preserve">5 </w:t>
            </w:r>
          </w:p>
        </w:tc>
        <w:tc>
          <w:tcPr>
            <w:tcW w:w="1720" w:type="dxa"/>
            <w:vMerge w:val="continue"/>
            <w:tcBorders>
              <w:tl2br w:val="nil"/>
              <w:tr2bl w:val="nil"/>
            </w:tcBorders>
            <w:vAlign w:val="center"/>
          </w:tcPr>
          <w:p w14:paraId="2DE944BB">
            <w:pPr>
              <w:widowControl/>
              <w:spacing w:line="240" w:lineRule="auto"/>
              <w:jc w:val="left"/>
              <w:rPr>
                <w:rFonts w:hAnsi="宋体" w:cs="宋体"/>
                <w:color w:val="auto"/>
                <w:kern w:val="0"/>
                <w:sz w:val="22"/>
                <w:szCs w:val="22"/>
              </w:rPr>
            </w:pPr>
          </w:p>
        </w:tc>
        <w:tc>
          <w:tcPr>
            <w:tcW w:w="1940" w:type="dxa"/>
            <w:tcBorders>
              <w:tl2br w:val="nil"/>
              <w:tr2bl w:val="nil"/>
            </w:tcBorders>
            <w:shd w:val="clear" w:color="auto" w:fill="auto"/>
            <w:vAlign w:val="center"/>
          </w:tcPr>
          <w:p w14:paraId="7FE72AEB">
            <w:pPr>
              <w:widowControl/>
              <w:spacing w:line="240" w:lineRule="auto"/>
              <w:jc w:val="center"/>
              <w:rPr>
                <w:rFonts w:hint="eastAsia" w:ascii="宋体" w:hAnsi="宋体" w:eastAsia="宋体" w:cs="宋体"/>
                <w:color w:val="auto"/>
                <w:kern w:val="0"/>
                <w:sz w:val="22"/>
                <w:szCs w:val="22"/>
                <w:lang w:val="en-US" w:eastAsia="zh-CN" w:bidi="ar-SA"/>
              </w:rPr>
            </w:pPr>
            <w:r>
              <w:rPr>
                <w:rFonts w:hint="eastAsia" w:hAnsi="宋体" w:cs="宋体"/>
                <w:color w:val="auto"/>
                <w:kern w:val="0"/>
                <w:sz w:val="22"/>
                <w:szCs w:val="22"/>
              </w:rPr>
              <w:t>不锈钢托盘式直通桥架</w:t>
            </w:r>
          </w:p>
        </w:tc>
        <w:tc>
          <w:tcPr>
            <w:tcW w:w="2306" w:type="dxa"/>
            <w:tcBorders>
              <w:tl2br w:val="nil"/>
              <w:tr2bl w:val="nil"/>
            </w:tcBorders>
            <w:shd w:val="clear" w:color="auto" w:fill="auto"/>
            <w:vAlign w:val="center"/>
          </w:tcPr>
          <w:p w14:paraId="65450254">
            <w:pPr>
              <w:widowControl/>
              <w:spacing w:line="240" w:lineRule="auto"/>
              <w:jc w:val="center"/>
              <w:rPr>
                <w:rFonts w:hint="eastAsia" w:ascii="宋体" w:hAnsi="宋体" w:eastAsia="宋体" w:cs="宋体"/>
                <w:color w:val="auto"/>
                <w:kern w:val="0"/>
                <w:sz w:val="22"/>
                <w:szCs w:val="22"/>
                <w:lang w:val="en-US" w:eastAsia="zh-CN" w:bidi="ar-SA"/>
              </w:rPr>
            </w:pPr>
            <w:r>
              <w:rPr>
                <w:rFonts w:hint="eastAsia" w:ascii="宋体" w:hAnsi="宋体" w:eastAsia="宋体" w:cs="宋体"/>
                <w:color w:val="auto"/>
                <w:kern w:val="0"/>
                <w:sz w:val="22"/>
                <w:szCs w:val="22"/>
                <w:lang w:val="en-US" w:eastAsia="zh-CN"/>
              </w:rPr>
              <w:t>DQJ-P-ZT-</w:t>
            </w:r>
            <w:r>
              <w:rPr>
                <w:rFonts w:hint="eastAsia" w:hAnsi="宋体" w:cs="宋体"/>
                <w:color w:val="auto"/>
                <w:kern w:val="0"/>
                <w:sz w:val="22"/>
                <w:szCs w:val="22"/>
                <w:lang w:val="en-US" w:eastAsia="zh-CN"/>
              </w:rPr>
              <w:t>1</w:t>
            </w:r>
            <w:r>
              <w:rPr>
                <w:rFonts w:hint="eastAsia" w:ascii="宋体" w:hAnsi="宋体" w:eastAsia="宋体" w:cs="宋体"/>
                <w:color w:val="auto"/>
                <w:kern w:val="0"/>
                <w:sz w:val="22"/>
                <w:szCs w:val="22"/>
                <w:lang w:val="en-US" w:eastAsia="zh-CN"/>
              </w:rPr>
              <w:t>00×</w:t>
            </w:r>
            <w:r>
              <w:rPr>
                <w:rFonts w:hint="eastAsia" w:hAnsi="宋体" w:cs="宋体"/>
                <w:color w:val="auto"/>
                <w:kern w:val="0"/>
                <w:sz w:val="22"/>
                <w:szCs w:val="22"/>
                <w:lang w:val="en-US" w:eastAsia="zh-CN"/>
              </w:rPr>
              <w:t>3</w:t>
            </w:r>
            <w:r>
              <w:rPr>
                <w:rFonts w:hint="eastAsia" w:ascii="宋体" w:hAnsi="宋体" w:eastAsia="宋体" w:cs="宋体"/>
                <w:color w:val="auto"/>
                <w:kern w:val="0"/>
                <w:sz w:val="22"/>
                <w:szCs w:val="22"/>
                <w:lang w:val="en-US" w:eastAsia="zh-CN"/>
              </w:rPr>
              <w:t>00，L=2000</w:t>
            </w:r>
          </w:p>
        </w:tc>
        <w:tc>
          <w:tcPr>
            <w:tcW w:w="820" w:type="dxa"/>
            <w:tcBorders>
              <w:tl2br w:val="nil"/>
              <w:tr2bl w:val="nil"/>
            </w:tcBorders>
            <w:shd w:val="clear" w:color="auto" w:fill="auto"/>
            <w:vAlign w:val="center"/>
          </w:tcPr>
          <w:p w14:paraId="3C04CB98">
            <w:pPr>
              <w:widowControl/>
              <w:spacing w:line="240" w:lineRule="auto"/>
              <w:jc w:val="center"/>
              <w:rPr>
                <w:rFonts w:hint="eastAsia" w:ascii="宋体" w:hAnsi="宋体" w:eastAsia="宋体" w:cs="宋体"/>
                <w:color w:val="auto"/>
                <w:kern w:val="0"/>
                <w:sz w:val="22"/>
                <w:szCs w:val="22"/>
                <w:lang w:val="en-US" w:eastAsia="zh-CN" w:bidi="ar-SA"/>
              </w:rPr>
            </w:pPr>
            <w:r>
              <w:rPr>
                <w:rFonts w:hint="eastAsia" w:ascii="宋体" w:hAnsi="宋体" w:eastAsia="宋体" w:cs="宋体"/>
                <w:color w:val="auto"/>
                <w:kern w:val="0"/>
                <w:sz w:val="22"/>
                <w:szCs w:val="22"/>
                <w:lang w:val="en-US" w:eastAsia="zh-CN"/>
              </w:rPr>
              <w:t>套</w:t>
            </w:r>
          </w:p>
        </w:tc>
        <w:tc>
          <w:tcPr>
            <w:tcW w:w="1220" w:type="dxa"/>
            <w:tcBorders>
              <w:tl2br w:val="nil"/>
              <w:tr2bl w:val="nil"/>
            </w:tcBorders>
            <w:shd w:val="clear" w:color="auto" w:fill="auto"/>
            <w:vAlign w:val="center"/>
          </w:tcPr>
          <w:p w14:paraId="075EA04B">
            <w:pPr>
              <w:widowControl/>
              <w:spacing w:line="240" w:lineRule="auto"/>
              <w:jc w:val="center"/>
              <w:rPr>
                <w:rFonts w:hint="eastAsia" w:ascii="宋体" w:hAnsi="宋体" w:eastAsia="宋体" w:cs="宋体"/>
                <w:color w:val="auto"/>
                <w:kern w:val="0"/>
                <w:sz w:val="22"/>
                <w:szCs w:val="22"/>
                <w:lang w:val="en-US" w:eastAsia="zh-CN" w:bidi="ar-SA"/>
              </w:rPr>
            </w:pPr>
            <w:r>
              <w:rPr>
                <w:rFonts w:hint="eastAsia" w:ascii="宋体" w:hAnsi="宋体" w:eastAsia="宋体" w:cs="宋体"/>
                <w:color w:val="auto"/>
                <w:kern w:val="0"/>
                <w:sz w:val="22"/>
                <w:szCs w:val="22"/>
                <w:lang w:val="en-US" w:eastAsia="zh-CN"/>
              </w:rPr>
              <w:t xml:space="preserve">7 </w:t>
            </w:r>
          </w:p>
        </w:tc>
      </w:tr>
      <w:tr w14:paraId="50B7F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620" w:type="dxa"/>
            <w:tcBorders>
              <w:tl2br w:val="nil"/>
              <w:tr2bl w:val="nil"/>
            </w:tcBorders>
            <w:shd w:val="clear" w:color="000000" w:fill="FFFFFF"/>
            <w:vAlign w:val="center"/>
          </w:tcPr>
          <w:p w14:paraId="6B571D1A">
            <w:pPr>
              <w:widowControl/>
              <w:spacing w:line="240" w:lineRule="auto"/>
              <w:jc w:val="center"/>
              <w:rPr>
                <w:rFonts w:hAnsi="宋体" w:cs="宋体"/>
                <w:color w:val="auto"/>
                <w:kern w:val="0"/>
                <w:sz w:val="22"/>
                <w:szCs w:val="22"/>
              </w:rPr>
            </w:pPr>
            <w:r>
              <w:rPr>
                <w:rFonts w:hint="eastAsia" w:hAnsi="宋体" w:cs="宋体"/>
                <w:color w:val="auto"/>
                <w:kern w:val="0"/>
                <w:sz w:val="22"/>
                <w:szCs w:val="22"/>
              </w:rPr>
              <w:t xml:space="preserve">6 </w:t>
            </w:r>
          </w:p>
        </w:tc>
        <w:tc>
          <w:tcPr>
            <w:tcW w:w="1720" w:type="dxa"/>
            <w:vMerge w:val="continue"/>
            <w:tcBorders>
              <w:tl2br w:val="nil"/>
              <w:tr2bl w:val="nil"/>
            </w:tcBorders>
            <w:vAlign w:val="center"/>
          </w:tcPr>
          <w:p w14:paraId="6582A57E">
            <w:pPr>
              <w:widowControl/>
              <w:spacing w:line="240" w:lineRule="auto"/>
              <w:jc w:val="left"/>
              <w:rPr>
                <w:rFonts w:hAnsi="宋体" w:cs="宋体"/>
                <w:color w:val="auto"/>
                <w:kern w:val="0"/>
                <w:sz w:val="22"/>
                <w:szCs w:val="22"/>
              </w:rPr>
            </w:pPr>
          </w:p>
        </w:tc>
        <w:tc>
          <w:tcPr>
            <w:tcW w:w="1940" w:type="dxa"/>
            <w:tcBorders>
              <w:tl2br w:val="nil"/>
              <w:tr2bl w:val="nil"/>
            </w:tcBorders>
            <w:shd w:val="clear" w:color="auto" w:fill="auto"/>
            <w:vAlign w:val="center"/>
          </w:tcPr>
          <w:p w14:paraId="1854CB55">
            <w:pPr>
              <w:widowControl/>
              <w:spacing w:line="240" w:lineRule="auto"/>
              <w:jc w:val="center"/>
              <w:rPr>
                <w:rFonts w:hint="eastAsia" w:ascii="宋体" w:hAnsi="宋体" w:eastAsia="宋体" w:cs="宋体"/>
                <w:color w:val="auto"/>
                <w:kern w:val="0"/>
                <w:sz w:val="22"/>
                <w:szCs w:val="22"/>
                <w:lang w:val="en-US" w:eastAsia="zh-CN" w:bidi="ar-SA"/>
              </w:rPr>
            </w:pPr>
            <w:r>
              <w:rPr>
                <w:rFonts w:hint="eastAsia" w:hAnsi="宋体" w:cs="宋体"/>
                <w:color w:val="auto"/>
                <w:kern w:val="0"/>
                <w:sz w:val="22"/>
                <w:szCs w:val="22"/>
              </w:rPr>
              <w:t>不锈钢托盘式直通桥架</w:t>
            </w:r>
          </w:p>
        </w:tc>
        <w:tc>
          <w:tcPr>
            <w:tcW w:w="2306" w:type="dxa"/>
            <w:tcBorders>
              <w:tl2br w:val="nil"/>
              <w:tr2bl w:val="nil"/>
            </w:tcBorders>
            <w:shd w:val="clear" w:color="auto" w:fill="auto"/>
            <w:vAlign w:val="center"/>
          </w:tcPr>
          <w:p w14:paraId="42CE7D51">
            <w:pPr>
              <w:widowControl/>
              <w:spacing w:line="240" w:lineRule="auto"/>
              <w:jc w:val="center"/>
              <w:rPr>
                <w:rFonts w:hint="eastAsia" w:ascii="宋体" w:hAnsi="宋体" w:eastAsia="宋体" w:cs="宋体"/>
                <w:color w:val="auto"/>
                <w:kern w:val="0"/>
                <w:sz w:val="22"/>
                <w:szCs w:val="22"/>
                <w:lang w:val="en-US" w:eastAsia="zh-CN" w:bidi="ar-SA"/>
              </w:rPr>
            </w:pPr>
            <w:r>
              <w:rPr>
                <w:rFonts w:hint="eastAsia" w:ascii="宋体" w:hAnsi="宋体" w:eastAsia="宋体" w:cs="宋体"/>
                <w:color w:val="auto"/>
                <w:kern w:val="0"/>
                <w:sz w:val="22"/>
                <w:szCs w:val="22"/>
                <w:lang w:val="en-US" w:eastAsia="zh-CN"/>
              </w:rPr>
              <w:t>DQJ-P-ZT-60×300，L=2000</w:t>
            </w:r>
          </w:p>
        </w:tc>
        <w:tc>
          <w:tcPr>
            <w:tcW w:w="820" w:type="dxa"/>
            <w:tcBorders>
              <w:tl2br w:val="nil"/>
              <w:tr2bl w:val="nil"/>
            </w:tcBorders>
            <w:shd w:val="clear" w:color="auto" w:fill="auto"/>
            <w:vAlign w:val="center"/>
          </w:tcPr>
          <w:p w14:paraId="48DE81D7">
            <w:pPr>
              <w:widowControl/>
              <w:spacing w:line="240" w:lineRule="auto"/>
              <w:jc w:val="center"/>
              <w:rPr>
                <w:rFonts w:hint="eastAsia" w:ascii="宋体" w:hAnsi="宋体" w:eastAsia="宋体" w:cs="宋体"/>
                <w:color w:val="auto"/>
                <w:kern w:val="0"/>
                <w:sz w:val="22"/>
                <w:szCs w:val="22"/>
                <w:lang w:val="en-US" w:eastAsia="zh-CN" w:bidi="ar-SA"/>
              </w:rPr>
            </w:pPr>
            <w:r>
              <w:rPr>
                <w:rFonts w:hint="eastAsia" w:ascii="宋体" w:hAnsi="宋体" w:eastAsia="宋体" w:cs="宋体"/>
                <w:color w:val="auto"/>
                <w:kern w:val="0"/>
                <w:sz w:val="22"/>
                <w:szCs w:val="22"/>
                <w:lang w:val="en-US" w:eastAsia="zh-CN"/>
              </w:rPr>
              <w:t>套</w:t>
            </w:r>
          </w:p>
        </w:tc>
        <w:tc>
          <w:tcPr>
            <w:tcW w:w="1220" w:type="dxa"/>
            <w:tcBorders>
              <w:tl2br w:val="nil"/>
              <w:tr2bl w:val="nil"/>
            </w:tcBorders>
            <w:shd w:val="clear" w:color="auto" w:fill="auto"/>
            <w:vAlign w:val="center"/>
          </w:tcPr>
          <w:p w14:paraId="26DA9628">
            <w:pPr>
              <w:widowControl/>
              <w:spacing w:line="240" w:lineRule="auto"/>
              <w:jc w:val="center"/>
              <w:rPr>
                <w:rFonts w:hint="eastAsia" w:ascii="宋体" w:hAnsi="宋体" w:eastAsia="宋体" w:cs="宋体"/>
                <w:color w:val="auto"/>
                <w:kern w:val="0"/>
                <w:sz w:val="22"/>
                <w:szCs w:val="22"/>
                <w:lang w:val="en-US" w:eastAsia="zh-CN" w:bidi="ar-SA"/>
              </w:rPr>
            </w:pPr>
            <w:r>
              <w:rPr>
                <w:rFonts w:hint="eastAsia" w:ascii="宋体" w:hAnsi="宋体" w:eastAsia="宋体" w:cs="宋体"/>
                <w:color w:val="auto"/>
                <w:kern w:val="0"/>
                <w:sz w:val="22"/>
                <w:szCs w:val="22"/>
                <w:lang w:val="en-US" w:eastAsia="zh-CN"/>
              </w:rPr>
              <w:t xml:space="preserve">8 </w:t>
            </w:r>
          </w:p>
        </w:tc>
      </w:tr>
      <w:tr w14:paraId="25B5A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620" w:type="dxa"/>
            <w:tcBorders>
              <w:tl2br w:val="nil"/>
              <w:tr2bl w:val="nil"/>
            </w:tcBorders>
            <w:shd w:val="clear" w:color="000000" w:fill="FFFFFF"/>
            <w:vAlign w:val="center"/>
          </w:tcPr>
          <w:p w14:paraId="268869C4">
            <w:pPr>
              <w:widowControl/>
              <w:spacing w:line="240" w:lineRule="auto"/>
              <w:jc w:val="center"/>
              <w:rPr>
                <w:rFonts w:hAnsi="宋体" w:cs="宋体"/>
                <w:color w:val="auto"/>
                <w:kern w:val="0"/>
                <w:sz w:val="22"/>
                <w:szCs w:val="22"/>
              </w:rPr>
            </w:pPr>
            <w:r>
              <w:rPr>
                <w:rFonts w:hint="eastAsia" w:hAnsi="宋体" w:cs="宋体"/>
                <w:color w:val="auto"/>
                <w:kern w:val="0"/>
                <w:sz w:val="22"/>
                <w:szCs w:val="22"/>
              </w:rPr>
              <w:t xml:space="preserve">7 </w:t>
            </w:r>
          </w:p>
        </w:tc>
        <w:tc>
          <w:tcPr>
            <w:tcW w:w="1720" w:type="dxa"/>
            <w:vMerge w:val="continue"/>
            <w:tcBorders>
              <w:tl2br w:val="nil"/>
              <w:tr2bl w:val="nil"/>
            </w:tcBorders>
            <w:vAlign w:val="center"/>
          </w:tcPr>
          <w:p w14:paraId="7B54B1C9">
            <w:pPr>
              <w:widowControl/>
              <w:spacing w:line="240" w:lineRule="auto"/>
              <w:jc w:val="left"/>
              <w:rPr>
                <w:rFonts w:hAnsi="宋体" w:cs="宋体"/>
                <w:color w:val="auto"/>
                <w:kern w:val="0"/>
                <w:sz w:val="22"/>
                <w:szCs w:val="22"/>
              </w:rPr>
            </w:pPr>
          </w:p>
        </w:tc>
        <w:tc>
          <w:tcPr>
            <w:tcW w:w="1940" w:type="dxa"/>
            <w:tcBorders>
              <w:tl2br w:val="nil"/>
              <w:tr2bl w:val="nil"/>
            </w:tcBorders>
            <w:shd w:val="clear" w:color="auto" w:fill="auto"/>
            <w:vAlign w:val="center"/>
          </w:tcPr>
          <w:p w14:paraId="11E9DEE8">
            <w:pPr>
              <w:widowControl/>
              <w:spacing w:line="240" w:lineRule="auto"/>
              <w:jc w:val="center"/>
              <w:rPr>
                <w:rFonts w:hint="eastAsia" w:ascii="宋体" w:hAnsi="宋体" w:eastAsia="宋体" w:cs="宋体"/>
                <w:color w:val="auto"/>
                <w:kern w:val="0"/>
                <w:sz w:val="22"/>
                <w:szCs w:val="22"/>
                <w:lang w:val="en-US" w:eastAsia="zh-CN" w:bidi="ar-SA"/>
              </w:rPr>
            </w:pPr>
            <w:r>
              <w:rPr>
                <w:rFonts w:hint="eastAsia" w:hAnsi="宋体" w:cs="宋体"/>
                <w:color w:val="auto"/>
                <w:kern w:val="0"/>
                <w:sz w:val="22"/>
                <w:szCs w:val="22"/>
              </w:rPr>
              <w:t>不锈钢托盘式直通桥架</w:t>
            </w:r>
          </w:p>
        </w:tc>
        <w:tc>
          <w:tcPr>
            <w:tcW w:w="2306" w:type="dxa"/>
            <w:tcBorders>
              <w:tl2br w:val="nil"/>
              <w:tr2bl w:val="nil"/>
            </w:tcBorders>
            <w:shd w:val="clear" w:color="auto" w:fill="auto"/>
            <w:vAlign w:val="center"/>
          </w:tcPr>
          <w:p w14:paraId="438FE946">
            <w:pPr>
              <w:widowControl/>
              <w:spacing w:line="240" w:lineRule="auto"/>
              <w:jc w:val="center"/>
              <w:rPr>
                <w:rFonts w:hint="eastAsia" w:ascii="宋体" w:hAnsi="宋体" w:eastAsia="宋体" w:cs="宋体"/>
                <w:color w:val="auto"/>
                <w:kern w:val="0"/>
                <w:sz w:val="22"/>
                <w:szCs w:val="22"/>
                <w:lang w:val="en-US" w:eastAsia="zh-CN" w:bidi="ar-SA"/>
              </w:rPr>
            </w:pPr>
            <w:r>
              <w:rPr>
                <w:rFonts w:hint="eastAsia" w:ascii="宋体" w:hAnsi="宋体" w:eastAsia="宋体" w:cs="宋体"/>
                <w:color w:val="auto"/>
                <w:kern w:val="0"/>
                <w:sz w:val="22"/>
                <w:szCs w:val="22"/>
                <w:lang w:val="en-US" w:eastAsia="zh-CN"/>
              </w:rPr>
              <w:t>DQJ-P-ZT-100×200，L=2000</w:t>
            </w:r>
          </w:p>
        </w:tc>
        <w:tc>
          <w:tcPr>
            <w:tcW w:w="820" w:type="dxa"/>
            <w:tcBorders>
              <w:tl2br w:val="nil"/>
              <w:tr2bl w:val="nil"/>
            </w:tcBorders>
            <w:shd w:val="clear" w:color="auto" w:fill="auto"/>
            <w:vAlign w:val="center"/>
          </w:tcPr>
          <w:p w14:paraId="19A12282">
            <w:pPr>
              <w:widowControl/>
              <w:spacing w:line="240" w:lineRule="auto"/>
              <w:jc w:val="center"/>
              <w:rPr>
                <w:rFonts w:hint="eastAsia" w:ascii="宋体" w:hAnsi="宋体" w:eastAsia="宋体" w:cs="宋体"/>
                <w:color w:val="auto"/>
                <w:kern w:val="0"/>
                <w:sz w:val="22"/>
                <w:szCs w:val="22"/>
                <w:lang w:val="en-US" w:eastAsia="zh-CN" w:bidi="ar-SA"/>
              </w:rPr>
            </w:pPr>
            <w:r>
              <w:rPr>
                <w:rFonts w:hint="eastAsia" w:ascii="宋体" w:hAnsi="宋体" w:eastAsia="宋体" w:cs="宋体"/>
                <w:color w:val="auto"/>
                <w:kern w:val="0"/>
                <w:sz w:val="22"/>
                <w:szCs w:val="22"/>
                <w:lang w:val="en-US" w:eastAsia="zh-CN"/>
              </w:rPr>
              <w:t>套</w:t>
            </w:r>
          </w:p>
        </w:tc>
        <w:tc>
          <w:tcPr>
            <w:tcW w:w="1220" w:type="dxa"/>
            <w:tcBorders>
              <w:tl2br w:val="nil"/>
              <w:tr2bl w:val="nil"/>
            </w:tcBorders>
            <w:shd w:val="clear" w:color="auto" w:fill="auto"/>
            <w:vAlign w:val="center"/>
          </w:tcPr>
          <w:p w14:paraId="360C0F80">
            <w:pPr>
              <w:widowControl/>
              <w:spacing w:line="240" w:lineRule="auto"/>
              <w:jc w:val="center"/>
              <w:rPr>
                <w:rFonts w:hint="eastAsia" w:ascii="宋体" w:hAnsi="宋体" w:eastAsia="宋体" w:cs="宋体"/>
                <w:color w:val="auto"/>
                <w:kern w:val="0"/>
                <w:sz w:val="22"/>
                <w:szCs w:val="22"/>
                <w:lang w:val="en-US" w:eastAsia="zh-CN" w:bidi="ar-SA"/>
              </w:rPr>
            </w:pPr>
            <w:r>
              <w:rPr>
                <w:rFonts w:hint="eastAsia" w:ascii="宋体" w:hAnsi="宋体" w:eastAsia="宋体" w:cs="宋体"/>
                <w:color w:val="auto"/>
                <w:kern w:val="0"/>
                <w:sz w:val="22"/>
                <w:szCs w:val="22"/>
                <w:lang w:val="en-US" w:eastAsia="zh-CN"/>
              </w:rPr>
              <w:t xml:space="preserve">8 </w:t>
            </w:r>
          </w:p>
        </w:tc>
      </w:tr>
      <w:tr w14:paraId="72942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620" w:type="dxa"/>
            <w:tcBorders>
              <w:tl2br w:val="nil"/>
              <w:tr2bl w:val="nil"/>
            </w:tcBorders>
            <w:shd w:val="clear" w:color="000000" w:fill="FFFFFF"/>
            <w:vAlign w:val="center"/>
          </w:tcPr>
          <w:p w14:paraId="6F9868EB">
            <w:pPr>
              <w:widowControl/>
              <w:spacing w:line="240" w:lineRule="auto"/>
              <w:jc w:val="center"/>
              <w:rPr>
                <w:rFonts w:hAnsi="宋体" w:cs="宋体"/>
                <w:color w:val="auto"/>
                <w:kern w:val="0"/>
                <w:sz w:val="22"/>
                <w:szCs w:val="22"/>
              </w:rPr>
            </w:pPr>
            <w:r>
              <w:rPr>
                <w:rFonts w:hint="eastAsia" w:hAnsi="宋体" w:cs="宋体"/>
                <w:color w:val="auto"/>
                <w:kern w:val="0"/>
                <w:sz w:val="22"/>
                <w:szCs w:val="22"/>
              </w:rPr>
              <w:t xml:space="preserve">8 </w:t>
            </w:r>
          </w:p>
        </w:tc>
        <w:tc>
          <w:tcPr>
            <w:tcW w:w="1720" w:type="dxa"/>
            <w:vMerge w:val="continue"/>
            <w:tcBorders>
              <w:tl2br w:val="nil"/>
              <w:tr2bl w:val="nil"/>
            </w:tcBorders>
            <w:vAlign w:val="center"/>
          </w:tcPr>
          <w:p w14:paraId="6C854904">
            <w:pPr>
              <w:widowControl/>
              <w:spacing w:line="240" w:lineRule="auto"/>
              <w:jc w:val="left"/>
              <w:rPr>
                <w:rFonts w:hAnsi="宋体" w:cs="宋体"/>
                <w:color w:val="auto"/>
                <w:kern w:val="0"/>
                <w:sz w:val="22"/>
                <w:szCs w:val="22"/>
              </w:rPr>
            </w:pPr>
          </w:p>
        </w:tc>
        <w:tc>
          <w:tcPr>
            <w:tcW w:w="1940" w:type="dxa"/>
            <w:tcBorders>
              <w:tl2br w:val="nil"/>
              <w:tr2bl w:val="nil"/>
            </w:tcBorders>
            <w:shd w:val="clear" w:color="auto" w:fill="auto"/>
            <w:vAlign w:val="center"/>
          </w:tcPr>
          <w:p w14:paraId="03E39B7E">
            <w:pPr>
              <w:widowControl/>
              <w:spacing w:line="240" w:lineRule="auto"/>
              <w:jc w:val="center"/>
              <w:rPr>
                <w:rFonts w:hint="eastAsia" w:ascii="宋体" w:hAnsi="宋体" w:eastAsia="宋体" w:cs="宋体"/>
                <w:color w:val="auto"/>
                <w:kern w:val="0"/>
                <w:sz w:val="22"/>
                <w:szCs w:val="22"/>
                <w:lang w:val="en-US" w:eastAsia="zh-CN" w:bidi="ar-SA"/>
              </w:rPr>
            </w:pPr>
            <w:r>
              <w:rPr>
                <w:rFonts w:hint="eastAsia" w:hAnsi="宋体" w:cs="宋体"/>
                <w:color w:val="auto"/>
                <w:kern w:val="0"/>
                <w:sz w:val="22"/>
                <w:szCs w:val="22"/>
              </w:rPr>
              <w:t>不锈钢托盘式直通桥架</w:t>
            </w:r>
          </w:p>
        </w:tc>
        <w:tc>
          <w:tcPr>
            <w:tcW w:w="2306" w:type="dxa"/>
            <w:tcBorders>
              <w:tl2br w:val="nil"/>
              <w:tr2bl w:val="nil"/>
            </w:tcBorders>
            <w:shd w:val="clear" w:color="auto" w:fill="auto"/>
            <w:vAlign w:val="center"/>
          </w:tcPr>
          <w:p w14:paraId="0F5A8E9D">
            <w:pPr>
              <w:widowControl/>
              <w:spacing w:line="240" w:lineRule="auto"/>
              <w:jc w:val="center"/>
              <w:rPr>
                <w:rFonts w:hint="eastAsia" w:ascii="宋体" w:hAnsi="宋体" w:eastAsia="宋体" w:cs="宋体"/>
                <w:color w:val="auto"/>
                <w:kern w:val="0"/>
                <w:sz w:val="22"/>
                <w:szCs w:val="22"/>
                <w:lang w:val="en-US" w:eastAsia="zh-CN" w:bidi="ar-SA"/>
              </w:rPr>
            </w:pPr>
            <w:r>
              <w:rPr>
                <w:rFonts w:hint="eastAsia" w:ascii="宋体" w:hAnsi="宋体" w:eastAsia="宋体" w:cs="宋体"/>
                <w:color w:val="auto"/>
                <w:kern w:val="0"/>
                <w:sz w:val="22"/>
                <w:szCs w:val="22"/>
                <w:lang w:val="en-US" w:eastAsia="zh-CN"/>
              </w:rPr>
              <w:t>DQJ-P-ZT-100×100，L=2000</w:t>
            </w:r>
          </w:p>
        </w:tc>
        <w:tc>
          <w:tcPr>
            <w:tcW w:w="820" w:type="dxa"/>
            <w:tcBorders>
              <w:tl2br w:val="nil"/>
              <w:tr2bl w:val="nil"/>
            </w:tcBorders>
            <w:shd w:val="clear" w:color="auto" w:fill="auto"/>
            <w:vAlign w:val="center"/>
          </w:tcPr>
          <w:p w14:paraId="25C49BAE">
            <w:pPr>
              <w:widowControl/>
              <w:spacing w:line="240" w:lineRule="auto"/>
              <w:jc w:val="center"/>
              <w:rPr>
                <w:rFonts w:hint="eastAsia" w:ascii="宋体" w:hAnsi="宋体" w:eastAsia="宋体" w:cs="宋体"/>
                <w:color w:val="auto"/>
                <w:kern w:val="0"/>
                <w:sz w:val="22"/>
                <w:szCs w:val="22"/>
                <w:lang w:val="en-US" w:eastAsia="zh-CN" w:bidi="ar-SA"/>
              </w:rPr>
            </w:pPr>
            <w:r>
              <w:rPr>
                <w:rFonts w:hint="eastAsia" w:ascii="宋体" w:hAnsi="宋体" w:eastAsia="宋体" w:cs="宋体"/>
                <w:color w:val="auto"/>
                <w:kern w:val="0"/>
                <w:sz w:val="22"/>
                <w:szCs w:val="22"/>
                <w:lang w:val="en-US" w:eastAsia="zh-CN"/>
              </w:rPr>
              <w:t>套</w:t>
            </w:r>
          </w:p>
        </w:tc>
        <w:tc>
          <w:tcPr>
            <w:tcW w:w="1220" w:type="dxa"/>
            <w:tcBorders>
              <w:tl2br w:val="nil"/>
              <w:tr2bl w:val="nil"/>
            </w:tcBorders>
            <w:shd w:val="clear" w:color="auto" w:fill="auto"/>
            <w:vAlign w:val="center"/>
          </w:tcPr>
          <w:p w14:paraId="3AF34C91">
            <w:pPr>
              <w:widowControl/>
              <w:spacing w:line="240" w:lineRule="auto"/>
              <w:jc w:val="center"/>
              <w:rPr>
                <w:rFonts w:hint="eastAsia" w:ascii="宋体" w:hAnsi="宋体" w:eastAsia="宋体" w:cs="宋体"/>
                <w:color w:val="auto"/>
                <w:kern w:val="0"/>
                <w:sz w:val="22"/>
                <w:szCs w:val="22"/>
                <w:lang w:val="en-US" w:eastAsia="zh-CN" w:bidi="ar-SA"/>
              </w:rPr>
            </w:pPr>
            <w:r>
              <w:rPr>
                <w:rFonts w:hint="eastAsia" w:ascii="宋体" w:hAnsi="宋体" w:eastAsia="宋体" w:cs="宋体"/>
                <w:color w:val="auto"/>
                <w:kern w:val="0"/>
                <w:sz w:val="22"/>
                <w:szCs w:val="22"/>
                <w:lang w:val="en-US" w:eastAsia="zh-CN"/>
              </w:rPr>
              <w:t xml:space="preserve">7 </w:t>
            </w:r>
          </w:p>
        </w:tc>
      </w:tr>
      <w:tr w14:paraId="5BC65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620" w:type="dxa"/>
            <w:tcBorders>
              <w:tl2br w:val="nil"/>
              <w:tr2bl w:val="nil"/>
            </w:tcBorders>
            <w:shd w:val="clear" w:color="000000" w:fill="FFFFFF"/>
            <w:vAlign w:val="center"/>
          </w:tcPr>
          <w:p w14:paraId="62B25C03">
            <w:pPr>
              <w:widowControl/>
              <w:spacing w:line="240" w:lineRule="auto"/>
              <w:jc w:val="center"/>
              <w:rPr>
                <w:rFonts w:hAnsi="宋体" w:cs="宋体"/>
                <w:color w:val="auto"/>
                <w:kern w:val="0"/>
                <w:sz w:val="22"/>
                <w:szCs w:val="22"/>
              </w:rPr>
            </w:pPr>
            <w:r>
              <w:rPr>
                <w:rFonts w:hint="eastAsia" w:hAnsi="宋体" w:cs="宋体"/>
                <w:color w:val="auto"/>
                <w:kern w:val="0"/>
                <w:sz w:val="22"/>
                <w:szCs w:val="22"/>
              </w:rPr>
              <w:t xml:space="preserve">9 </w:t>
            </w:r>
          </w:p>
        </w:tc>
        <w:tc>
          <w:tcPr>
            <w:tcW w:w="1720" w:type="dxa"/>
            <w:vMerge w:val="continue"/>
            <w:tcBorders>
              <w:tl2br w:val="nil"/>
              <w:tr2bl w:val="nil"/>
            </w:tcBorders>
            <w:vAlign w:val="center"/>
          </w:tcPr>
          <w:p w14:paraId="00E57E3F">
            <w:pPr>
              <w:widowControl/>
              <w:spacing w:line="240" w:lineRule="auto"/>
              <w:jc w:val="left"/>
              <w:rPr>
                <w:rFonts w:hAnsi="宋体" w:cs="宋体"/>
                <w:color w:val="auto"/>
                <w:kern w:val="0"/>
                <w:sz w:val="22"/>
                <w:szCs w:val="22"/>
              </w:rPr>
            </w:pPr>
          </w:p>
        </w:tc>
        <w:tc>
          <w:tcPr>
            <w:tcW w:w="1940" w:type="dxa"/>
            <w:tcBorders>
              <w:tl2br w:val="nil"/>
              <w:tr2bl w:val="nil"/>
            </w:tcBorders>
            <w:shd w:val="clear" w:color="auto" w:fill="auto"/>
            <w:vAlign w:val="center"/>
          </w:tcPr>
          <w:p w14:paraId="69782C93">
            <w:pPr>
              <w:widowControl/>
              <w:spacing w:line="240" w:lineRule="auto"/>
              <w:jc w:val="center"/>
              <w:rPr>
                <w:rFonts w:hint="eastAsia" w:ascii="宋体" w:hAnsi="宋体" w:eastAsia="宋体" w:cs="宋体"/>
                <w:color w:val="auto"/>
                <w:kern w:val="0"/>
                <w:sz w:val="22"/>
                <w:szCs w:val="22"/>
                <w:lang w:val="en-US" w:eastAsia="zh-CN" w:bidi="ar-SA"/>
              </w:rPr>
            </w:pPr>
            <w:r>
              <w:rPr>
                <w:rFonts w:hint="eastAsia" w:hAnsi="宋体" w:cs="宋体"/>
                <w:color w:val="auto"/>
                <w:kern w:val="0"/>
                <w:sz w:val="22"/>
                <w:szCs w:val="22"/>
              </w:rPr>
              <w:t>不锈钢托盘式直通桥架</w:t>
            </w:r>
          </w:p>
        </w:tc>
        <w:tc>
          <w:tcPr>
            <w:tcW w:w="2306" w:type="dxa"/>
            <w:tcBorders>
              <w:tl2br w:val="nil"/>
              <w:tr2bl w:val="nil"/>
            </w:tcBorders>
            <w:shd w:val="clear" w:color="auto" w:fill="auto"/>
            <w:vAlign w:val="center"/>
          </w:tcPr>
          <w:p w14:paraId="620D61ED">
            <w:pPr>
              <w:widowControl/>
              <w:spacing w:line="240" w:lineRule="auto"/>
              <w:jc w:val="center"/>
              <w:rPr>
                <w:rFonts w:hint="eastAsia" w:ascii="宋体" w:hAnsi="宋体" w:eastAsia="宋体" w:cs="宋体"/>
                <w:color w:val="auto"/>
                <w:kern w:val="0"/>
                <w:sz w:val="22"/>
                <w:szCs w:val="22"/>
                <w:lang w:val="en-US" w:eastAsia="zh-CN" w:bidi="ar-SA"/>
              </w:rPr>
            </w:pPr>
            <w:r>
              <w:rPr>
                <w:rFonts w:hint="eastAsia" w:ascii="宋体" w:hAnsi="宋体" w:eastAsia="宋体" w:cs="宋体"/>
                <w:color w:val="auto"/>
                <w:kern w:val="0"/>
                <w:sz w:val="22"/>
                <w:szCs w:val="22"/>
                <w:lang w:val="en-US" w:eastAsia="zh-CN"/>
              </w:rPr>
              <w:t>DQJ-P-ZT-80×100，L=2000</w:t>
            </w:r>
          </w:p>
        </w:tc>
        <w:tc>
          <w:tcPr>
            <w:tcW w:w="820" w:type="dxa"/>
            <w:tcBorders>
              <w:tl2br w:val="nil"/>
              <w:tr2bl w:val="nil"/>
            </w:tcBorders>
            <w:shd w:val="clear" w:color="auto" w:fill="auto"/>
            <w:vAlign w:val="center"/>
          </w:tcPr>
          <w:p w14:paraId="26923A0D">
            <w:pPr>
              <w:widowControl/>
              <w:spacing w:line="240" w:lineRule="auto"/>
              <w:jc w:val="center"/>
              <w:rPr>
                <w:rFonts w:hint="eastAsia" w:ascii="宋体" w:hAnsi="宋体" w:eastAsia="宋体" w:cs="宋体"/>
                <w:color w:val="auto"/>
                <w:kern w:val="0"/>
                <w:sz w:val="22"/>
                <w:szCs w:val="22"/>
                <w:lang w:val="en-US" w:eastAsia="zh-CN" w:bidi="ar-SA"/>
              </w:rPr>
            </w:pPr>
            <w:r>
              <w:rPr>
                <w:rFonts w:hint="eastAsia" w:ascii="宋体" w:hAnsi="宋体" w:eastAsia="宋体" w:cs="宋体"/>
                <w:color w:val="auto"/>
                <w:kern w:val="0"/>
                <w:sz w:val="22"/>
                <w:szCs w:val="22"/>
                <w:lang w:val="en-US" w:eastAsia="zh-CN"/>
              </w:rPr>
              <w:t>套</w:t>
            </w:r>
          </w:p>
        </w:tc>
        <w:tc>
          <w:tcPr>
            <w:tcW w:w="1220" w:type="dxa"/>
            <w:tcBorders>
              <w:tl2br w:val="nil"/>
              <w:tr2bl w:val="nil"/>
            </w:tcBorders>
            <w:shd w:val="clear" w:color="auto" w:fill="auto"/>
            <w:vAlign w:val="center"/>
          </w:tcPr>
          <w:p w14:paraId="55E60FD1">
            <w:pPr>
              <w:widowControl/>
              <w:spacing w:line="240" w:lineRule="auto"/>
              <w:jc w:val="center"/>
              <w:rPr>
                <w:rFonts w:hint="eastAsia" w:ascii="宋体" w:hAnsi="宋体" w:eastAsia="宋体" w:cs="宋体"/>
                <w:color w:val="auto"/>
                <w:kern w:val="0"/>
                <w:sz w:val="22"/>
                <w:szCs w:val="22"/>
                <w:lang w:val="en-US" w:eastAsia="zh-CN" w:bidi="ar-SA"/>
              </w:rPr>
            </w:pPr>
            <w:r>
              <w:rPr>
                <w:rFonts w:hint="eastAsia" w:ascii="宋体" w:hAnsi="宋体" w:eastAsia="宋体" w:cs="宋体"/>
                <w:color w:val="auto"/>
                <w:kern w:val="0"/>
                <w:sz w:val="22"/>
                <w:szCs w:val="22"/>
                <w:lang w:val="en-US" w:eastAsia="zh-CN"/>
              </w:rPr>
              <w:t xml:space="preserve">10 </w:t>
            </w:r>
          </w:p>
        </w:tc>
      </w:tr>
      <w:tr w14:paraId="0362B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620" w:type="dxa"/>
            <w:tcBorders>
              <w:tl2br w:val="nil"/>
              <w:tr2bl w:val="nil"/>
            </w:tcBorders>
            <w:shd w:val="clear" w:color="000000" w:fill="FFFFFF"/>
            <w:vAlign w:val="center"/>
          </w:tcPr>
          <w:p w14:paraId="50E2E976">
            <w:pPr>
              <w:widowControl/>
              <w:spacing w:line="240" w:lineRule="auto"/>
              <w:jc w:val="center"/>
              <w:rPr>
                <w:rFonts w:hAnsi="宋体" w:cs="宋体"/>
                <w:color w:val="auto"/>
                <w:kern w:val="0"/>
                <w:sz w:val="22"/>
                <w:szCs w:val="22"/>
              </w:rPr>
            </w:pPr>
            <w:r>
              <w:rPr>
                <w:rFonts w:hint="eastAsia" w:hAnsi="宋体" w:cs="宋体"/>
                <w:color w:val="auto"/>
                <w:kern w:val="0"/>
                <w:sz w:val="22"/>
                <w:szCs w:val="22"/>
              </w:rPr>
              <w:t xml:space="preserve">10 </w:t>
            </w:r>
          </w:p>
        </w:tc>
        <w:tc>
          <w:tcPr>
            <w:tcW w:w="1720" w:type="dxa"/>
            <w:vMerge w:val="continue"/>
            <w:tcBorders>
              <w:tl2br w:val="nil"/>
              <w:tr2bl w:val="nil"/>
            </w:tcBorders>
            <w:vAlign w:val="center"/>
          </w:tcPr>
          <w:p w14:paraId="73F5E441">
            <w:pPr>
              <w:widowControl/>
              <w:spacing w:line="240" w:lineRule="auto"/>
              <w:jc w:val="left"/>
              <w:rPr>
                <w:rFonts w:hAnsi="宋体" w:cs="宋体"/>
                <w:color w:val="auto"/>
                <w:kern w:val="0"/>
                <w:sz w:val="22"/>
                <w:szCs w:val="22"/>
              </w:rPr>
            </w:pPr>
          </w:p>
        </w:tc>
        <w:tc>
          <w:tcPr>
            <w:tcW w:w="1940" w:type="dxa"/>
            <w:tcBorders>
              <w:tl2br w:val="nil"/>
              <w:tr2bl w:val="nil"/>
            </w:tcBorders>
            <w:shd w:val="clear" w:color="auto" w:fill="auto"/>
            <w:vAlign w:val="center"/>
          </w:tcPr>
          <w:p w14:paraId="55E5DF50">
            <w:pPr>
              <w:widowControl/>
              <w:spacing w:line="240" w:lineRule="auto"/>
              <w:jc w:val="center"/>
              <w:rPr>
                <w:rFonts w:hint="eastAsia" w:ascii="宋体" w:hAnsi="宋体" w:eastAsia="宋体" w:cs="宋体"/>
                <w:color w:val="auto"/>
                <w:kern w:val="0"/>
                <w:sz w:val="22"/>
                <w:szCs w:val="22"/>
                <w:lang w:val="en-US" w:eastAsia="zh-CN" w:bidi="ar-SA"/>
              </w:rPr>
            </w:pPr>
            <w:r>
              <w:rPr>
                <w:rFonts w:hint="eastAsia" w:hAnsi="宋体" w:cs="宋体"/>
                <w:color w:val="auto"/>
                <w:kern w:val="0"/>
                <w:sz w:val="22"/>
                <w:szCs w:val="22"/>
              </w:rPr>
              <w:t>不锈钢转接箱</w:t>
            </w:r>
          </w:p>
        </w:tc>
        <w:tc>
          <w:tcPr>
            <w:tcW w:w="2306" w:type="dxa"/>
            <w:tcBorders>
              <w:tl2br w:val="nil"/>
              <w:tr2bl w:val="nil"/>
            </w:tcBorders>
            <w:shd w:val="clear" w:color="auto" w:fill="auto"/>
            <w:vAlign w:val="center"/>
          </w:tcPr>
          <w:p w14:paraId="557EF6C0">
            <w:pPr>
              <w:widowControl/>
              <w:spacing w:line="240" w:lineRule="auto"/>
              <w:jc w:val="center"/>
              <w:rPr>
                <w:rFonts w:hint="eastAsia" w:ascii="宋体" w:hAnsi="宋体" w:eastAsia="宋体" w:cs="宋体"/>
                <w:color w:val="auto"/>
                <w:kern w:val="0"/>
                <w:sz w:val="22"/>
                <w:szCs w:val="22"/>
                <w:lang w:val="en-US" w:eastAsia="zh-CN" w:bidi="ar-SA"/>
              </w:rPr>
            </w:pPr>
            <w:r>
              <w:rPr>
                <w:rFonts w:hint="eastAsia" w:ascii="宋体" w:hAnsi="宋体" w:eastAsia="宋体" w:cs="宋体"/>
                <w:color w:val="auto"/>
                <w:kern w:val="0"/>
                <w:sz w:val="22"/>
                <w:szCs w:val="22"/>
                <w:lang w:val="en-US" w:eastAsia="zh-CN"/>
              </w:rPr>
              <w:t>DQJ-GM-1000×1000</w:t>
            </w:r>
          </w:p>
        </w:tc>
        <w:tc>
          <w:tcPr>
            <w:tcW w:w="820" w:type="dxa"/>
            <w:tcBorders>
              <w:tl2br w:val="nil"/>
              <w:tr2bl w:val="nil"/>
            </w:tcBorders>
            <w:shd w:val="clear" w:color="auto" w:fill="auto"/>
            <w:vAlign w:val="center"/>
          </w:tcPr>
          <w:p w14:paraId="436E963D">
            <w:pPr>
              <w:widowControl/>
              <w:spacing w:line="240" w:lineRule="auto"/>
              <w:jc w:val="center"/>
              <w:rPr>
                <w:rFonts w:hint="eastAsia" w:ascii="宋体" w:hAnsi="宋体" w:eastAsia="宋体" w:cs="宋体"/>
                <w:color w:val="auto"/>
                <w:kern w:val="0"/>
                <w:sz w:val="22"/>
                <w:szCs w:val="22"/>
                <w:lang w:val="en-US" w:eastAsia="zh-CN" w:bidi="ar-SA"/>
              </w:rPr>
            </w:pPr>
            <w:r>
              <w:rPr>
                <w:rFonts w:hint="eastAsia" w:ascii="宋体" w:hAnsi="宋体" w:eastAsia="宋体" w:cs="宋体"/>
                <w:color w:val="auto"/>
                <w:kern w:val="0"/>
                <w:sz w:val="22"/>
                <w:szCs w:val="22"/>
                <w:lang w:val="en-US" w:eastAsia="zh-CN"/>
              </w:rPr>
              <w:t>平方米</w:t>
            </w:r>
          </w:p>
        </w:tc>
        <w:tc>
          <w:tcPr>
            <w:tcW w:w="1220" w:type="dxa"/>
            <w:tcBorders>
              <w:tl2br w:val="nil"/>
              <w:tr2bl w:val="nil"/>
            </w:tcBorders>
            <w:shd w:val="clear" w:color="auto" w:fill="auto"/>
            <w:vAlign w:val="center"/>
          </w:tcPr>
          <w:p w14:paraId="1F38046C">
            <w:pPr>
              <w:widowControl/>
              <w:spacing w:line="240" w:lineRule="auto"/>
              <w:jc w:val="center"/>
              <w:rPr>
                <w:rFonts w:hint="default" w:ascii="宋体" w:hAnsi="宋体" w:eastAsia="宋体" w:cs="宋体"/>
                <w:color w:val="auto"/>
                <w:kern w:val="0"/>
                <w:sz w:val="22"/>
                <w:szCs w:val="22"/>
                <w:lang w:val="en-US" w:eastAsia="zh-CN" w:bidi="ar-SA"/>
              </w:rPr>
            </w:pPr>
            <w:r>
              <w:rPr>
                <w:rFonts w:hint="eastAsia" w:hAnsi="宋体" w:cs="宋体"/>
                <w:color w:val="auto"/>
                <w:kern w:val="0"/>
                <w:sz w:val="22"/>
                <w:szCs w:val="22"/>
                <w:lang w:val="en-US" w:eastAsia="zh-CN" w:bidi="ar-SA"/>
              </w:rPr>
              <w:t>8</w:t>
            </w:r>
          </w:p>
        </w:tc>
      </w:tr>
      <w:tr w14:paraId="24F26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20" w:type="dxa"/>
            <w:tcBorders>
              <w:tl2br w:val="nil"/>
              <w:tr2bl w:val="nil"/>
            </w:tcBorders>
            <w:shd w:val="clear" w:color="000000" w:fill="FFFFFF"/>
            <w:vAlign w:val="center"/>
          </w:tcPr>
          <w:p w14:paraId="41650055">
            <w:pPr>
              <w:widowControl/>
              <w:spacing w:line="240" w:lineRule="auto"/>
              <w:jc w:val="center"/>
              <w:rPr>
                <w:rFonts w:hAnsi="宋体" w:cs="宋体"/>
                <w:color w:val="auto"/>
                <w:kern w:val="0"/>
                <w:sz w:val="22"/>
                <w:szCs w:val="22"/>
              </w:rPr>
            </w:pPr>
            <w:r>
              <w:rPr>
                <w:rFonts w:hint="eastAsia" w:hAnsi="宋体" w:cs="宋体"/>
                <w:color w:val="auto"/>
                <w:kern w:val="0"/>
                <w:sz w:val="22"/>
                <w:szCs w:val="22"/>
              </w:rPr>
              <w:t xml:space="preserve">11 </w:t>
            </w:r>
          </w:p>
        </w:tc>
        <w:tc>
          <w:tcPr>
            <w:tcW w:w="1720" w:type="dxa"/>
            <w:vMerge w:val="continue"/>
            <w:tcBorders>
              <w:tl2br w:val="nil"/>
              <w:tr2bl w:val="nil"/>
            </w:tcBorders>
            <w:vAlign w:val="center"/>
          </w:tcPr>
          <w:p w14:paraId="769CB5BD">
            <w:pPr>
              <w:widowControl/>
              <w:spacing w:line="240" w:lineRule="auto"/>
              <w:jc w:val="left"/>
              <w:rPr>
                <w:rFonts w:hAnsi="宋体" w:cs="宋体"/>
                <w:color w:val="auto"/>
                <w:kern w:val="0"/>
                <w:sz w:val="22"/>
                <w:szCs w:val="22"/>
              </w:rPr>
            </w:pPr>
          </w:p>
        </w:tc>
        <w:tc>
          <w:tcPr>
            <w:tcW w:w="1940" w:type="dxa"/>
            <w:tcBorders>
              <w:tl2br w:val="nil"/>
              <w:tr2bl w:val="nil"/>
            </w:tcBorders>
            <w:shd w:val="clear" w:color="auto" w:fill="auto"/>
            <w:vAlign w:val="center"/>
          </w:tcPr>
          <w:p w14:paraId="1997D2C1">
            <w:pPr>
              <w:widowControl/>
              <w:spacing w:line="240" w:lineRule="auto"/>
              <w:jc w:val="center"/>
              <w:rPr>
                <w:rFonts w:hint="eastAsia" w:ascii="宋体" w:hAnsi="宋体" w:eastAsia="宋体" w:cs="宋体"/>
                <w:color w:val="auto"/>
                <w:kern w:val="0"/>
                <w:sz w:val="22"/>
                <w:szCs w:val="22"/>
                <w:lang w:val="en-US" w:eastAsia="zh-CN" w:bidi="ar-SA"/>
              </w:rPr>
            </w:pPr>
            <w:r>
              <w:rPr>
                <w:rFonts w:hint="eastAsia" w:hAnsi="宋体" w:cs="宋体"/>
                <w:color w:val="auto"/>
                <w:kern w:val="0"/>
                <w:sz w:val="22"/>
                <w:szCs w:val="22"/>
              </w:rPr>
              <w:t>热浸锌托臂</w:t>
            </w:r>
          </w:p>
        </w:tc>
        <w:tc>
          <w:tcPr>
            <w:tcW w:w="2306" w:type="dxa"/>
            <w:tcBorders>
              <w:tl2br w:val="nil"/>
              <w:tr2bl w:val="nil"/>
            </w:tcBorders>
            <w:shd w:val="clear" w:color="auto" w:fill="auto"/>
            <w:vAlign w:val="center"/>
          </w:tcPr>
          <w:p w14:paraId="10F043BF">
            <w:pPr>
              <w:widowControl/>
              <w:spacing w:line="240" w:lineRule="auto"/>
              <w:jc w:val="center"/>
              <w:rPr>
                <w:rFonts w:hint="eastAsia" w:ascii="宋体" w:hAnsi="宋体" w:eastAsia="宋体" w:cs="宋体"/>
                <w:color w:val="auto"/>
                <w:kern w:val="0"/>
                <w:sz w:val="22"/>
                <w:szCs w:val="22"/>
                <w:lang w:val="en-US" w:eastAsia="zh-CN" w:bidi="ar-SA"/>
              </w:rPr>
            </w:pPr>
            <w:r>
              <w:rPr>
                <w:rFonts w:hint="eastAsia" w:ascii="宋体" w:hAnsi="宋体" w:eastAsia="宋体" w:cs="宋体"/>
                <w:color w:val="auto"/>
                <w:kern w:val="0"/>
                <w:sz w:val="22"/>
                <w:szCs w:val="22"/>
                <w:lang w:val="en-US" w:eastAsia="zh-CN"/>
              </w:rPr>
              <w:t>DQJ-TB-03-800</w:t>
            </w:r>
          </w:p>
        </w:tc>
        <w:tc>
          <w:tcPr>
            <w:tcW w:w="820" w:type="dxa"/>
            <w:tcBorders>
              <w:tl2br w:val="nil"/>
              <w:tr2bl w:val="nil"/>
            </w:tcBorders>
            <w:shd w:val="clear" w:color="auto" w:fill="auto"/>
            <w:vAlign w:val="center"/>
          </w:tcPr>
          <w:p w14:paraId="35B6BA5A">
            <w:pPr>
              <w:widowControl/>
              <w:spacing w:line="240" w:lineRule="auto"/>
              <w:jc w:val="center"/>
              <w:rPr>
                <w:rFonts w:hint="eastAsia" w:ascii="宋体" w:hAnsi="宋体" w:eastAsia="宋体" w:cs="宋体"/>
                <w:color w:val="auto"/>
                <w:kern w:val="0"/>
                <w:sz w:val="22"/>
                <w:szCs w:val="22"/>
                <w:lang w:val="en-US" w:eastAsia="zh-CN" w:bidi="ar-SA"/>
              </w:rPr>
            </w:pPr>
            <w:r>
              <w:rPr>
                <w:rFonts w:hint="eastAsia" w:ascii="宋体" w:hAnsi="宋体" w:eastAsia="宋体" w:cs="宋体"/>
                <w:color w:val="auto"/>
                <w:kern w:val="0"/>
                <w:sz w:val="22"/>
                <w:szCs w:val="22"/>
                <w:lang w:val="en-US" w:eastAsia="zh-CN"/>
              </w:rPr>
              <w:t>个</w:t>
            </w:r>
          </w:p>
        </w:tc>
        <w:tc>
          <w:tcPr>
            <w:tcW w:w="1220" w:type="dxa"/>
            <w:tcBorders>
              <w:tl2br w:val="nil"/>
              <w:tr2bl w:val="nil"/>
            </w:tcBorders>
            <w:shd w:val="clear" w:color="auto" w:fill="auto"/>
            <w:vAlign w:val="center"/>
          </w:tcPr>
          <w:p w14:paraId="2833744D">
            <w:pPr>
              <w:widowControl/>
              <w:spacing w:line="240" w:lineRule="auto"/>
              <w:jc w:val="center"/>
              <w:rPr>
                <w:rFonts w:hint="default" w:ascii="宋体" w:hAnsi="宋体" w:eastAsia="宋体" w:cs="宋体"/>
                <w:color w:val="auto"/>
                <w:kern w:val="0"/>
                <w:sz w:val="22"/>
                <w:szCs w:val="22"/>
                <w:lang w:val="en-US" w:eastAsia="zh-CN" w:bidi="ar-SA"/>
              </w:rPr>
            </w:pPr>
            <w:r>
              <w:rPr>
                <w:rFonts w:hint="eastAsia" w:ascii="宋体" w:hAnsi="宋体" w:eastAsia="宋体" w:cs="宋体"/>
                <w:color w:val="auto"/>
                <w:kern w:val="0"/>
                <w:sz w:val="22"/>
                <w:szCs w:val="22"/>
                <w:lang w:val="en-US" w:eastAsia="zh-CN"/>
              </w:rPr>
              <w:t>2</w:t>
            </w:r>
            <w:r>
              <w:rPr>
                <w:rFonts w:hint="eastAsia" w:hAnsi="宋体" w:cs="宋体"/>
                <w:color w:val="auto"/>
                <w:kern w:val="0"/>
                <w:sz w:val="22"/>
                <w:szCs w:val="22"/>
                <w:lang w:val="en-US" w:eastAsia="zh-CN"/>
              </w:rPr>
              <w:t>0</w:t>
            </w:r>
          </w:p>
        </w:tc>
      </w:tr>
      <w:tr w14:paraId="2A4AE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20" w:type="dxa"/>
            <w:tcBorders>
              <w:tl2br w:val="nil"/>
              <w:tr2bl w:val="nil"/>
            </w:tcBorders>
            <w:shd w:val="clear" w:color="000000" w:fill="FFFFFF"/>
            <w:vAlign w:val="center"/>
          </w:tcPr>
          <w:p w14:paraId="436C77FF">
            <w:pPr>
              <w:widowControl/>
              <w:spacing w:line="240" w:lineRule="auto"/>
              <w:jc w:val="center"/>
              <w:rPr>
                <w:rFonts w:hAnsi="宋体" w:cs="宋体"/>
                <w:color w:val="auto"/>
                <w:kern w:val="0"/>
                <w:sz w:val="22"/>
                <w:szCs w:val="22"/>
              </w:rPr>
            </w:pPr>
            <w:r>
              <w:rPr>
                <w:rFonts w:hint="eastAsia" w:hAnsi="宋体" w:cs="宋体"/>
                <w:color w:val="auto"/>
                <w:kern w:val="0"/>
                <w:sz w:val="22"/>
                <w:szCs w:val="22"/>
              </w:rPr>
              <w:t xml:space="preserve">12 </w:t>
            </w:r>
          </w:p>
        </w:tc>
        <w:tc>
          <w:tcPr>
            <w:tcW w:w="1720" w:type="dxa"/>
            <w:vMerge w:val="continue"/>
            <w:tcBorders>
              <w:tl2br w:val="nil"/>
              <w:tr2bl w:val="nil"/>
            </w:tcBorders>
            <w:vAlign w:val="center"/>
          </w:tcPr>
          <w:p w14:paraId="27A09F2E">
            <w:pPr>
              <w:widowControl/>
              <w:spacing w:line="240" w:lineRule="auto"/>
              <w:jc w:val="left"/>
              <w:rPr>
                <w:rFonts w:hAnsi="宋体" w:cs="宋体"/>
                <w:color w:val="auto"/>
                <w:kern w:val="0"/>
                <w:sz w:val="22"/>
                <w:szCs w:val="22"/>
              </w:rPr>
            </w:pPr>
          </w:p>
        </w:tc>
        <w:tc>
          <w:tcPr>
            <w:tcW w:w="1940" w:type="dxa"/>
            <w:tcBorders>
              <w:tl2br w:val="nil"/>
              <w:tr2bl w:val="nil"/>
            </w:tcBorders>
            <w:shd w:val="clear" w:color="auto" w:fill="auto"/>
            <w:vAlign w:val="center"/>
          </w:tcPr>
          <w:p w14:paraId="003DC607">
            <w:pPr>
              <w:widowControl/>
              <w:spacing w:line="240" w:lineRule="auto"/>
              <w:jc w:val="center"/>
              <w:rPr>
                <w:rFonts w:hint="eastAsia" w:ascii="宋体" w:hAnsi="宋体" w:eastAsia="宋体" w:cs="宋体"/>
                <w:color w:val="auto"/>
                <w:kern w:val="0"/>
                <w:sz w:val="22"/>
                <w:szCs w:val="22"/>
                <w:lang w:val="en-US" w:eastAsia="zh-CN" w:bidi="ar-SA"/>
              </w:rPr>
            </w:pPr>
            <w:r>
              <w:rPr>
                <w:rFonts w:hint="eastAsia" w:hAnsi="宋体" w:cs="宋体"/>
                <w:color w:val="auto"/>
                <w:kern w:val="0"/>
                <w:sz w:val="22"/>
                <w:szCs w:val="22"/>
              </w:rPr>
              <w:t>铜编接地线</w:t>
            </w:r>
          </w:p>
        </w:tc>
        <w:tc>
          <w:tcPr>
            <w:tcW w:w="2306" w:type="dxa"/>
            <w:tcBorders>
              <w:tl2br w:val="nil"/>
              <w:tr2bl w:val="nil"/>
            </w:tcBorders>
            <w:shd w:val="clear" w:color="auto" w:fill="auto"/>
            <w:vAlign w:val="center"/>
          </w:tcPr>
          <w:p w14:paraId="56DE0E34">
            <w:pPr>
              <w:widowControl/>
              <w:spacing w:line="240" w:lineRule="auto"/>
              <w:jc w:val="center"/>
              <w:rPr>
                <w:rFonts w:hint="eastAsia" w:ascii="宋体" w:hAnsi="宋体" w:eastAsia="宋体" w:cs="宋体"/>
                <w:color w:val="auto"/>
                <w:kern w:val="0"/>
                <w:sz w:val="22"/>
                <w:szCs w:val="22"/>
                <w:lang w:val="en-US" w:eastAsia="zh-CN" w:bidi="ar-SA"/>
              </w:rPr>
            </w:pPr>
            <w:r>
              <w:rPr>
                <w:rFonts w:hint="eastAsia" w:ascii="宋体" w:hAnsi="宋体" w:eastAsia="宋体" w:cs="宋体"/>
                <w:color w:val="auto"/>
                <w:kern w:val="0"/>
                <w:sz w:val="22"/>
                <w:szCs w:val="22"/>
                <w:lang w:val="en-US" w:eastAsia="zh-CN"/>
              </w:rPr>
              <w:t>16mm2*</w:t>
            </w:r>
            <w:r>
              <w:rPr>
                <w:rFonts w:hint="eastAsia" w:hAnsi="宋体" w:cs="宋体"/>
                <w:color w:val="auto"/>
                <w:kern w:val="0"/>
                <w:sz w:val="22"/>
                <w:szCs w:val="22"/>
                <w:lang w:val="en-US" w:eastAsia="zh-CN"/>
              </w:rPr>
              <w:t>2</w:t>
            </w:r>
            <w:r>
              <w:rPr>
                <w:rFonts w:hint="eastAsia" w:ascii="宋体" w:hAnsi="宋体" w:eastAsia="宋体" w:cs="宋体"/>
                <w:color w:val="auto"/>
                <w:kern w:val="0"/>
                <w:sz w:val="22"/>
                <w:szCs w:val="22"/>
                <w:lang w:val="en-US" w:eastAsia="zh-CN"/>
              </w:rPr>
              <w:t>50</w:t>
            </w:r>
          </w:p>
        </w:tc>
        <w:tc>
          <w:tcPr>
            <w:tcW w:w="820" w:type="dxa"/>
            <w:tcBorders>
              <w:tl2br w:val="nil"/>
              <w:tr2bl w:val="nil"/>
            </w:tcBorders>
            <w:shd w:val="clear" w:color="auto" w:fill="auto"/>
            <w:vAlign w:val="center"/>
          </w:tcPr>
          <w:p w14:paraId="6A9BB977">
            <w:pPr>
              <w:widowControl/>
              <w:spacing w:line="240" w:lineRule="auto"/>
              <w:jc w:val="center"/>
              <w:rPr>
                <w:rFonts w:hint="eastAsia" w:ascii="宋体" w:hAnsi="宋体" w:eastAsia="宋体" w:cs="宋体"/>
                <w:color w:val="auto"/>
                <w:kern w:val="0"/>
                <w:sz w:val="22"/>
                <w:szCs w:val="22"/>
                <w:lang w:val="en-US" w:eastAsia="zh-CN" w:bidi="ar-SA"/>
              </w:rPr>
            </w:pPr>
            <w:r>
              <w:rPr>
                <w:rFonts w:hint="eastAsia" w:ascii="宋体" w:hAnsi="宋体" w:eastAsia="宋体" w:cs="宋体"/>
                <w:color w:val="auto"/>
                <w:kern w:val="0"/>
                <w:sz w:val="22"/>
                <w:szCs w:val="22"/>
                <w:lang w:val="en-US" w:eastAsia="zh-CN"/>
              </w:rPr>
              <w:t>根</w:t>
            </w:r>
          </w:p>
        </w:tc>
        <w:tc>
          <w:tcPr>
            <w:tcW w:w="1220" w:type="dxa"/>
            <w:tcBorders>
              <w:tl2br w:val="nil"/>
              <w:tr2bl w:val="nil"/>
            </w:tcBorders>
            <w:shd w:val="clear" w:color="auto" w:fill="auto"/>
            <w:vAlign w:val="center"/>
          </w:tcPr>
          <w:p w14:paraId="31D2A138">
            <w:pPr>
              <w:widowControl/>
              <w:spacing w:line="240" w:lineRule="auto"/>
              <w:jc w:val="center"/>
              <w:rPr>
                <w:rFonts w:hint="eastAsia" w:ascii="宋体" w:hAnsi="宋体" w:eastAsia="宋体" w:cs="宋体"/>
                <w:color w:val="auto"/>
                <w:kern w:val="0"/>
                <w:sz w:val="22"/>
                <w:szCs w:val="22"/>
                <w:lang w:val="en-US" w:eastAsia="zh-CN" w:bidi="ar-SA"/>
              </w:rPr>
            </w:pPr>
            <w:r>
              <w:rPr>
                <w:rFonts w:hint="eastAsia" w:hAnsi="宋体" w:cs="宋体"/>
                <w:color w:val="auto"/>
                <w:kern w:val="0"/>
                <w:sz w:val="22"/>
                <w:szCs w:val="22"/>
                <w:lang w:val="en-US" w:eastAsia="zh-CN"/>
              </w:rPr>
              <w:t>40</w:t>
            </w:r>
            <w:r>
              <w:rPr>
                <w:rFonts w:hint="eastAsia" w:ascii="宋体" w:hAnsi="宋体" w:eastAsia="宋体" w:cs="宋体"/>
                <w:color w:val="auto"/>
                <w:kern w:val="0"/>
                <w:sz w:val="22"/>
                <w:szCs w:val="22"/>
                <w:lang w:val="en-US" w:eastAsia="zh-CN"/>
              </w:rPr>
              <w:t xml:space="preserve"> </w:t>
            </w:r>
          </w:p>
        </w:tc>
      </w:tr>
      <w:tr w14:paraId="49654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620" w:type="dxa"/>
            <w:tcBorders>
              <w:tl2br w:val="nil"/>
              <w:tr2bl w:val="nil"/>
            </w:tcBorders>
            <w:shd w:val="clear" w:color="000000" w:fill="FFFFFF"/>
            <w:vAlign w:val="center"/>
          </w:tcPr>
          <w:p w14:paraId="5A5641CC">
            <w:pPr>
              <w:widowControl/>
              <w:spacing w:line="240" w:lineRule="auto"/>
              <w:jc w:val="center"/>
              <w:rPr>
                <w:rFonts w:hAnsi="宋体" w:cs="宋体"/>
                <w:color w:val="auto"/>
                <w:kern w:val="0"/>
                <w:sz w:val="22"/>
                <w:szCs w:val="22"/>
              </w:rPr>
            </w:pPr>
            <w:r>
              <w:rPr>
                <w:rFonts w:hint="eastAsia" w:hAnsi="宋体" w:cs="宋体"/>
                <w:color w:val="auto"/>
                <w:kern w:val="0"/>
                <w:sz w:val="22"/>
                <w:szCs w:val="22"/>
              </w:rPr>
              <w:t xml:space="preserve">14 </w:t>
            </w:r>
          </w:p>
        </w:tc>
        <w:tc>
          <w:tcPr>
            <w:tcW w:w="1720" w:type="dxa"/>
            <w:vMerge w:val="restart"/>
            <w:tcBorders>
              <w:tl2br w:val="nil"/>
              <w:tr2bl w:val="nil"/>
            </w:tcBorders>
            <w:shd w:val="clear" w:color="auto" w:fill="auto"/>
            <w:vAlign w:val="center"/>
          </w:tcPr>
          <w:p w14:paraId="6641A922">
            <w:pPr>
              <w:widowControl/>
              <w:spacing w:line="240" w:lineRule="auto"/>
              <w:jc w:val="center"/>
              <w:rPr>
                <w:rFonts w:hint="eastAsia" w:hAnsi="宋体" w:cs="宋体"/>
                <w:color w:val="auto"/>
                <w:kern w:val="0"/>
                <w:sz w:val="22"/>
                <w:szCs w:val="22"/>
              </w:rPr>
            </w:pPr>
            <w:r>
              <w:rPr>
                <w:rFonts w:hint="eastAsia" w:hAnsi="宋体" w:cs="宋体"/>
                <w:color w:val="auto"/>
                <w:kern w:val="0"/>
                <w:sz w:val="22"/>
                <w:szCs w:val="22"/>
              </w:rPr>
              <w:t>厂房2楼机组机组冷却水进水管处</w:t>
            </w:r>
          </w:p>
        </w:tc>
        <w:tc>
          <w:tcPr>
            <w:tcW w:w="1940" w:type="dxa"/>
            <w:tcBorders>
              <w:tl2br w:val="nil"/>
              <w:tr2bl w:val="nil"/>
            </w:tcBorders>
            <w:shd w:val="clear" w:color="auto" w:fill="auto"/>
            <w:vAlign w:val="center"/>
          </w:tcPr>
          <w:p w14:paraId="5E70B75F">
            <w:pPr>
              <w:widowControl/>
              <w:spacing w:line="240" w:lineRule="auto"/>
              <w:jc w:val="center"/>
              <w:rPr>
                <w:rFonts w:hint="eastAsia" w:hAnsi="宋体" w:cs="宋体"/>
                <w:color w:val="auto"/>
                <w:kern w:val="0"/>
                <w:sz w:val="22"/>
                <w:szCs w:val="22"/>
              </w:rPr>
            </w:pPr>
            <w:r>
              <w:rPr>
                <w:rFonts w:hint="eastAsia" w:hAnsi="宋体" w:cs="宋体"/>
                <w:color w:val="auto"/>
                <w:kern w:val="0"/>
                <w:sz w:val="22"/>
                <w:szCs w:val="22"/>
              </w:rPr>
              <w:t>不锈钢托盘式直通桥架</w:t>
            </w:r>
          </w:p>
        </w:tc>
        <w:tc>
          <w:tcPr>
            <w:tcW w:w="2306" w:type="dxa"/>
            <w:tcBorders>
              <w:tl2br w:val="nil"/>
              <w:tr2bl w:val="nil"/>
            </w:tcBorders>
            <w:shd w:val="clear" w:color="auto" w:fill="auto"/>
            <w:vAlign w:val="center"/>
          </w:tcPr>
          <w:p w14:paraId="4B43DEEB">
            <w:pPr>
              <w:widowControl/>
              <w:spacing w:line="240" w:lineRule="auto"/>
              <w:jc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lang w:val="en-US" w:eastAsia="zh-CN"/>
              </w:rPr>
              <w:t>DQJ-P-ZT-100×100，L=2000</w:t>
            </w:r>
          </w:p>
        </w:tc>
        <w:tc>
          <w:tcPr>
            <w:tcW w:w="820" w:type="dxa"/>
            <w:tcBorders>
              <w:tl2br w:val="nil"/>
              <w:tr2bl w:val="nil"/>
            </w:tcBorders>
            <w:shd w:val="clear" w:color="auto" w:fill="auto"/>
            <w:vAlign w:val="center"/>
          </w:tcPr>
          <w:p w14:paraId="52A6AF92">
            <w:pPr>
              <w:widowControl/>
              <w:spacing w:line="240" w:lineRule="auto"/>
              <w:jc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lang w:val="en-US" w:eastAsia="zh-CN"/>
              </w:rPr>
              <w:t>套</w:t>
            </w:r>
          </w:p>
        </w:tc>
        <w:tc>
          <w:tcPr>
            <w:tcW w:w="1220" w:type="dxa"/>
            <w:tcBorders>
              <w:tl2br w:val="nil"/>
              <w:tr2bl w:val="nil"/>
            </w:tcBorders>
            <w:shd w:val="clear" w:color="auto" w:fill="auto"/>
            <w:vAlign w:val="center"/>
          </w:tcPr>
          <w:p w14:paraId="3F7CFD4D">
            <w:pPr>
              <w:widowControl/>
              <w:spacing w:line="240" w:lineRule="auto"/>
              <w:jc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lang w:val="en-US" w:eastAsia="zh-CN"/>
              </w:rPr>
              <w:t xml:space="preserve">5 </w:t>
            </w:r>
          </w:p>
        </w:tc>
      </w:tr>
      <w:tr w14:paraId="5AE09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620" w:type="dxa"/>
            <w:tcBorders>
              <w:tl2br w:val="nil"/>
              <w:tr2bl w:val="nil"/>
            </w:tcBorders>
            <w:shd w:val="clear" w:color="000000" w:fill="FFFFFF"/>
            <w:vAlign w:val="center"/>
          </w:tcPr>
          <w:p w14:paraId="7BE04E76">
            <w:pPr>
              <w:widowControl/>
              <w:spacing w:line="240" w:lineRule="auto"/>
              <w:jc w:val="center"/>
              <w:rPr>
                <w:rFonts w:hAnsi="宋体" w:cs="宋体"/>
                <w:color w:val="auto"/>
                <w:kern w:val="0"/>
                <w:sz w:val="22"/>
                <w:szCs w:val="22"/>
              </w:rPr>
            </w:pPr>
            <w:r>
              <w:rPr>
                <w:rFonts w:hint="eastAsia" w:hAnsi="宋体" w:cs="宋体"/>
                <w:color w:val="auto"/>
                <w:kern w:val="0"/>
                <w:sz w:val="22"/>
                <w:szCs w:val="22"/>
              </w:rPr>
              <w:t xml:space="preserve">15 </w:t>
            </w:r>
          </w:p>
        </w:tc>
        <w:tc>
          <w:tcPr>
            <w:tcW w:w="1720" w:type="dxa"/>
            <w:vMerge w:val="continue"/>
            <w:tcBorders>
              <w:tl2br w:val="nil"/>
              <w:tr2bl w:val="nil"/>
            </w:tcBorders>
            <w:vAlign w:val="center"/>
          </w:tcPr>
          <w:p w14:paraId="77AC4466">
            <w:pPr>
              <w:widowControl/>
              <w:spacing w:line="240" w:lineRule="auto"/>
              <w:jc w:val="left"/>
              <w:rPr>
                <w:rFonts w:hAnsi="宋体" w:cs="宋体"/>
                <w:color w:val="auto"/>
                <w:kern w:val="0"/>
                <w:sz w:val="22"/>
                <w:szCs w:val="22"/>
              </w:rPr>
            </w:pPr>
          </w:p>
        </w:tc>
        <w:tc>
          <w:tcPr>
            <w:tcW w:w="1940" w:type="dxa"/>
            <w:tcBorders>
              <w:tl2br w:val="nil"/>
              <w:tr2bl w:val="nil"/>
            </w:tcBorders>
            <w:shd w:val="clear" w:color="auto" w:fill="auto"/>
            <w:vAlign w:val="center"/>
          </w:tcPr>
          <w:p w14:paraId="36AACB47">
            <w:pPr>
              <w:widowControl/>
              <w:spacing w:line="240" w:lineRule="auto"/>
              <w:jc w:val="center"/>
              <w:rPr>
                <w:rFonts w:hint="eastAsia" w:hAnsi="宋体" w:cs="宋体"/>
                <w:color w:val="auto"/>
                <w:kern w:val="0"/>
                <w:sz w:val="22"/>
                <w:szCs w:val="22"/>
              </w:rPr>
            </w:pPr>
            <w:r>
              <w:rPr>
                <w:rFonts w:hint="eastAsia" w:hAnsi="宋体" w:cs="宋体"/>
                <w:color w:val="auto"/>
                <w:kern w:val="0"/>
                <w:sz w:val="22"/>
                <w:szCs w:val="22"/>
              </w:rPr>
              <w:t>不锈钢托盘式直通桥架</w:t>
            </w:r>
          </w:p>
        </w:tc>
        <w:tc>
          <w:tcPr>
            <w:tcW w:w="2306" w:type="dxa"/>
            <w:tcBorders>
              <w:tl2br w:val="nil"/>
              <w:tr2bl w:val="nil"/>
            </w:tcBorders>
            <w:shd w:val="clear" w:color="auto" w:fill="auto"/>
            <w:vAlign w:val="center"/>
          </w:tcPr>
          <w:p w14:paraId="1D1D5993">
            <w:pPr>
              <w:widowControl/>
              <w:spacing w:line="240" w:lineRule="auto"/>
              <w:jc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lang w:val="en-US" w:eastAsia="zh-CN"/>
              </w:rPr>
              <w:t>DQJ-P-ZT-80×100，L=2000</w:t>
            </w:r>
          </w:p>
        </w:tc>
        <w:tc>
          <w:tcPr>
            <w:tcW w:w="820" w:type="dxa"/>
            <w:tcBorders>
              <w:tl2br w:val="nil"/>
              <w:tr2bl w:val="nil"/>
            </w:tcBorders>
            <w:shd w:val="clear" w:color="auto" w:fill="auto"/>
            <w:vAlign w:val="center"/>
          </w:tcPr>
          <w:p w14:paraId="09CFB6B8">
            <w:pPr>
              <w:widowControl/>
              <w:spacing w:line="240" w:lineRule="auto"/>
              <w:jc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lang w:val="en-US" w:eastAsia="zh-CN"/>
              </w:rPr>
              <w:t>套</w:t>
            </w:r>
          </w:p>
        </w:tc>
        <w:tc>
          <w:tcPr>
            <w:tcW w:w="1220" w:type="dxa"/>
            <w:tcBorders>
              <w:tl2br w:val="nil"/>
              <w:tr2bl w:val="nil"/>
            </w:tcBorders>
            <w:shd w:val="clear" w:color="auto" w:fill="auto"/>
            <w:vAlign w:val="center"/>
          </w:tcPr>
          <w:p w14:paraId="40BBE856">
            <w:pPr>
              <w:widowControl/>
              <w:spacing w:line="240" w:lineRule="auto"/>
              <w:jc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lang w:val="en-US" w:eastAsia="zh-CN"/>
              </w:rPr>
              <w:t>1</w:t>
            </w:r>
            <w:r>
              <w:rPr>
                <w:rFonts w:hint="eastAsia" w:hAnsi="宋体" w:cs="宋体"/>
                <w:color w:val="auto"/>
                <w:kern w:val="0"/>
                <w:sz w:val="22"/>
                <w:szCs w:val="22"/>
                <w:lang w:val="en-US" w:eastAsia="zh-CN"/>
              </w:rPr>
              <w:t>4</w:t>
            </w:r>
            <w:r>
              <w:rPr>
                <w:rFonts w:hint="eastAsia" w:ascii="宋体" w:hAnsi="宋体" w:eastAsia="宋体" w:cs="宋体"/>
                <w:color w:val="auto"/>
                <w:kern w:val="0"/>
                <w:sz w:val="22"/>
                <w:szCs w:val="22"/>
                <w:lang w:val="en-US" w:eastAsia="zh-CN"/>
              </w:rPr>
              <w:t xml:space="preserve"> </w:t>
            </w:r>
          </w:p>
        </w:tc>
      </w:tr>
      <w:tr w14:paraId="033FF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20" w:type="dxa"/>
            <w:tcBorders>
              <w:tl2br w:val="nil"/>
              <w:tr2bl w:val="nil"/>
            </w:tcBorders>
            <w:shd w:val="clear" w:color="000000" w:fill="FFFFFF"/>
            <w:vAlign w:val="center"/>
          </w:tcPr>
          <w:p w14:paraId="34CB7DC2">
            <w:pPr>
              <w:widowControl/>
              <w:spacing w:line="240" w:lineRule="auto"/>
              <w:jc w:val="center"/>
              <w:rPr>
                <w:rFonts w:hAnsi="宋体" w:cs="宋体"/>
                <w:color w:val="auto"/>
                <w:kern w:val="0"/>
                <w:sz w:val="22"/>
                <w:szCs w:val="22"/>
              </w:rPr>
            </w:pPr>
            <w:r>
              <w:rPr>
                <w:rFonts w:hint="eastAsia" w:hAnsi="宋体" w:cs="宋体"/>
                <w:color w:val="auto"/>
                <w:kern w:val="0"/>
                <w:sz w:val="22"/>
                <w:szCs w:val="22"/>
              </w:rPr>
              <w:t xml:space="preserve">16 </w:t>
            </w:r>
          </w:p>
        </w:tc>
        <w:tc>
          <w:tcPr>
            <w:tcW w:w="1720" w:type="dxa"/>
            <w:vMerge w:val="continue"/>
            <w:tcBorders>
              <w:tl2br w:val="nil"/>
              <w:tr2bl w:val="nil"/>
            </w:tcBorders>
            <w:vAlign w:val="center"/>
          </w:tcPr>
          <w:p w14:paraId="5AFF0058">
            <w:pPr>
              <w:widowControl/>
              <w:spacing w:line="240" w:lineRule="auto"/>
              <w:jc w:val="left"/>
              <w:rPr>
                <w:rFonts w:hAnsi="宋体" w:cs="宋体"/>
                <w:color w:val="auto"/>
                <w:kern w:val="0"/>
                <w:sz w:val="22"/>
                <w:szCs w:val="22"/>
              </w:rPr>
            </w:pPr>
          </w:p>
        </w:tc>
        <w:tc>
          <w:tcPr>
            <w:tcW w:w="1940" w:type="dxa"/>
            <w:tcBorders>
              <w:tl2br w:val="nil"/>
              <w:tr2bl w:val="nil"/>
            </w:tcBorders>
            <w:shd w:val="clear" w:color="auto" w:fill="auto"/>
            <w:vAlign w:val="center"/>
          </w:tcPr>
          <w:p w14:paraId="755E9523">
            <w:pPr>
              <w:widowControl/>
              <w:spacing w:line="240" w:lineRule="auto"/>
              <w:jc w:val="center"/>
              <w:rPr>
                <w:rFonts w:hint="eastAsia" w:hAnsi="宋体" w:cs="宋体"/>
                <w:color w:val="auto"/>
                <w:kern w:val="0"/>
                <w:sz w:val="22"/>
                <w:szCs w:val="22"/>
              </w:rPr>
            </w:pPr>
            <w:r>
              <w:rPr>
                <w:rFonts w:hint="eastAsia" w:hAnsi="宋体" w:cs="宋体"/>
                <w:color w:val="auto"/>
                <w:kern w:val="0"/>
                <w:sz w:val="22"/>
                <w:szCs w:val="22"/>
              </w:rPr>
              <w:t>铜编接地线</w:t>
            </w:r>
          </w:p>
        </w:tc>
        <w:tc>
          <w:tcPr>
            <w:tcW w:w="2306" w:type="dxa"/>
            <w:tcBorders>
              <w:tl2br w:val="nil"/>
              <w:tr2bl w:val="nil"/>
            </w:tcBorders>
            <w:shd w:val="clear" w:color="auto" w:fill="auto"/>
            <w:vAlign w:val="center"/>
          </w:tcPr>
          <w:p w14:paraId="42B35EF5">
            <w:pPr>
              <w:widowControl/>
              <w:spacing w:line="240" w:lineRule="auto"/>
              <w:jc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lang w:val="en-US" w:eastAsia="zh-CN"/>
              </w:rPr>
              <w:t>16mm2*</w:t>
            </w:r>
            <w:r>
              <w:rPr>
                <w:rFonts w:hint="eastAsia" w:hAnsi="宋体" w:cs="宋体"/>
                <w:color w:val="auto"/>
                <w:kern w:val="0"/>
                <w:sz w:val="22"/>
                <w:szCs w:val="22"/>
                <w:lang w:val="en-US" w:eastAsia="zh-CN"/>
              </w:rPr>
              <w:t>2</w:t>
            </w:r>
            <w:r>
              <w:rPr>
                <w:rFonts w:hint="eastAsia" w:ascii="宋体" w:hAnsi="宋体" w:eastAsia="宋体" w:cs="宋体"/>
                <w:color w:val="auto"/>
                <w:kern w:val="0"/>
                <w:sz w:val="22"/>
                <w:szCs w:val="22"/>
                <w:lang w:val="en-US" w:eastAsia="zh-CN"/>
              </w:rPr>
              <w:t>50</w:t>
            </w:r>
          </w:p>
        </w:tc>
        <w:tc>
          <w:tcPr>
            <w:tcW w:w="820" w:type="dxa"/>
            <w:tcBorders>
              <w:tl2br w:val="nil"/>
              <w:tr2bl w:val="nil"/>
            </w:tcBorders>
            <w:shd w:val="clear" w:color="auto" w:fill="auto"/>
            <w:vAlign w:val="center"/>
          </w:tcPr>
          <w:p w14:paraId="0DA951C4">
            <w:pPr>
              <w:widowControl/>
              <w:spacing w:line="240" w:lineRule="auto"/>
              <w:jc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lang w:val="en-US" w:eastAsia="zh-CN"/>
              </w:rPr>
              <w:t>根</w:t>
            </w:r>
          </w:p>
        </w:tc>
        <w:tc>
          <w:tcPr>
            <w:tcW w:w="1220" w:type="dxa"/>
            <w:tcBorders>
              <w:tl2br w:val="nil"/>
              <w:tr2bl w:val="nil"/>
            </w:tcBorders>
            <w:shd w:val="clear" w:color="auto" w:fill="auto"/>
            <w:vAlign w:val="center"/>
          </w:tcPr>
          <w:p w14:paraId="451B770B">
            <w:pPr>
              <w:widowControl/>
              <w:spacing w:line="240" w:lineRule="auto"/>
              <w:jc w:val="center"/>
              <w:rPr>
                <w:rFonts w:hint="eastAsia" w:ascii="宋体" w:hAnsi="宋体" w:eastAsia="宋体" w:cs="宋体"/>
                <w:color w:val="auto"/>
                <w:kern w:val="0"/>
                <w:sz w:val="22"/>
                <w:szCs w:val="22"/>
              </w:rPr>
            </w:pPr>
            <w:r>
              <w:rPr>
                <w:rFonts w:hint="eastAsia" w:hAnsi="宋体" w:cs="宋体"/>
                <w:color w:val="auto"/>
                <w:kern w:val="0"/>
                <w:sz w:val="22"/>
                <w:szCs w:val="22"/>
                <w:lang w:val="en-US" w:eastAsia="zh-CN"/>
              </w:rPr>
              <w:t>20</w:t>
            </w:r>
            <w:r>
              <w:rPr>
                <w:rFonts w:hint="eastAsia" w:ascii="宋体" w:hAnsi="宋体" w:eastAsia="宋体" w:cs="宋体"/>
                <w:color w:val="auto"/>
                <w:kern w:val="0"/>
                <w:sz w:val="22"/>
                <w:szCs w:val="22"/>
                <w:lang w:val="en-US" w:eastAsia="zh-CN"/>
              </w:rPr>
              <w:t xml:space="preserve"> </w:t>
            </w:r>
          </w:p>
        </w:tc>
      </w:tr>
      <w:tr w14:paraId="58D89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620" w:type="dxa"/>
            <w:tcBorders>
              <w:tl2br w:val="nil"/>
              <w:tr2bl w:val="nil"/>
            </w:tcBorders>
            <w:shd w:val="clear" w:color="000000" w:fill="FFFFFF"/>
            <w:vAlign w:val="center"/>
          </w:tcPr>
          <w:p w14:paraId="43117EA7">
            <w:pPr>
              <w:widowControl/>
              <w:spacing w:line="240" w:lineRule="auto"/>
              <w:jc w:val="center"/>
              <w:rPr>
                <w:rFonts w:hAnsi="宋体" w:cs="宋体"/>
                <w:color w:val="auto"/>
                <w:kern w:val="0"/>
                <w:sz w:val="22"/>
                <w:szCs w:val="22"/>
              </w:rPr>
            </w:pPr>
            <w:r>
              <w:rPr>
                <w:rFonts w:hint="eastAsia" w:hAnsi="宋体" w:cs="宋体"/>
                <w:color w:val="auto"/>
                <w:kern w:val="0"/>
                <w:sz w:val="22"/>
                <w:szCs w:val="22"/>
              </w:rPr>
              <w:t xml:space="preserve">17 </w:t>
            </w:r>
          </w:p>
        </w:tc>
        <w:tc>
          <w:tcPr>
            <w:tcW w:w="1720" w:type="dxa"/>
            <w:vMerge w:val="restart"/>
            <w:tcBorders>
              <w:tl2br w:val="nil"/>
              <w:tr2bl w:val="nil"/>
            </w:tcBorders>
            <w:shd w:val="clear" w:color="auto" w:fill="auto"/>
            <w:vAlign w:val="center"/>
          </w:tcPr>
          <w:p w14:paraId="05740148">
            <w:pPr>
              <w:widowControl/>
              <w:spacing w:line="240" w:lineRule="auto"/>
              <w:jc w:val="center"/>
              <w:rPr>
                <w:rFonts w:hint="eastAsia" w:hAnsi="宋体" w:cs="宋体"/>
                <w:color w:val="auto"/>
                <w:kern w:val="0"/>
                <w:sz w:val="22"/>
                <w:szCs w:val="22"/>
              </w:rPr>
            </w:pPr>
            <w:r>
              <w:rPr>
                <w:rFonts w:hint="eastAsia" w:hAnsi="宋体" w:cs="宋体"/>
                <w:color w:val="auto"/>
                <w:kern w:val="0"/>
                <w:sz w:val="22"/>
                <w:szCs w:val="22"/>
              </w:rPr>
              <w:t>厂房1楼备用供水泵至机组冷却水管道</w:t>
            </w:r>
          </w:p>
        </w:tc>
        <w:tc>
          <w:tcPr>
            <w:tcW w:w="1940" w:type="dxa"/>
            <w:tcBorders>
              <w:tl2br w:val="nil"/>
              <w:tr2bl w:val="nil"/>
            </w:tcBorders>
            <w:shd w:val="clear" w:color="auto" w:fill="auto"/>
            <w:vAlign w:val="center"/>
          </w:tcPr>
          <w:p w14:paraId="378C8286">
            <w:pPr>
              <w:widowControl/>
              <w:spacing w:line="240" w:lineRule="auto"/>
              <w:jc w:val="center"/>
              <w:rPr>
                <w:rFonts w:hint="eastAsia" w:hAnsi="宋体" w:cs="宋体"/>
                <w:color w:val="auto"/>
                <w:kern w:val="0"/>
                <w:sz w:val="22"/>
                <w:szCs w:val="22"/>
              </w:rPr>
            </w:pPr>
            <w:r>
              <w:rPr>
                <w:rFonts w:hint="eastAsia" w:hAnsi="宋体" w:cs="宋体"/>
                <w:color w:val="auto"/>
                <w:kern w:val="0"/>
                <w:sz w:val="22"/>
                <w:szCs w:val="22"/>
              </w:rPr>
              <w:t>不锈钢托盘式直通桥架</w:t>
            </w:r>
          </w:p>
        </w:tc>
        <w:tc>
          <w:tcPr>
            <w:tcW w:w="2306" w:type="dxa"/>
            <w:tcBorders>
              <w:tl2br w:val="nil"/>
              <w:tr2bl w:val="nil"/>
            </w:tcBorders>
            <w:shd w:val="clear" w:color="auto" w:fill="auto"/>
            <w:vAlign w:val="center"/>
          </w:tcPr>
          <w:p w14:paraId="2D63F245">
            <w:pPr>
              <w:widowControl/>
              <w:spacing w:line="240" w:lineRule="auto"/>
              <w:jc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lang w:val="en-US" w:eastAsia="zh-CN"/>
              </w:rPr>
              <w:t>DQJ-P-ZT-</w:t>
            </w:r>
            <w:r>
              <w:rPr>
                <w:rFonts w:hint="eastAsia" w:hAnsi="宋体" w:cs="宋体"/>
                <w:color w:val="auto"/>
                <w:kern w:val="0"/>
                <w:sz w:val="22"/>
                <w:szCs w:val="22"/>
                <w:lang w:val="en-US" w:eastAsia="zh-CN"/>
              </w:rPr>
              <w:t>1</w:t>
            </w:r>
            <w:r>
              <w:rPr>
                <w:rFonts w:hint="eastAsia" w:ascii="宋体" w:hAnsi="宋体" w:eastAsia="宋体" w:cs="宋体"/>
                <w:color w:val="auto"/>
                <w:kern w:val="0"/>
                <w:sz w:val="22"/>
                <w:szCs w:val="22"/>
                <w:lang w:val="en-US" w:eastAsia="zh-CN"/>
              </w:rPr>
              <w:t>00×</w:t>
            </w:r>
            <w:r>
              <w:rPr>
                <w:rFonts w:hint="eastAsia" w:hAnsi="宋体" w:cs="宋体"/>
                <w:color w:val="auto"/>
                <w:kern w:val="0"/>
                <w:sz w:val="22"/>
                <w:szCs w:val="22"/>
                <w:lang w:val="en-US" w:eastAsia="zh-CN"/>
              </w:rPr>
              <w:t>3</w:t>
            </w:r>
            <w:r>
              <w:rPr>
                <w:rFonts w:hint="eastAsia" w:ascii="宋体" w:hAnsi="宋体" w:eastAsia="宋体" w:cs="宋体"/>
                <w:color w:val="auto"/>
                <w:kern w:val="0"/>
                <w:sz w:val="22"/>
                <w:szCs w:val="22"/>
                <w:lang w:val="en-US" w:eastAsia="zh-CN"/>
              </w:rPr>
              <w:t>00，L=2000</w:t>
            </w:r>
          </w:p>
        </w:tc>
        <w:tc>
          <w:tcPr>
            <w:tcW w:w="820" w:type="dxa"/>
            <w:tcBorders>
              <w:tl2br w:val="nil"/>
              <w:tr2bl w:val="nil"/>
            </w:tcBorders>
            <w:shd w:val="clear" w:color="auto" w:fill="auto"/>
            <w:vAlign w:val="center"/>
          </w:tcPr>
          <w:p w14:paraId="19E5C009">
            <w:pPr>
              <w:widowControl/>
              <w:spacing w:line="240" w:lineRule="auto"/>
              <w:jc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lang w:val="en-US" w:eastAsia="zh-CN"/>
              </w:rPr>
              <w:t>套</w:t>
            </w:r>
          </w:p>
        </w:tc>
        <w:tc>
          <w:tcPr>
            <w:tcW w:w="1220" w:type="dxa"/>
            <w:tcBorders>
              <w:tl2br w:val="nil"/>
              <w:tr2bl w:val="nil"/>
            </w:tcBorders>
            <w:shd w:val="clear" w:color="auto" w:fill="auto"/>
            <w:vAlign w:val="center"/>
          </w:tcPr>
          <w:p w14:paraId="66424BB8">
            <w:pPr>
              <w:widowControl/>
              <w:spacing w:line="240" w:lineRule="auto"/>
              <w:jc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lang w:val="en-US" w:eastAsia="zh-CN"/>
              </w:rPr>
              <w:t xml:space="preserve">8 </w:t>
            </w:r>
          </w:p>
        </w:tc>
      </w:tr>
      <w:tr w14:paraId="04EEC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20" w:type="dxa"/>
            <w:tcBorders>
              <w:tl2br w:val="nil"/>
              <w:tr2bl w:val="nil"/>
            </w:tcBorders>
            <w:shd w:val="clear" w:color="000000" w:fill="FFFFFF"/>
            <w:vAlign w:val="center"/>
          </w:tcPr>
          <w:p w14:paraId="1F007B3F">
            <w:pPr>
              <w:widowControl/>
              <w:spacing w:line="240" w:lineRule="auto"/>
              <w:jc w:val="center"/>
              <w:rPr>
                <w:rFonts w:hAnsi="宋体" w:cs="宋体"/>
                <w:color w:val="auto"/>
                <w:kern w:val="0"/>
                <w:sz w:val="22"/>
                <w:szCs w:val="22"/>
              </w:rPr>
            </w:pPr>
            <w:r>
              <w:rPr>
                <w:rFonts w:hint="eastAsia" w:hAnsi="宋体" w:cs="宋体"/>
                <w:color w:val="auto"/>
                <w:kern w:val="0"/>
                <w:sz w:val="22"/>
                <w:szCs w:val="22"/>
              </w:rPr>
              <w:t xml:space="preserve">18 </w:t>
            </w:r>
          </w:p>
        </w:tc>
        <w:tc>
          <w:tcPr>
            <w:tcW w:w="1720" w:type="dxa"/>
            <w:vMerge w:val="continue"/>
            <w:tcBorders>
              <w:tl2br w:val="nil"/>
              <w:tr2bl w:val="nil"/>
            </w:tcBorders>
            <w:vAlign w:val="center"/>
          </w:tcPr>
          <w:p w14:paraId="5B5BB22B">
            <w:pPr>
              <w:widowControl/>
              <w:spacing w:line="240" w:lineRule="auto"/>
              <w:jc w:val="left"/>
              <w:rPr>
                <w:rFonts w:hAnsi="宋体" w:cs="宋体"/>
                <w:color w:val="auto"/>
                <w:kern w:val="0"/>
                <w:sz w:val="22"/>
                <w:szCs w:val="22"/>
              </w:rPr>
            </w:pPr>
          </w:p>
        </w:tc>
        <w:tc>
          <w:tcPr>
            <w:tcW w:w="1940" w:type="dxa"/>
            <w:tcBorders>
              <w:tl2br w:val="nil"/>
              <w:tr2bl w:val="nil"/>
            </w:tcBorders>
            <w:shd w:val="clear" w:color="auto" w:fill="auto"/>
            <w:vAlign w:val="center"/>
          </w:tcPr>
          <w:p w14:paraId="7DB18D4B">
            <w:pPr>
              <w:widowControl/>
              <w:spacing w:line="240" w:lineRule="auto"/>
              <w:jc w:val="center"/>
              <w:rPr>
                <w:rFonts w:hint="eastAsia" w:hAnsi="宋体" w:cs="宋体"/>
                <w:color w:val="auto"/>
                <w:kern w:val="0"/>
                <w:sz w:val="22"/>
                <w:szCs w:val="22"/>
              </w:rPr>
            </w:pPr>
            <w:r>
              <w:rPr>
                <w:rFonts w:hint="eastAsia" w:hAnsi="宋体" w:cs="宋体"/>
                <w:color w:val="auto"/>
                <w:kern w:val="0"/>
                <w:sz w:val="22"/>
                <w:szCs w:val="22"/>
              </w:rPr>
              <w:t>铜编接地线</w:t>
            </w:r>
          </w:p>
        </w:tc>
        <w:tc>
          <w:tcPr>
            <w:tcW w:w="2306" w:type="dxa"/>
            <w:tcBorders>
              <w:tl2br w:val="nil"/>
              <w:tr2bl w:val="nil"/>
            </w:tcBorders>
            <w:shd w:val="clear" w:color="auto" w:fill="auto"/>
            <w:vAlign w:val="center"/>
          </w:tcPr>
          <w:p w14:paraId="6A67DA1E">
            <w:pPr>
              <w:widowControl/>
              <w:spacing w:line="240" w:lineRule="auto"/>
              <w:jc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lang w:val="en-US" w:eastAsia="zh-CN"/>
              </w:rPr>
              <w:t>16mm2*</w:t>
            </w:r>
            <w:r>
              <w:rPr>
                <w:rFonts w:hint="eastAsia" w:hAnsi="宋体" w:cs="宋体"/>
                <w:color w:val="auto"/>
                <w:kern w:val="0"/>
                <w:sz w:val="22"/>
                <w:szCs w:val="22"/>
                <w:lang w:val="en-US" w:eastAsia="zh-CN"/>
              </w:rPr>
              <w:t>2</w:t>
            </w:r>
            <w:r>
              <w:rPr>
                <w:rFonts w:hint="eastAsia" w:ascii="宋体" w:hAnsi="宋体" w:eastAsia="宋体" w:cs="宋体"/>
                <w:color w:val="auto"/>
                <w:kern w:val="0"/>
                <w:sz w:val="22"/>
                <w:szCs w:val="22"/>
                <w:lang w:val="en-US" w:eastAsia="zh-CN"/>
              </w:rPr>
              <w:t>50</w:t>
            </w:r>
          </w:p>
        </w:tc>
        <w:tc>
          <w:tcPr>
            <w:tcW w:w="820" w:type="dxa"/>
            <w:tcBorders>
              <w:tl2br w:val="nil"/>
              <w:tr2bl w:val="nil"/>
            </w:tcBorders>
            <w:shd w:val="clear" w:color="auto" w:fill="auto"/>
            <w:vAlign w:val="center"/>
          </w:tcPr>
          <w:p w14:paraId="74E78230">
            <w:pPr>
              <w:widowControl/>
              <w:spacing w:line="240" w:lineRule="auto"/>
              <w:jc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lang w:val="en-US" w:eastAsia="zh-CN"/>
              </w:rPr>
              <w:t>根</w:t>
            </w:r>
          </w:p>
        </w:tc>
        <w:tc>
          <w:tcPr>
            <w:tcW w:w="1220" w:type="dxa"/>
            <w:tcBorders>
              <w:tl2br w:val="nil"/>
              <w:tr2bl w:val="nil"/>
            </w:tcBorders>
            <w:shd w:val="clear" w:color="auto" w:fill="auto"/>
            <w:vAlign w:val="center"/>
          </w:tcPr>
          <w:p w14:paraId="7FD5C06B">
            <w:pPr>
              <w:widowControl/>
              <w:spacing w:line="240" w:lineRule="auto"/>
              <w:jc w:val="center"/>
              <w:rPr>
                <w:rFonts w:hint="default" w:ascii="宋体" w:hAnsi="宋体" w:eastAsia="宋体" w:cs="宋体"/>
                <w:color w:val="auto"/>
                <w:kern w:val="0"/>
                <w:sz w:val="22"/>
                <w:szCs w:val="22"/>
                <w:lang w:val="en-US" w:eastAsia="zh-CN"/>
              </w:rPr>
            </w:pPr>
            <w:r>
              <w:rPr>
                <w:rFonts w:hint="eastAsia" w:hAnsi="宋体" w:cs="宋体"/>
                <w:color w:val="auto"/>
                <w:kern w:val="0"/>
                <w:sz w:val="22"/>
                <w:szCs w:val="22"/>
                <w:lang w:val="en-US" w:eastAsia="zh-CN"/>
              </w:rPr>
              <w:t>20</w:t>
            </w:r>
          </w:p>
        </w:tc>
      </w:tr>
      <w:tr w14:paraId="278A5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20" w:type="dxa"/>
            <w:tcBorders>
              <w:tl2br w:val="nil"/>
              <w:tr2bl w:val="nil"/>
            </w:tcBorders>
            <w:shd w:val="clear" w:color="000000" w:fill="FFFFFF"/>
            <w:vAlign w:val="center"/>
          </w:tcPr>
          <w:p w14:paraId="219255DC">
            <w:pPr>
              <w:widowControl/>
              <w:spacing w:line="240" w:lineRule="auto"/>
              <w:jc w:val="center"/>
              <w:rPr>
                <w:rFonts w:hAnsi="宋体" w:cs="宋体"/>
                <w:color w:val="auto"/>
                <w:kern w:val="0"/>
                <w:sz w:val="22"/>
                <w:szCs w:val="22"/>
              </w:rPr>
            </w:pPr>
            <w:r>
              <w:rPr>
                <w:rFonts w:hint="eastAsia" w:hAnsi="宋体" w:cs="宋体"/>
                <w:color w:val="auto"/>
                <w:kern w:val="0"/>
                <w:sz w:val="22"/>
                <w:szCs w:val="22"/>
              </w:rPr>
              <w:t xml:space="preserve">19 </w:t>
            </w:r>
          </w:p>
        </w:tc>
        <w:tc>
          <w:tcPr>
            <w:tcW w:w="1720" w:type="dxa"/>
            <w:vMerge w:val="restart"/>
            <w:tcBorders>
              <w:tl2br w:val="nil"/>
              <w:tr2bl w:val="nil"/>
            </w:tcBorders>
            <w:shd w:val="clear" w:color="auto" w:fill="auto"/>
            <w:noWrap/>
            <w:vAlign w:val="center"/>
          </w:tcPr>
          <w:p w14:paraId="75D6B795">
            <w:pPr>
              <w:widowControl/>
              <w:spacing w:line="240" w:lineRule="auto"/>
              <w:jc w:val="center"/>
              <w:rPr>
                <w:rFonts w:hint="eastAsia" w:hAnsi="宋体" w:cs="宋体"/>
                <w:color w:val="auto"/>
                <w:kern w:val="0"/>
                <w:sz w:val="22"/>
                <w:szCs w:val="22"/>
              </w:rPr>
            </w:pPr>
            <w:r>
              <w:rPr>
                <w:rFonts w:hint="eastAsia" w:hAnsi="宋体" w:cs="宋体"/>
                <w:color w:val="auto"/>
                <w:kern w:val="0"/>
                <w:sz w:val="22"/>
                <w:szCs w:val="22"/>
              </w:rPr>
              <w:t>防火材料</w:t>
            </w:r>
          </w:p>
        </w:tc>
        <w:tc>
          <w:tcPr>
            <w:tcW w:w="1940" w:type="dxa"/>
            <w:tcBorders>
              <w:tl2br w:val="nil"/>
              <w:tr2bl w:val="nil"/>
            </w:tcBorders>
            <w:shd w:val="clear" w:color="auto" w:fill="auto"/>
            <w:noWrap/>
            <w:vAlign w:val="center"/>
          </w:tcPr>
          <w:p w14:paraId="694BDF22">
            <w:pPr>
              <w:widowControl/>
              <w:spacing w:line="240" w:lineRule="auto"/>
              <w:jc w:val="center"/>
              <w:rPr>
                <w:rFonts w:hint="eastAsia" w:hAnsi="宋体" w:cs="宋体"/>
                <w:color w:val="auto"/>
                <w:kern w:val="0"/>
                <w:sz w:val="22"/>
                <w:szCs w:val="22"/>
              </w:rPr>
            </w:pPr>
            <w:r>
              <w:rPr>
                <w:rFonts w:hint="eastAsia" w:hAnsi="宋体" w:cs="宋体"/>
                <w:color w:val="auto"/>
                <w:kern w:val="0"/>
                <w:sz w:val="22"/>
                <w:szCs w:val="22"/>
              </w:rPr>
              <w:t>防火包</w:t>
            </w:r>
          </w:p>
        </w:tc>
        <w:tc>
          <w:tcPr>
            <w:tcW w:w="2306" w:type="dxa"/>
            <w:tcBorders>
              <w:tl2br w:val="nil"/>
              <w:tr2bl w:val="nil"/>
            </w:tcBorders>
            <w:shd w:val="clear" w:color="auto" w:fill="auto"/>
            <w:noWrap/>
            <w:vAlign w:val="bottom"/>
          </w:tcPr>
          <w:p w14:paraId="32424728">
            <w:pPr>
              <w:widowControl/>
              <w:spacing w:line="240" w:lineRule="auto"/>
              <w:jc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lang w:val="en-US" w:eastAsia="zh-CN"/>
              </w:rPr>
              <w:t>320*180*32mm　</w:t>
            </w:r>
          </w:p>
        </w:tc>
        <w:tc>
          <w:tcPr>
            <w:tcW w:w="820" w:type="dxa"/>
            <w:tcBorders>
              <w:tl2br w:val="nil"/>
              <w:tr2bl w:val="nil"/>
            </w:tcBorders>
            <w:shd w:val="clear" w:color="auto" w:fill="auto"/>
            <w:noWrap/>
            <w:vAlign w:val="center"/>
          </w:tcPr>
          <w:p w14:paraId="18DBC06A">
            <w:pPr>
              <w:widowControl/>
              <w:spacing w:line="240" w:lineRule="auto"/>
              <w:jc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lang w:val="en-US" w:eastAsia="zh-CN"/>
              </w:rPr>
              <w:t>包</w:t>
            </w:r>
          </w:p>
        </w:tc>
        <w:tc>
          <w:tcPr>
            <w:tcW w:w="1220" w:type="dxa"/>
            <w:tcBorders>
              <w:tl2br w:val="nil"/>
              <w:tr2bl w:val="nil"/>
            </w:tcBorders>
            <w:shd w:val="clear" w:color="auto" w:fill="auto"/>
            <w:noWrap/>
            <w:vAlign w:val="center"/>
          </w:tcPr>
          <w:p w14:paraId="2DCE7566">
            <w:pPr>
              <w:widowControl/>
              <w:spacing w:line="240" w:lineRule="auto"/>
              <w:jc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lang w:val="en-US" w:eastAsia="zh-CN"/>
              </w:rPr>
              <w:t xml:space="preserve">100 </w:t>
            </w:r>
          </w:p>
        </w:tc>
      </w:tr>
      <w:tr w14:paraId="4F85A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20" w:type="dxa"/>
            <w:tcBorders>
              <w:tl2br w:val="nil"/>
              <w:tr2bl w:val="nil"/>
            </w:tcBorders>
            <w:shd w:val="clear" w:color="000000" w:fill="FFFFFF"/>
            <w:vAlign w:val="center"/>
          </w:tcPr>
          <w:p w14:paraId="0BEF6963">
            <w:pPr>
              <w:widowControl/>
              <w:spacing w:line="240" w:lineRule="auto"/>
              <w:jc w:val="center"/>
              <w:rPr>
                <w:rFonts w:hAnsi="宋体" w:cs="宋体"/>
                <w:color w:val="auto"/>
                <w:kern w:val="0"/>
                <w:sz w:val="22"/>
                <w:szCs w:val="22"/>
              </w:rPr>
            </w:pPr>
            <w:r>
              <w:rPr>
                <w:rFonts w:hint="eastAsia" w:hAnsi="宋体" w:cs="宋体"/>
                <w:color w:val="auto"/>
                <w:kern w:val="0"/>
                <w:sz w:val="22"/>
                <w:szCs w:val="22"/>
              </w:rPr>
              <w:t xml:space="preserve">20 </w:t>
            </w:r>
          </w:p>
        </w:tc>
        <w:tc>
          <w:tcPr>
            <w:tcW w:w="1720" w:type="dxa"/>
            <w:vMerge w:val="continue"/>
            <w:tcBorders>
              <w:tl2br w:val="nil"/>
              <w:tr2bl w:val="nil"/>
            </w:tcBorders>
            <w:vAlign w:val="center"/>
          </w:tcPr>
          <w:p w14:paraId="67BD9830">
            <w:pPr>
              <w:widowControl/>
              <w:spacing w:line="240" w:lineRule="auto"/>
              <w:jc w:val="left"/>
              <w:rPr>
                <w:rFonts w:hAnsi="宋体" w:cs="宋体"/>
                <w:color w:val="auto"/>
                <w:kern w:val="0"/>
                <w:sz w:val="22"/>
                <w:szCs w:val="22"/>
              </w:rPr>
            </w:pPr>
          </w:p>
        </w:tc>
        <w:tc>
          <w:tcPr>
            <w:tcW w:w="1940" w:type="dxa"/>
            <w:tcBorders>
              <w:tl2br w:val="nil"/>
              <w:tr2bl w:val="nil"/>
            </w:tcBorders>
            <w:shd w:val="clear" w:color="auto" w:fill="auto"/>
            <w:noWrap/>
            <w:vAlign w:val="center"/>
          </w:tcPr>
          <w:p w14:paraId="00E91FF3">
            <w:pPr>
              <w:widowControl/>
              <w:spacing w:line="240" w:lineRule="auto"/>
              <w:jc w:val="center"/>
              <w:rPr>
                <w:rFonts w:hint="eastAsia" w:hAnsi="宋体" w:cs="宋体"/>
                <w:color w:val="auto"/>
                <w:kern w:val="0"/>
                <w:sz w:val="22"/>
                <w:szCs w:val="22"/>
              </w:rPr>
            </w:pPr>
            <w:r>
              <w:rPr>
                <w:rFonts w:hint="eastAsia" w:hAnsi="宋体" w:cs="宋体"/>
                <w:color w:val="auto"/>
                <w:kern w:val="0"/>
                <w:sz w:val="22"/>
                <w:szCs w:val="22"/>
              </w:rPr>
              <w:t>防火泥</w:t>
            </w:r>
          </w:p>
        </w:tc>
        <w:tc>
          <w:tcPr>
            <w:tcW w:w="2306" w:type="dxa"/>
            <w:tcBorders>
              <w:tl2br w:val="nil"/>
              <w:tr2bl w:val="nil"/>
            </w:tcBorders>
            <w:shd w:val="clear" w:color="auto" w:fill="auto"/>
            <w:noWrap/>
            <w:vAlign w:val="bottom"/>
          </w:tcPr>
          <w:p w14:paraId="362DC440">
            <w:pPr>
              <w:widowControl/>
              <w:spacing w:line="240" w:lineRule="auto"/>
              <w:jc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lang w:val="en-US" w:eastAsia="zh-CN"/>
              </w:rPr>
              <w:t>低烟性防火堵料，20kg/袋　</w:t>
            </w:r>
          </w:p>
        </w:tc>
        <w:tc>
          <w:tcPr>
            <w:tcW w:w="820" w:type="dxa"/>
            <w:tcBorders>
              <w:tl2br w:val="nil"/>
              <w:tr2bl w:val="nil"/>
            </w:tcBorders>
            <w:shd w:val="clear" w:color="auto" w:fill="auto"/>
            <w:noWrap/>
            <w:vAlign w:val="center"/>
          </w:tcPr>
          <w:p w14:paraId="53B582D1">
            <w:pPr>
              <w:widowControl/>
              <w:spacing w:line="240" w:lineRule="auto"/>
              <w:jc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lang w:val="en-US" w:eastAsia="zh-CN"/>
              </w:rPr>
              <w:t>袋</w:t>
            </w:r>
          </w:p>
        </w:tc>
        <w:tc>
          <w:tcPr>
            <w:tcW w:w="1220" w:type="dxa"/>
            <w:tcBorders>
              <w:tl2br w:val="nil"/>
              <w:tr2bl w:val="nil"/>
            </w:tcBorders>
            <w:shd w:val="clear" w:color="auto" w:fill="auto"/>
            <w:noWrap/>
            <w:vAlign w:val="center"/>
          </w:tcPr>
          <w:p w14:paraId="29DDA366">
            <w:pPr>
              <w:widowControl/>
              <w:spacing w:line="240" w:lineRule="auto"/>
              <w:jc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lang w:val="en-US" w:eastAsia="zh-CN"/>
              </w:rPr>
              <w:t xml:space="preserve">4 </w:t>
            </w:r>
          </w:p>
        </w:tc>
      </w:tr>
      <w:tr w14:paraId="525BD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20" w:type="dxa"/>
            <w:tcBorders>
              <w:tl2br w:val="nil"/>
              <w:tr2bl w:val="nil"/>
            </w:tcBorders>
            <w:shd w:val="clear" w:color="000000" w:fill="FFFFFF"/>
            <w:vAlign w:val="center"/>
          </w:tcPr>
          <w:p w14:paraId="5E1508DE">
            <w:pPr>
              <w:widowControl/>
              <w:spacing w:line="240" w:lineRule="auto"/>
              <w:jc w:val="center"/>
              <w:rPr>
                <w:rFonts w:hAnsi="宋体" w:cs="宋体"/>
                <w:color w:val="auto"/>
                <w:kern w:val="0"/>
                <w:sz w:val="22"/>
                <w:szCs w:val="22"/>
              </w:rPr>
            </w:pPr>
            <w:r>
              <w:rPr>
                <w:rFonts w:hint="eastAsia" w:hAnsi="宋体" w:cs="宋体"/>
                <w:color w:val="auto"/>
                <w:kern w:val="0"/>
                <w:sz w:val="22"/>
                <w:szCs w:val="22"/>
              </w:rPr>
              <w:t xml:space="preserve">21 </w:t>
            </w:r>
          </w:p>
        </w:tc>
        <w:tc>
          <w:tcPr>
            <w:tcW w:w="1720" w:type="dxa"/>
            <w:vMerge w:val="continue"/>
            <w:tcBorders>
              <w:tl2br w:val="nil"/>
              <w:tr2bl w:val="nil"/>
            </w:tcBorders>
            <w:vAlign w:val="center"/>
          </w:tcPr>
          <w:p w14:paraId="139838AC">
            <w:pPr>
              <w:widowControl/>
              <w:spacing w:line="240" w:lineRule="auto"/>
              <w:jc w:val="left"/>
              <w:rPr>
                <w:rFonts w:hAnsi="宋体" w:cs="宋体"/>
                <w:color w:val="auto"/>
                <w:kern w:val="0"/>
                <w:sz w:val="22"/>
                <w:szCs w:val="22"/>
              </w:rPr>
            </w:pPr>
          </w:p>
        </w:tc>
        <w:tc>
          <w:tcPr>
            <w:tcW w:w="1940" w:type="dxa"/>
            <w:tcBorders>
              <w:tl2br w:val="nil"/>
              <w:tr2bl w:val="nil"/>
            </w:tcBorders>
            <w:shd w:val="clear" w:color="auto" w:fill="auto"/>
            <w:noWrap/>
            <w:vAlign w:val="center"/>
          </w:tcPr>
          <w:p w14:paraId="081A4B80">
            <w:pPr>
              <w:widowControl/>
              <w:spacing w:line="240" w:lineRule="auto"/>
              <w:jc w:val="center"/>
              <w:rPr>
                <w:rFonts w:hint="eastAsia" w:hAnsi="宋体" w:cs="宋体"/>
                <w:color w:val="auto"/>
                <w:kern w:val="0"/>
                <w:sz w:val="22"/>
                <w:szCs w:val="22"/>
              </w:rPr>
            </w:pPr>
            <w:r>
              <w:rPr>
                <w:rFonts w:hint="eastAsia" w:hAnsi="宋体" w:cs="宋体"/>
                <w:color w:val="auto"/>
                <w:kern w:val="0"/>
                <w:sz w:val="22"/>
                <w:szCs w:val="22"/>
              </w:rPr>
              <w:t>防火板</w:t>
            </w:r>
          </w:p>
        </w:tc>
        <w:tc>
          <w:tcPr>
            <w:tcW w:w="2306" w:type="dxa"/>
            <w:tcBorders>
              <w:tl2br w:val="nil"/>
              <w:tr2bl w:val="nil"/>
            </w:tcBorders>
            <w:shd w:val="clear" w:color="auto" w:fill="auto"/>
            <w:noWrap/>
            <w:vAlign w:val="bottom"/>
          </w:tcPr>
          <w:p w14:paraId="7DA94D9D">
            <w:pPr>
              <w:widowControl/>
              <w:spacing w:line="240" w:lineRule="auto"/>
              <w:jc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lang w:val="en-US" w:eastAsia="zh-CN"/>
              </w:rPr>
              <w:t>厚度5mm　</w:t>
            </w:r>
          </w:p>
        </w:tc>
        <w:tc>
          <w:tcPr>
            <w:tcW w:w="820" w:type="dxa"/>
            <w:tcBorders>
              <w:tl2br w:val="nil"/>
              <w:tr2bl w:val="nil"/>
            </w:tcBorders>
            <w:shd w:val="clear" w:color="auto" w:fill="auto"/>
            <w:noWrap/>
            <w:vAlign w:val="center"/>
          </w:tcPr>
          <w:p w14:paraId="314DF308">
            <w:pPr>
              <w:widowControl/>
              <w:spacing w:line="240" w:lineRule="auto"/>
              <w:jc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lang w:val="en-US" w:eastAsia="zh-CN"/>
              </w:rPr>
              <w:t>㎡</w:t>
            </w:r>
          </w:p>
        </w:tc>
        <w:tc>
          <w:tcPr>
            <w:tcW w:w="1220" w:type="dxa"/>
            <w:tcBorders>
              <w:tl2br w:val="nil"/>
              <w:tr2bl w:val="nil"/>
            </w:tcBorders>
            <w:shd w:val="clear" w:color="auto" w:fill="auto"/>
            <w:noWrap/>
            <w:vAlign w:val="center"/>
          </w:tcPr>
          <w:p w14:paraId="2B4D748E">
            <w:pPr>
              <w:widowControl/>
              <w:spacing w:line="240" w:lineRule="auto"/>
              <w:jc w:val="center"/>
              <w:rPr>
                <w:rFonts w:hint="eastAsia" w:ascii="宋体" w:hAnsi="宋体" w:eastAsia="宋体" w:cs="宋体"/>
                <w:color w:val="auto"/>
                <w:kern w:val="0"/>
                <w:sz w:val="22"/>
                <w:szCs w:val="22"/>
              </w:rPr>
            </w:pPr>
            <w:r>
              <w:rPr>
                <w:rFonts w:hint="eastAsia" w:hAnsi="宋体" w:cs="宋体"/>
                <w:color w:val="auto"/>
                <w:kern w:val="0"/>
                <w:sz w:val="22"/>
                <w:szCs w:val="22"/>
                <w:lang w:val="en-US" w:eastAsia="zh-CN"/>
              </w:rPr>
              <w:t>1</w:t>
            </w:r>
            <w:r>
              <w:rPr>
                <w:rFonts w:hint="eastAsia" w:ascii="宋体" w:hAnsi="宋体" w:eastAsia="宋体" w:cs="宋体"/>
                <w:color w:val="auto"/>
                <w:kern w:val="0"/>
                <w:sz w:val="22"/>
                <w:szCs w:val="22"/>
                <w:lang w:val="en-US" w:eastAsia="zh-CN"/>
              </w:rPr>
              <w:t xml:space="preserve">0 </w:t>
            </w:r>
          </w:p>
        </w:tc>
      </w:tr>
      <w:tr w14:paraId="53F90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20" w:type="dxa"/>
            <w:tcBorders>
              <w:tl2br w:val="nil"/>
              <w:tr2bl w:val="nil"/>
            </w:tcBorders>
            <w:shd w:val="clear" w:color="000000" w:fill="FFFFFF"/>
            <w:vAlign w:val="center"/>
          </w:tcPr>
          <w:p w14:paraId="6B0B9026">
            <w:pPr>
              <w:widowControl/>
              <w:spacing w:line="240" w:lineRule="auto"/>
              <w:jc w:val="center"/>
              <w:rPr>
                <w:rFonts w:hint="default" w:hAnsi="宋体" w:eastAsia="宋体" w:cs="宋体"/>
                <w:color w:val="auto"/>
                <w:kern w:val="0"/>
                <w:sz w:val="22"/>
                <w:szCs w:val="22"/>
                <w:lang w:val="en-US" w:eastAsia="zh-CN"/>
              </w:rPr>
            </w:pPr>
            <w:r>
              <w:rPr>
                <w:rFonts w:hint="eastAsia" w:hAnsi="宋体" w:cs="宋体"/>
                <w:color w:val="auto"/>
                <w:kern w:val="0"/>
                <w:sz w:val="22"/>
                <w:szCs w:val="22"/>
                <w:lang w:val="en-US" w:eastAsia="zh-CN"/>
              </w:rPr>
              <w:t>22</w:t>
            </w:r>
          </w:p>
        </w:tc>
        <w:tc>
          <w:tcPr>
            <w:tcW w:w="1720" w:type="dxa"/>
            <w:vMerge w:val="restart"/>
            <w:tcBorders>
              <w:tl2br w:val="nil"/>
              <w:tr2bl w:val="nil"/>
            </w:tcBorders>
            <w:vAlign w:val="center"/>
          </w:tcPr>
          <w:p w14:paraId="6CF5A796">
            <w:pPr>
              <w:widowControl/>
              <w:spacing w:line="240" w:lineRule="auto"/>
              <w:jc w:val="center"/>
              <w:rPr>
                <w:rFonts w:hint="eastAsia" w:ascii="宋体" w:hAnsi="宋体" w:eastAsia="宋体" w:cs="宋体"/>
                <w:color w:val="auto"/>
                <w:kern w:val="0"/>
                <w:sz w:val="22"/>
                <w:szCs w:val="22"/>
                <w:lang w:val="en-US" w:eastAsia="zh-CN"/>
              </w:rPr>
            </w:pPr>
            <w:r>
              <w:rPr>
                <w:rFonts w:hint="eastAsia" w:ascii="宋体" w:hAnsi="宋体" w:eastAsia="宋体" w:cs="宋体"/>
                <w:color w:val="auto"/>
                <w:kern w:val="0"/>
                <w:sz w:val="22"/>
                <w:szCs w:val="22"/>
                <w:lang w:val="en-US" w:eastAsia="zh-CN"/>
              </w:rPr>
              <w:t>标识牌</w:t>
            </w:r>
          </w:p>
        </w:tc>
        <w:tc>
          <w:tcPr>
            <w:tcW w:w="1940" w:type="dxa"/>
            <w:tcBorders>
              <w:tl2br w:val="nil"/>
              <w:tr2bl w:val="nil"/>
            </w:tcBorders>
            <w:shd w:val="clear" w:color="auto" w:fill="auto"/>
            <w:noWrap/>
            <w:vAlign w:val="center"/>
          </w:tcPr>
          <w:p w14:paraId="11C03418">
            <w:pPr>
              <w:widowControl/>
              <w:spacing w:line="240" w:lineRule="auto"/>
              <w:jc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lang w:val="en-US" w:eastAsia="zh-CN" w:bidi="ar"/>
              </w:rPr>
              <w:t>《一次电缆桥架》标识牌</w:t>
            </w:r>
          </w:p>
        </w:tc>
        <w:tc>
          <w:tcPr>
            <w:tcW w:w="2306" w:type="dxa"/>
            <w:tcBorders>
              <w:tl2br w:val="nil"/>
              <w:tr2bl w:val="nil"/>
            </w:tcBorders>
            <w:shd w:val="clear" w:color="auto" w:fill="auto"/>
            <w:noWrap/>
            <w:vAlign w:val="bottom"/>
          </w:tcPr>
          <w:p w14:paraId="4A933472">
            <w:pPr>
              <w:widowControl/>
              <w:spacing w:line="240" w:lineRule="auto"/>
              <w:jc w:val="center"/>
              <w:rPr>
                <w:rFonts w:hint="eastAsia" w:ascii="宋体" w:hAnsi="宋体" w:eastAsia="宋体" w:cs="宋体"/>
                <w:color w:val="auto"/>
                <w:kern w:val="0"/>
                <w:sz w:val="22"/>
                <w:szCs w:val="22"/>
                <w:lang w:val="en-US" w:eastAsia="zh-CN"/>
              </w:rPr>
            </w:pPr>
            <w:r>
              <w:rPr>
                <w:rFonts w:hint="eastAsia" w:ascii="宋体" w:hAnsi="宋体" w:eastAsia="宋体" w:cs="宋体"/>
                <w:color w:val="auto"/>
                <w:kern w:val="0"/>
                <w:sz w:val="22"/>
                <w:szCs w:val="22"/>
                <w:lang w:val="en-US" w:eastAsia="zh-CN"/>
              </w:rPr>
              <w:t>80×250mm</w:t>
            </w:r>
          </w:p>
        </w:tc>
        <w:tc>
          <w:tcPr>
            <w:tcW w:w="820" w:type="dxa"/>
            <w:tcBorders>
              <w:tl2br w:val="nil"/>
              <w:tr2bl w:val="nil"/>
            </w:tcBorders>
            <w:shd w:val="clear" w:color="auto" w:fill="auto"/>
            <w:noWrap/>
            <w:vAlign w:val="bottom"/>
          </w:tcPr>
          <w:p w14:paraId="192673E8">
            <w:pPr>
              <w:widowControl/>
              <w:spacing w:line="240" w:lineRule="auto"/>
              <w:jc w:val="center"/>
              <w:rPr>
                <w:rFonts w:hint="eastAsia" w:ascii="宋体" w:hAnsi="宋体" w:eastAsia="宋体" w:cs="宋体"/>
                <w:color w:val="auto"/>
                <w:kern w:val="0"/>
                <w:sz w:val="22"/>
                <w:szCs w:val="22"/>
                <w:lang w:val="en-US" w:eastAsia="zh-CN"/>
              </w:rPr>
            </w:pPr>
            <w:r>
              <w:rPr>
                <w:rFonts w:hint="eastAsia" w:ascii="宋体" w:hAnsi="宋体" w:eastAsia="宋体" w:cs="宋体"/>
                <w:color w:val="auto"/>
                <w:kern w:val="0"/>
                <w:sz w:val="22"/>
                <w:szCs w:val="22"/>
                <w:lang w:val="en-US" w:eastAsia="zh-CN"/>
              </w:rPr>
              <w:t>块</w:t>
            </w:r>
          </w:p>
        </w:tc>
        <w:tc>
          <w:tcPr>
            <w:tcW w:w="1220" w:type="dxa"/>
            <w:tcBorders>
              <w:tl2br w:val="nil"/>
              <w:tr2bl w:val="nil"/>
            </w:tcBorders>
            <w:shd w:val="clear" w:color="auto" w:fill="auto"/>
            <w:noWrap/>
            <w:vAlign w:val="bottom"/>
          </w:tcPr>
          <w:p w14:paraId="58613F34">
            <w:pPr>
              <w:widowControl/>
              <w:spacing w:line="240" w:lineRule="auto"/>
              <w:jc w:val="center"/>
              <w:rPr>
                <w:rFonts w:hint="eastAsia" w:ascii="宋体" w:hAnsi="宋体" w:eastAsia="宋体" w:cs="宋体"/>
                <w:color w:val="auto"/>
                <w:kern w:val="0"/>
                <w:sz w:val="22"/>
                <w:szCs w:val="22"/>
                <w:lang w:val="en-US" w:eastAsia="zh-CN"/>
              </w:rPr>
            </w:pPr>
            <w:r>
              <w:rPr>
                <w:rFonts w:hint="eastAsia" w:hAnsi="宋体" w:cs="宋体"/>
                <w:color w:val="auto"/>
                <w:kern w:val="0"/>
                <w:sz w:val="22"/>
                <w:szCs w:val="22"/>
                <w:lang w:val="en-US" w:eastAsia="zh-CN"/>
              </w:rPr>
              <w:t>6</w:t>
            </w:r>
            <w:r>
              <w:rPr>
                <w:rFonts w:hint="eastAsia" w:ascii="宋体" w:hAnsi="宋体" w:eastAsia="宋体" w:cs="宋体"/>
                <w:color w:val="auto"/>
                <w:kern w:val="0"/>
                <w:sz w:val="22"/>
                <w:szCs w:val="22"/>
                <w:lang w:val="en-US" w:eastAsia="zh-CN"/>
              </w:rPr>
              <w:t xml:space="preserve"> </w:t>
            </w:r>
          </w:p>
        </w:tc>
      </w:tr>
      <w:tr w14:paraId="0373D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20" w:type="dxa"/>
            <w:tcBorders>
              <w:tl2br w:val="nil"/>
              <w:tr2bl w:val="nil"/>
            </w:tcBorders>
            <w:shd w:val="clear" w:color="000000" w:fill="FFFFFF"/>
            <w:vAlign w:val="center"/>
          </w:tcPr>
          <w:p w14:paraId="5E6FF987">
            <w:pPr>
              <w:widowControl/>
              <w:spacing w:line="240" w:lineRule="auto"/>
              <w:jc w:val="center"/>
              <w:rPr>
                <w:rFonts w:hint="default" w:hAnsi="宋体" w:eastAsia="宋体" w:cs="宋体"/>
                <w:color w:val="auto"/>
                <w:kern w:val="0"/>
                <w:sz w:val="22"/>
                <w:szCs w:val="22"/>
                <w:lang w:val="en-US" w:eastAsia="zh-CN"/>
              </w:rPr>
            </w:pPr>
            <w:r>
              <w:rPr>
                <w:rFonts w:hint="eastAsia" w:hAnsi="宋体" w:cs="宋体"/>
                <w:color w:val="auto"/>
                <w:kern w:val="0"/>
                <w:sz w:val="22"/>
                <w:szCs w:val="22"/>
                <w:lang w:val="en-US" w:eastAsia="zh-CN"/>
              </w:rPr>
              <w:t>23</w:t>
            </w:r>
          </w:p>
        </w:tc>
        <w:tc>
          <w:tcPr>
            <w:tcW w:w="1720" w:type="dxa"/>
            <w:vMerge w:val="continue"/>
            <w:tcBorders>
              <w:tl2br w:val="nil"/>
              <w:tr2bl w:val="nil"/>
            </w:tcBorders>
            <w:vAlign w:val="center"/>
          </w:tcPr>
          <w:p w14:paraId="502D1E1C">
            <w:pPr>
              <w:widowControl/>
              <w:spacing w:line="240" w:lineRule="auto"/>
              <w:jc w:val="left"/>
              <w:rPr>
                <w:rFonts w:hint="eastAsia" w:ascii="宋体" w:hAnsi="宋体" w:eastAsia="宋体" w:cs="宋体"/>
                <w:color w:val="auto"/>
                <w:kern w:val="0"/>
                <w:sz w:val="22"/>
                <w:szCs w:val="22"/>
              </w:rPr>
            </w:pPr>
          </w:p>
        </w:tc>
        <w:tc>
          <w:tcPr>
            <w:tcW w:w="1940" w:type="dxa"/>
            <w:tcBorders>
              <w:tl2br w:val="nil"/>
              <w:tr2bl w:val="nil"/>
            </w:tcBorders>
            <w:shd w:val="clear" w:color="auto" w:fill="auto"/>
            <w:noWrap/>
            <w:vAlign w:val="center"/>
          </w:tcPr>
          <w:p w14:paraId="5013722E">
            <w:pPr>
              <w:widowControl/>
              <w:spacing w:line="240" w:lineRule="auto"/>
              <w:jc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lang w:val="en-US" w:eastAsia="zh-CN" w:bidi="ar"/>
              </w:rPr>
              <w:t>《二次电缆桥架》标识牌</w:t>
            </w:r>
          </w:p>
        </w:tc>
        <w:tc>
          <w:tcPr>
            <w:tcW w:w="2306" w:type="dxa"/>
            <w:tcBorders>
              <w:tl2br w:val="nil"/>
              <w:tr2bl w:val="nil"/>
            </w:tcBorders>
            <w:shd w:val="clear" w:color="auto" w:fill="auto"/>
            <w:noWrap/>
            <w:vAlign w:val="bottom"/>
          </w:tcPr>
          <w:p w14:paraId="38B0BA2B">
            <w:pPr>
              <w:widowControl/>
              <w:spacing w:line="240" w:lineRule="auto"/>
              <w:jc w:val="center"/>
              <w:rPr>
                <w:rFonts w:hint="eastAsia" w:ascii="宋体" w:hAnsi="宋体" w:eastAsia="宋体" w:cs="宋体"/>
                <w:color w:val="auto"/>
                <w:kern w:val="0"/>
                <w:sz w:val="22"/>
                <w:szCs w:val="22"/>
                <w:lang w:val="en-US" w:eastAsia="zh-CN"/>
              </w:rPr>
            </w:pPr>
            <w:r>
              <w:rPr>
                <w:rFonts w:hint="eastAsia" w:ascii="宋体" w:hAnsi="宋体" w:eastAsia="宋体" w:cs="宋体"/>
                <w:color w:val="auto"/>
                <w:kern w:val="0"/>
                <w:sz w:val="22"/>
                <w:szCs w:val="22"/>
                <w:lang w:val="en-US" w:eastAsia="zh-CN"/>
              </w:rPr>
              <w:t>80×250mm</w:t>
            </w:r>
          </w:p>
        </w:tc>
        <w:tc>
          <w:tcPr>
            <w:tcW w:w="820" w:type="dxa"/>
            <w:tcBorders>
              <w:tl2br w:val="nil"/>
              <w:tr2bl w:val="nil"/>
            </w:tcBorders>
            <w:shd w:val="clear" w:color="auto" w:fill="auto"/>
            <w:noWrap/>
            <w:vAlign w:val="bottom"/>
          </w:tcPr>
          <w:p w14:paraId="07775A46">
            <w:pPr>
              <w:widowControl/>
              <w:spacing w:line="240" w:lineRule="auto"/>
              <w:jc w:val="center"/>
              <w:rPr>
                <w:rFonts w:hint="eastAsia" w:ascii="宋体" w:hAnsi="宋体" w:eastAsia="宋体" w:cs="宋体"/>
                <w:color w:val="auto"/>
                <w:kern w:val="0"/>
                <w:sz w:val="22"/>
                <w:szCs w:val="22"/>
                <w:lang w:val="en-US" w:eastAsia="zh-CN"/>
              </w:rPr>
            </w:pPr>
            <w:r>
              <w:rPr>
                <w:rFonts w:hint="eastAsia" w:ascii="宋体" w:hAnsi="宋体" w:eastAsia="宋体" w:cs="宋体"/>
                <w:color w:val="auto"/>
                <w:kern w:val="0"/>
                <w:sz w:val="22"/>
                <w:szCs w:val="22"/>
                <w:lang w:val="en-US" w:eastAsia="zh-CN"/>
              </w:rPr>
              <w:t>块</w:t>
            </w:r>
          </w:p>
        </w:tc>
        <w:tc>
          <w:tcPr>
            <w:tcW w:w="1220" w:type="dxa"/>
            <w:tcBorders>
              <w:tl2br w:val="nil"/>
              <w:tr2bl w:val="nil"/>
            </w:tcBorders>
            <w:shd w:val="clear" w:color="auto" w:fill="auto"/>
            <w:noWrap/>
            <w:vAlign w:val="bottom"/>
          </w:tcPr>
          <w:p w14:paraId="6043FEBC">
            <w:pPr>
              <w:widowControl/>
              <w:spacing w:line="240" w:lineRule="auto"/>
              <w:jc w:val="center"/>
              <w:rPr>
                <w:rFonts w:hint="default" w:ascii="宋体" w:hAnsi="宋体" w:eastAsia="宋体" w:cs="宋体"/>
                <w:color w:val="auto"/>
                <w:kern w:val="0"/>
                <w:sz w:val="22"/>
                <w:szCs w:val="22"/>
                <w:lang w:val="en-US" w:eastAsia="zh-CN"/>
              </w:rPr>
            </w:pPr>
            <w:r>
              <w:rPr>
                <w:rFonts w:hint="eastAsia" w:ascii="宋体" w:hAnsi="宋体" w:eastAsia="宋体" w:cs="宋体"/>
                <w:color w:val="auto"/>
                <w:kern w:val="0"/>
                <w:sz w:val="22"/>
                <w:szCs w:val="22"/>
                <w:lang w:val="en-US" w:eastAsia="zh-CN"/>
              </w:rPr>
              <w:t>1</w:t>
            </w:r>
            <w:r>
              <w:rPr>
                <w:rFonts w:hint="eastAsia" w:hAnsi="宋体" w:cs="宋体"/>
                <w:color w:val="auto"/>
                <w:kern w:val="0"/>
                <w:sz w:val="22"/>
                <w:szCs w:val="22"/>
                <w:lang w:val="en-US" w:eastAsia="zh-CN"/>
              </w:rPr>
              <w:t>6</w:t>
            </w:r>
            <w:r>
              <w:rPr>
                <w:rFonts w:hint="eastAsia" w:ascii="宋体" w:hAnsi="宋体" w:eastAsia="宋体" w:cs="宋体"/>
                <w:color w:val="auto"/>
                <w:kern w:val="0"/>
                <w:sz w:val="22"/>
                <w:szCs w:val="22"/>
                <w:lang w:val="en-US" w:eastAsia="zh-CN"/>
              </w:rPr>
              <w:t xml:space="preserve"> </w:t>
            </w:r>
          </w:p>
        </w:tc>
      </w:tr>
      <w:tr w14:paraId="2638A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20" w:type="dxa"/>
            <w:tcBorders>
              <w:tl2br w:val="nil"/>
              <w:tr2bl w:val="nil"/>
            </w:tcBorders>
            <w:shd w:val="clear" w:color="000000" w:fill="FFFFFF"/>
            <w:vAlign w:val="center"/>
          </w:tcPr>
          <w:p w14:paraId="5FCC495B">
            <w:pPr>
              <w:widowControl/>
              <w:spacing w:line="240" w:lineRule="auto"/>
              <w:jc w:val="center"/>
              <w:rPr>
                <w:rFonts w:hint="default" w:hAnsi="宋体" w:eastAsia="宋体" w:cs="宋体"/>
                <w:color w:val="auto"/>
                <w:kern w:val="0"/>
                <w:sz w:val="22"/>
                <w:szCs w:val="22"/>
                <w:lang w:val="en-US" w:eastAsia="zh-CN"/>
              </w:rPr>
            </w:pPr>
            <w:r>
              <w:rPr>
                <w:rFonts w:hint="eastAsia" w:hAnsi="宋体" w:cs="宋体"/>
                <w:color w:val="auto"/>
                <w:kern w:val="0"/>
                <w:sz w:val="22"/>
                <w:szCs w:val="22"/>
                <w:lang w:val="en-US" w:eastAsia="zh-CN"/>
              </w:rPr>
              <w:t>24</w:t>
            </w:r>
          </w:p>
        </w:tc>
        <w:tc>
          <w:tcPr>
            <w:tcW w:w="1720" w:type="dxa"/>
            <w:vMerge w:val="continue"/>
            <w:tcBorders>
              <w:tl2br w:val="nil"/>
              <w:tr2bl w:val="nil"/>
            </w:tcBorders>
            <w:vAlign w:val="center"/>
          </w:tcPr>
          <w:p w14:paraId="4DCD9139">
            <w:pPr>
              <w:widowControl/>
              <w:spacing w:line="240" w:lineRule="auto"/>
              <w:jc w:val="left"/>
              <w:rPr>
                <w:rFonts w:hint="eastAsia" w:ascii="宋体" w:hAnsi="宋体" w:eastAsia="宋体" w:cs="宋体"/>
                <w:color w:val="auto"/>
                <w:kern w:val="0"/>
                <w:sz w:val="22"/>
                <w:szCs w:val="22"/>
              </w:rPr>
            </w:pPr>
          </w:p>
        </w:tc>
        <w:tc>
          <w:tcPr>
            <w:tcW w:w="1940" w:type="dxa"/>
            <w:tcBorders>
              <w:tl2br w:val="nil"/>
              <w:tr2bl w:val="nil"/>
            </w:tcBorders>
            <w:shd w:val="clear" w:color="auto" w:fill="auto"/>
            <w:noWrap/>
            <w:vAlign w:val="center"/>
          </w:tcPr>
          <w:p w14:paraId="3183E7A5">
            <w:pPr>
              <w:widowControl/>
              <w:spacing w:line="240" w:lineRule="auto"/>
              <w:jc w:val="center"/>
              <w:rPr>
                <w:rFonts w:hint="eastAsia" w:ascii="宋体" w:hAnsi="宋体" w:eastAsia="宋体" w:cs="宋体"/>
                <w:color w:val="auto"/>
                <w:kern w:val="0"/>
                <w:sz w:val="22"/>
                <w:szCs w:val="22"/>
              </w:rPr>
            </w:pPr>
            <w:r>
              <w:rPr>
                <w:rFonts w:hint="eastAsia" w:ascii="宋体" w:hAnsi="宋体" w:eastAsia="宋体" w:cs="宋体"/>
                <w:color w:val="auto"/>
                <w:kern w:val="0"/>
                <w:sz w:val="22"/>
                <w:szCs w:val="22"/>
                <w:lang w:val="en-US" w:eastAsia="zh-CN" w:bidi="ar"/>
              </w:rPr>
              <w:t>《电缆阻燃段》标识牌</w:t>
            </w:r>
          </w:p>
        </w:tc>
        <w:tc>
          <w:tcPr>
            <w:tcW w:w="2306" w:type="dxa"/>
            <w:tcBorders>
              <w:tl2br w:val="nil"/>
              <w:tr2bl w:val="nil"/>
            </w:tcBorders>
            <w:shd w:val="clear" w:color="auto" w:fill="auto"/>
            <w:noWrap/>
            <w:vAlign w:val="bottom"/>
          </w:tcPr>
          <w:p w14:paraId="531BA138">
            <w:pPr>
              <w:widowControl/>
              <w:spacing w:line="240" w:lineRule="auto"/>
              <w:jc w:val="center"/>
              <w:rPr>
                <w:rFonts w:hint="eastAsia" w:ascii="宋体" w:hAnsi="宋体" w:eastAsia="宋体" w:cs="宋体"/>
                <w:color w:val="auto"/>
                <w:kern w:val="0"/>
                <w:sz w:val="22"/>
                <w:szCs w:val="22"/>
                <w:lang w:val="en-US" w:eastAsia="zh-CN"/>
              </w:rPr>
            </w:pPr>
            <w:r>
              <w:rPr>
                <w:rFonts w:hint="eastAsia" w:ascii="宋体" w:hAnsi="宋体" w:eastAsia="宋体" w:cs="宋体"/>
                <w:color w:val="auto"/>
                <w:kern w:val="0"/>
                <w:sz w:val="22"/>
                <w:szCs w:val="22"/>
                <w:lang w:val="en-US" w:eastAsia="zh-CN"/>
              </w:rPr>
              <w:t>80×250mm</w:t>
            </w:r>
          </w:p>
        </w:tc>
        <w:tc>
          <w:tcPr>
            <w:tcW w:w="820" w:type="dxa"/>
            <w:tcBorders>
              <w:tl2br w:val="nil"/>
              <w:tr2bl w:val="nil"/>
            </w:tcBorders>
            <w:shd w:val="clear" w:color="auto" w:fill="auto"/>
            <w:noWrap/>
            <w:vAlign w:val="bottom"/>
          </w:tcPr>
          <w:p w14:paraId="1A549E5C">
            <w:pPr>
              <w:widowControl/>
              <w:spacing w:line="240" w:lineRule="auto"/>
              <w:jc w:val="center"/>
              <w:rPr>
                <w:rFonts w:hint="eastAsia" w:ascii="宋体" w:hAnsi="宋体" w:eastAsia="宋体" w:cs="宋体"/>
                <w:color w:val="auto"/>
                <w:kern w:val="0"/>
                <w:sz w:val="22"/>
                <w:szCs w:val="22"/>
                <w:lang w:val="en-US" w:eastAsia="zh-CN"/>
              </w:rPr>
            </w:pPr>
            <w:r>
              <w:rPr>
                <w:rFonts w:hint="eastAsia" w:ascii="宋体" w:hAnsi="宋体" w:eastAsia="宋体" w:cs="宋体"/>
                <w:color w:val="auto"/>
                <w:kern w:val="0"/>
                <w:sz w:val="22"/>
                <w:szCs w:val="22"/>
                <w:lang w:val="en-US" w:eastAsia="zh-CN"/>
              </w:rPr>
              <w:t>块</w:t>
            </w:r>
          </w:p>
        </w:tc>
        <w:tc>
          <w:tcPr>
            <w:tcW w:w="1220" w:type="dxa"/>
            <w:tcBorders>
              <w:tl2br w:val="nil"/>
              <w:tr2bl w:val="nil"/>
            </w:tcBorders>
            <w:shd w:val="clear" w:color="auto" w:fill="auto"/>
            <w:noWrap/>
            <w:vAlign w:val="bottom"/>
          </w:tcPr>
          <w:p w14:paraId="7F177890">
            <w:pPr>
              <w:widowControl/>
              <w:spacing w:line="240" w:lineRule="auto"/>
              <w:jc w:val="center"/>
              <w:rPr>
                <w:rFonts w:hint="default" w:ascii="宋体" w:hAnsi="宋体" w:eastAsia="宋体" w:cs="宋体"/>
                <w:color w:val="auto"/>
                <w:kern w:val="0"/>
                <w:sz w:val="22"/>
                <w:szCs w:val="22"/>
                <w:lang w:val="en-US" w:eastAsia="zh-CN"/>
              </w:rPr>
            </w:pPr>
            <w:r>
              <w:rPr>
                <w:rFonts w:hint="eastAsia" w:ascii="宋体" w:hAnsi="宋体" w:eastAsia="宋体" w:cs="宋体"/>
                <w:color w:val="auto"/>
                <w:kern w:val="0"/>
                <w:sz w:val="22"/>
                <w:szCs w:val="22"/>
                <w:lang w:val="en-US" w:eastAsia="zh-CN"/>
              </w:rPr>
              <w:t>1</w:t>
            </w:r>
            <w:r>
              <w:rPr>
                <w:rFonts w:hint="eastAsia" w:hAnsi="宋体" w:cs="宋体"/>
                <w:color w:val="auto"/>
                <w:kern w:val="0"/>
                <w:sz w:val="22"/>
                <w:szCs w:val="22"/>
                <w:lang w:val="en-US" w:eastAsia="zh-CN"/>
              </w:rPr>
              <w:t>6</w:t>
            </w:r>
            <w:r>
              <w:rPr>
                <w:rFonts w:hint="eastAsia" w:ascii="宋体" w:hAnsi="宋体" w:eastAsia="宋体" w:cs="宋体"/>
                <w:color w:val="auto"/>
                <w:kern w:val="0"/>
                <w:sz w:val="22"/>
                <w:szCs w:val="22"/>
                <w:lang w:val="en-US" w:eastAsia="zh-CN"/>
              </w:rPr>
              <w:t xml:space="preserve"> </w:t>
            </w:r>
          </w:p>
        </w:tc>
      </w:tr>
    </w:tbl>
    <w:p w14:paraId="06F4D718">
      <w:pPr>
        <w:numPr>
          <w:ilvl w:val="0"/>
          <w:numId w:val="2"/>
        </w:numPr>
        <w:spacing w:after="120" w:afterLines="50" w:line="240" w:lineRule="auto"/>
        <w:outlineLvl w:val="0"/>
        <w:rPr>
          <w:rFonts w:ascii="Times New Roman"/>
          <w:b/>
          <w:bCs/>
          <w:sz w:val="28"/>
          <w:szCs w:val="28"/>
        </w:rPr>
      </w:pPr>
      <w:bookmarkStart w:id="58" w:name="_Toc3617"/>
      <w:bookmarkStart w:id="59" w:name="_Toc659"/>
      <w:r>
        <w:rPr>
          <w:rFonts w:hint="eastAsia" w:ascii="Times New Roman"/>
          <w:b/>
          <w:bCs/>
          <w:sz w:val="28"/>
          <w:szCs w:val="28"/>
        </w:rPr>
        <w:t>施工</w:t>
      </w:r>
      <w:r>
        <w:rPr>
          <w:rFonts w:ascii="Times New Roman"/>
          <w:b/>
          <w:bCs/>
          <w:sz w:val="28"/>
          <w:szCs w:val="28"/>
        </w:rPr>
        <w:t>工期</w:t>
      </w:r>
      <w:bookmarkEnd w:id="58"/>
      <w:r>
        <w:rPr>
          <w:rFonts w:hint="eastAsia" w:ascii="Times New Roman"/>
          <w:b/>
          <w:bCs/>
          <w:sz w:val="28"/>
          <w:szCs w:val="28"/>
        </w:rPr>
        <w:t>要求</w:t>
      </w:r>
      <w:bookmarkEnd w:id="59"/>
    </w:p>
    <w:p w14:paraId="2522116A">
      <w:pPr>
        <w:numPr>
          <w:ilvl w:val="0"/>
          <w:numId w:val="29"/>
        </w:numPr>
        <w:rPr>
          <w:rFonts w:ascii="Times New Roman"/>
        </w:rPr>
      </w:pPr>
      <w:r>
        <w:rPr>
          <w:rFonts w:hint="eastAsia" w:ascii="Times New Roman"/>
        </w:rPr>
        <w:t>进场次数不低于4次，具体工作配合机组检修进度</w:t>
      </w:r>
      <w:r>
        <w:rPr>
          <w:rFonts w:hint="eastAsia" w:ascii="Times New Roman"/>
          <w:lang w:val="en-US" w:eastAsia="zh-CN"/>
        </w:rPr>
        <w:t>或项目实施进度</w:t>
      </w:r>
      <w:r>
        <w:rPr>
          <w:rFonts w:hint="eastAsia" w:ascii="Times New Roman"/>
        </w:rPr>
        <w:t>，收到进场通知后3天内到场工作。</w:t>
      </w:r>
    </w:p>
    <w:p w14:paraId="673A87F0">
      <w:pPr>
        <w:numPr>
          <w:ilvl w:val="0"/>
          <w:numId w:val="29"/>
        </w:numPr>
        <w:rPr>
          <w:rFonts w:ascii="Times New Roman"/>
        </w:rPr>
      </w:pPr>
      <w:r>
        <w:rPr>
          <w:rFonts w:hint="eastAsia" w:ascii="Times New Roman"/>
        </w:rPr>
        <w:t>项目负责人参加检修项目协调会，按会议要求开展工作。</w:t>
      </w:r>
    </w:p>
    <w:p w14:paraId="35DD0C12">
      <w:pPr>
        <w:numPr>
          <w:ilvl w:val="0"/>
          <w:numId w:val="2"/>
        </w:numPr>
        <w:spacing w:after="120" w:afterLines="50" w:line="240" w:lineRule="auto"/>
        <w:outlineLvl w:val="0"/>
        <w:rPr>
          <w:rFonts w:ascii="Times New Roman"/>
          <w:b/>
          <w:bCs/>
          <w:sz w:val="28"/>
          <w:szCs w:val="28"/>
        </w:rPr>
      </w:pPr>
      <w:bookmarkStart w:id="60" w:name="_Toc30347"/>
      <w:r>
        <w:rPr>
          <w:rFonts w:hint="eastAsia" w:ascii="Times New Roman"/>
          <w:b/>
          <w:bCs/>
          <w:sz w:val="28"/>
          <w:szCs w:val="28"/>
        </w:rPr>
        <w:t>人员及工器具要求</w:t>
      </w:r>
      <w:bookmarkEnd w:id="60"/>
    </w:p>
    <w:p w14:paraId="4E25BB72">
      <w:pPr>
        <w:numPr>
          <w:ilvl w:val="0"/>
          <w:numId w:val="30"/>
        </w:numPr>
        <w:rPr>
          <w:rFonts w:ascii="Times New Roman"/>
        </w:rPr>
      </w:pPr>
      <w:r>
        <w:rPr>
          <w:rFonts w:hint="eastAsia" w:ascii="Times New Roman"/>
        </w:rPr>
        <w:t>每次进场要求施工人员不低于6人，必须含有特种作业人员，包括高处作业证，焊工证，电工证等。</w:t>
      </w:r>
    </w:p>
    <w:p w14:paraId="589A5C0F">
      <w:pPr>
        <w:numPr>
          <w:ilvl w:val="0"/>
          <w:numId w:val="30"/>
        </w:numPr>
        <w:rPr>
          <w:rFonts w:ascii="Times New Roman"/>
        </w:rPr>
      </w:pPr>
      <w:r>
        <w:rPr>
          <w:rFonts w:hint="eastAsia" w:ascii="Times New Roman"/>
        </w:rPr>
        <w:t>所有进场人员需提供体检报告、意外保险等资料。</w:t>
      </w:r>
    </w:p>
    <w:p w14:paraId="3155A10E">
      <w:pPr>
        <w:numPr>
          <w:ilvl w:val="0"/>
          <w:numId w:val="30"/>
        </w:numPr>
        <w:rPr>
          <w:rFonts w:ascii="Times New Roman"/>
        </w:rPr>
      </w:pPr>
      <w:r>
        <w:rPr>
          <w:rFonts w:hint="eastAsia" w:ascii="Times New Roman"/>
        </w:rPr>
        <w:t>施工所需的全部工器具及材料均由施工单位提供，经招标单位审核同意后方可使用，施工机具包括：电焊机、切割机、角磨机、手电钻、脚手架、梯子、水平仪、带漏电保护电源盘、电锤、万用表等。</w:t>
      </w:r>
    </w:p>
    <w:p w14:paraId="3AC6ECB2">
      <w:pPr>
        <w:pStyle w:val="9"/>
        <w:ind w:firstLine="643"/>
      </w:pPr>
    </w:p>
    <w:sectPr>
      <w:footerReference r:id="rId7" w:type="default"/>
      <w:pgSz w:w="11907" w:h="16840"/>
      <w:pgMar w:top="1418" w:right="1418" w:bottom="1418" w:left="1418" w:header="992" w:footer="851" w:gutter="0"/>
      <w:pgBorders>
        <w:top w:val="none" w:sz="0" w:space="0"/>
        <w:left w:val="none" w:sz="0" w:space="0"/>
        <w:bottom w:val="none" w:sz="0" w:space="0"/>
        <w:right w:val="none" w:sz="0" w:space="0"/>
      </w:pgBorders>
      <w:pgNumType w:start="1"/>
      <w:cols w:space="720" w:num="1"/>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167137">
    <w:pPr>
      <w:pStyle w:val="1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8693E5A">
                          <w:pPr>
                            <w:pStyle w:val="11"/>
                            <w:jc w:val="center"/>
                          </w:pP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M2dPQ/IAQAAmQMAAA4AAAAAAAAAAQAgAAAAHgEAAGRycy9lMm9Eb2Mu&#10;eG1sUEsFBgAAAAAGAAYAWQEAAFgFAAAAAA==&#10;">
              <v:fill on="f" focussize="0,0"/>
              <v:stroke on="f"/>
              <v:imagedata o:title=""/>
              <o:lock v:ext="edit" aspectratio="f"/>
              <v:textbox inset="0mm,0mm,0mm,0mm" style="mso-fit-shape-to-text:t;">
                <w:txbxContent>
                  <w:p w14:paraId="38693E5A">
                    <w:pPr>
                      <w:pStyle w:val="11"/>
                      <w:jc w:val="cente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7897A">
    <w:pPr>
      <w:pStyle w:val="11"/>
      <w:jc w:val="center"/>
    </w:pPr>
  </w:p>
  <w:p w14:paraId="749DDF13">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FCD41">
    <w:pPr>
      <w:pStyle w:val="12"/>
      <w:pBdr>
        <w:bottom w:val="none" w:color="auto" w:sz="0" w:space="0"/>
      </w:pBdr>
      <w:jc w:val="both"/>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EB1FF"/>
    <w:multiLevelType w:val="multilevel"/>
    <w:tmpl w:val="990EB1FF"/>
    <w:lvl w:ilvl="0" w:tentative="0">
      <w:start w:val="1"/>
      <w:numFmt w:val="decimal"/>
      <w:suff w:val="space"/>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C7BBD29B"/>
    <w:multiLevelType w:val="singleLevel"/>
    <w:tmpl w:val="C7BBD29B"/>
    <w:lvl w:ilvl="0" w:tentative="0">
      <w:start w:val="1"/>
      <w:numFmt w:val="decimal"/>
      <w:suff w:val="space"/>
      <w:lvlText w:val="(%1)"/>
      <w:lvlJc w:val="left"/>
      <w:pPr>
        <w:ind w:left="425" w:hanging="425"/>
      </w:pPr>
      <w:rPr>
        <w:rFonts w:hint="default"/>
      </w:rPr>
    </w:lvl>
  </w:abstractNum>
  <w:abstractNum w:abstractNumId="2">
    <w:nsid w:val="C8152AFC"/>
    <w:multiLevelType w:val="singleLevel"/>
    <w:tmpl w:val="C8152AFC"/>
    <w:lvl w:ilvl="0" w:tentative="0">
      <w:start w:val="1"/>
      <w:numFmt w:val="decimal"/>
      <w:lvlText w:val="%1."/>
      <w:lvlJc w:val="left"/>
      <w:pPr>
        <w:tabs>
          <w:tab w:val="left" w:pos="312"/>
        </w:tabs>
      </w:pPr>
    </w:lvl>
  </w:abstractNum>
  <w:abstractNum w:abstractNumId="3">
    <w:nsid w:val="CECCFEE2"/>
    <w:multiLevelType w:val="multilevel"/>
    <w:tmpl w:val="CECCFEE2"/>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4">
    <w:nsid w:val="E01E1CAF"/>
    <w:multiLevelType w:val="singleLevel"/>
    <w:tmpl w:val="E01E1CAF"/>
    <w:lvl w:ilvl="0" w:tentative="0">
      <w:start w:val="1"/>
      <w:numFmt w:val="decimal"/>
      <w:suff w:val="space"/>
      <w:lvlText w:val="(%1)"/>
      <w:lvlJc w:val="left"/>
    </w:lvl>
  </w:abstractNum>
  <w:abstractNum w:abstractNumId="5">
    <w:nsid w:val="E8D2DF19"/>
    <w:multiLevelType w:val="singleLevel"/>
    <w:tmpl w:val="E8D2DF19"/>
    <w:lvl w:ilvl="0" w:tentative="0">
      <w:start w:val="1"/>
      <w:numFmt w:val="decimal"/>
      <w:suff w:val="space"/>
      <w:lvlText w:val="(%1)"/>
      <w:lvlJc w:val="left"/>
      <w:pPr>
        <w:ind w:left="425" w:hanging="425"/>
      </w:pPr>
      <w:rPr>
        <w:rFonts w:hint="default"/>
      </w:rPr>
    </w:lvl>
  </w:abstractNum>
  <w:abstractNum w:abstractNumId="6">
    <w:nsid w:val="004E5AF2"/>
    <w:multiLevelType w:val="multilevel"/>
    <w:tmpl w:val="004E5AF2"/>
    <w:lvl w:ilvl="0" w:tentative="0">
      <w:start w:val="1"/>
      <w:numFmt w:val="decimal"/>
      <w:suff w:val="space"/>
      <w:lvlText w:val="%1)"/>
      <w:lvlJc w:val="left"/>
      <w:pPr>
        <w:ind w:left="0" w:firstLine="567"/>
      </w:pPr>
      <w:rPr>
        <w:rFonts w:hint="eastAs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7">
    <w:nsid w:val="07306448"/>
    <w:multiLevelType w:val="multilevel"/>
    <w:tmpl w:val="07306448"/>
    <w:lvl w:ilvl="0" w:tentative="0">
      <w:start w:val="1"/>
      <w:numFmt w:val="decimal"/>
      <w:suff w:val="space"/>
      <w:lvlText w:val="%1)"/>
      <w:lvlJc w:val="left"/>
      <w:pPr>
        <w:ind w:left="0" w:firstLine="567"/>
      </w:pPr>
      <w:rPr>
        <w:rFonts w:hint="eastAs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8">
    <w:nsid w:val="08546410"/>
    <w:multiLevelType w:val="singleLevel"/>
    <w:tmpl w:val="08546410"/>
    <w:lvl w:ilvl="0" w:tentative="0">
      <w:start w:val="1"/>
      <w:numFmt w:val="decimal"/>
      <w:suff w:val="space"/>
      <w:lvlText w:val="(%1)"/>
      <w:lvlJc w:val="left"/>
      <w:pPr>
        <w:ind w:left="425" w:hanging="425"/>
      </w:pPr>
      <w:rPr>
        <w:rFonts w:hint="default"/>
      </w:rPr>
    </w:lvl>
  </w:abstractNum>
  <w:abstractNum w:abstractNumId="9">
    <w:nsid w:val="182F0B71"/>
    <w:multiLevelType w:val="multilevel"/>
    <w:tmpl w:val="182F0B71"/>
    <w:lvl w:ilvl="0" w:tentative="0">
      <w:start w:val="1"/>
      <w:numFmt w:val="decimal"/>
      <w:suff w:val="nothing"/>
      <w:lvlText w:val="（%1）"/>
      <w:lvlJc w:val="left"/>
      <w:pPr>
        <w:ind w:left="0" w:firstLine="454"/>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0">
    <w:nsid w:val="18925CF1"/>
    <w:multiLevelType w:val="multilevel"/>
    <w:tmpl w:val="18925CF1"/>
    <w:lvl w:ilvl="0" w:tentative="0">
      <w:start w:val="1"/>
      <w:numFmt w:val="decimal"/>
      <w:suff w:val="nothing"/>
      <w:lvlText w:val="（%1）"/>
      <w:lvlJc w:val="left"/>
      <w:pPr>
        <w:ind w:left="0" w:firstLine="28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B221D34"/>
    <w:multiLevelType w:val="multilevel"/>
    <w:tmpl w:val="1B221D34"/>
    <w:lvl w:ilvl="0" w:tentative="0">
      <w:start w:val="1"/>
      <w:numFmt w:val="decimal"/>
      <w:suff w:val="space"/>
      <w:lvlText w:val="%1)"/>
      <w:lvlJc w:val="left"/>
      <w:pPr>
        <w:ind w:left="0" w:firstLine="567"/>
      </w:pPr>
      <w:rPr>
        <w:rFonts w:hint="eastAs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2">
    <w:nsid w:val="1DDA7D16"/>
    <w:multiLevelType w:val="multilevel"/>
    <w:tmpl w:val="1DDA7D16"/>
    <w:lvl w:ilvl="0" w:tentative="0">
      <w:start w:val="1"/>
      <w:numFmt w:val="decimal"/>
      <w:suff w:val="nothing"/>
      <w:lvlText w:val="（%1）"/>
      <w:lvlJc w:val="left"/>
      <w:pPr>
        <w:ind w:left="0" w:firstLine="454"/>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3">
    <w:nsid w:val="1F4E385B"/>
    <w:multiLevelType w:val="multilevel"/>
    <w:tmpl w:val="1F4E385B"/>
    <w:lvl w:ilvl="0" w:tentative="0">
      <w:start w:val="1"/>
      <w:numFmt w:val="decimal"/>
      <w:suff w:val="nothing"/>
      <w:lvlText w:val="（%1）"/>
      <w:lvlJc w:val="left"/>
      <w:pPr>
        <w:ind w:left="0" w:firstLine="28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26708D5"/>
    <w:multiLevelType w:val="multilevel"/>
    <w:tmpl w:val="226708D5"/>
    <w:lvl w:ilvl="0" w:tentative="0">
      <w:start w:val="1"/>
      <w:numFmt w:val="decimal"/>
      <w:suff w:val="space"/>
      <w:lvlText w:val="%1)"/>
      <w:lvlJc w:val="left"/>
      <w:pPr>
        <w:ind w:left="0" w:firstLine="567"/>
      </w:pPr>
      <w:rPr>
        <w:rFonts w:hint="eastAs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5">
    <w:nsid w:val="33CA78BB"/>
    <w:multiLevelType w:val="multilevel"/>
    <w:tmpl w:val="33CA78BB"/>
    <w:lvl w:ilvl="0" w:tentative="0">
      <w:start w:val="1"/>
      <w:numFmt w:val="decimal"/>
      <w:suff w:val="space"/>
      <w:lvlText w:val="%1)"/>
      <w:lvlJc w:val="left"/>
      <w:pPr>
        <w:ind w:left="0" w:firstLine="567"/>
      </w:pPr>
      <w:rPr>
        <w:rFonts w:hint="eastAs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6">
    <w:nsid w:val="391E427D"/>
    <w:multiLevelType w:val="multilevel"/>
    <w:tmpl w:val="391E427D"/>
    <w:lvl w:ilvl="0" w:tentative="0">
      <w:start w:val="1"/>
      <w:numFmt w:val="decimal"/>
      <w:suff w:val="space"/>
      <w:lvlText w:val="%1)"/>
      <w:lvlJc w:val="left"/>
      <w:pPr>
        <w:ind w:left="0" w:firstLine="567"/>
      </w:pPr>
      <w:rPr>
        <w:rFonts w:hint="eastAs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7">
    <w:nsid w:val="3A9944B0"/>
    <w:multiLevelType w:val="multilevel"/>
    <w:tmpl w:val="3A9944B0"/>
    <w:lvl w:ilvl="0" w:tentative="0">
      <w:start w:val="1"/>
      <w:numFmt w:val="decimal"/>
      <w:suff w:val="nothing"/>
      <w:lvlText w:val="（%1）"/>
      <w:lvlJc w:val="left"/>
      <w:pPr>
        <w:ind w:left="0" w:firstLine="454"/>
      </w:pPr>
      <w:rPr>
        <w:rFonts w:hint="default"/>
        <w:color w:val="auto"/>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8">
    <w:nsid w:val="3FEC0F0B"/>
    <w:multiLevelType w:val="multilevel"/>
    <w:tmpl w:val="3FEC0F0B"/>
    <w:lvl w:ilvl="0" w:tentative="0">
      <w:start w:val="1"/>
      <w:numFmt w:val="decimal"/>
      <w:suff w:val="nothing"/>
      <w:lvlText w:val="（%1）"/>
      <w:lvlJc w:val="left"/>
      <w:pPr>
        <w:ind w:left="0" w:firstLine="454"/>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9">
    <w:nsid w:val="5B7A2C62"/>
    <w:multiLevelType w:val="multilevel"/>
    <w:tmpl w:val="5B7A2C62"/>
    <w:lvl w:ilvl="0" w:tentative="0">
      <w:start w:val="1"/>
      <w:numFmt w:val="decimal"/>
      <w:suff w:val="nothing"/>
      <w:lvlText w:val="（%1）"/>
      <w:lvlJc w:val="left"/>
      <w:pPr>
        <w:ind w:left="0" w:firstLine="454"/>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0">
    <w:nsid w:val="5C4C167B"/>
    <w:multiLevelType w:val="multilevel"/>
    <w:tmpl w:val="5C4C167B"/>
    <w:lvl w:ilvl="0" w:tentative="0">
      <w:start w:val="1"/>
      <w:numFmt w:val="chineseCountingThousand"/>
      <w:lvlText w:val="第%1卷"/>
      <w:lvlJc w:val="center"/>
      <w:pPr>
        <w:tabs>
          <w:tab w:val="left" w:pos="169"/>
        </w:tabs>
        <w:ind w:left="-551" w:firstLine="0"/>
      </w:pPr>
      <w:rPr>
        <w:rFonts w:hint="eastAsia" w:ascii="宋体" w:hAnsi="Arial" w:eastAsia="宋体"/>
        <w:b/>
        <w:i w:val="0"/>
        <w:sz w:val="52"/>
        <w:szCs w:val="52"/>
      </w:rPr>
    </w:lvl>
    <w:lvl w:ilvl="1" w:tentative="0">
      <w:start w:val="1"/>
      <w:numFmt w:val="decimal"/>
      <w:pStyle w:val="2"/>
      <w:isLgl/>
      <w:lvlText w:val="第%2章"/>
      <w:lvlJc w:val="left"/>
      <w:pPr>
        <w:tabs>
          <w:tab w:val="left" w:pos="1080"/>
        </w:tabs>
        <w:ind w:left="0" w:firstLine="0"/>
      </w:pPr>
      <w:rPr>
        <w:rFonts w:hint="eastAsia" w:ascii="宋体" w:hAnsi="宋体" w:eastAsia="宋体"/>
        <w:b/>
        <w:i w:val="0"/>
        <w:color w:val="auto"/>
        <w:sz w:val="44"/>
        <w:szCs w:val="44"/>
      </w:rPr>
    </w:lvl>
    <w:lvl w:ilvl="2" w:tentative="0">
      <w:start w:val="1"/>
      <w:numFmt w:val="decimal"/>
      <w:pStyle w:val="3"/>
      <w:isLgl/>
      <w:lvlText w:val="%2.%3"/>
      <w:lvlJc w:val="left"/>
      <w:pPr>
        <w:tabs>
          <w:tab w:val="left" w:pos="334"/>
        </w:tabs>
        <w:ind w:left="-26" w:firstLine="0"/>
      </w:pPr>
      <w:rPr>
        <w:rFonts w:hint="eastAsia" w:ascii="宋体" w:hAnsi="宋体" w:eastAsia="宋体"/>
        <w:b/>
        <w:i w:val="0"/>
        <w:sz w:val="28"/>
        <w:szCs w:val="28"/>
      </w:rPr>
    </w:lvl>
    <w:lvl w:ilvl="3" w:tentative="0">
      <w:start w:val="1"/>
      <w:numFmt w:val="decimal"/>
      <w:pStyle w:val="5"/>
      <w:isLgl/>
      <w:lvlText w:val="%2.%3.%4"/>
      <w:lvlJc w:val="left"/>
      <w:pPr>
        <w:tabs>
          <w:tab w:val="left" w:pos="1217"/>
        </w:tabs>
        <w:ind w:left="1200" w:hanging="1200"/>
      </w:pPr>
      <w:rPr>
        <w:rFonts w:hint="eastAsia" w:ascii="宋体" w:hAnsi="宋体" w:eastAsia="宋体"/>
        <w:b w:val="0"/>
        <w:i w:val="0"/>
        <w:sz w:val="24"/>
        <w:szCs w:val="24"/>
      </w:rPr>
    </w:lvl>
    <w:lvl w:ilvl="4" w:tentative="0">
      <w:start w:val="1"/>
      <w:numFmt w:val="decimal"/>
      <w:isLgl/>
      <w:lvlText w:val="%2.%3.%4.%5"/>
      <w:lvlJc w:val="left"/>
      <w:pPr>
        <w:tabs>
          <w:tab w:val="left" w:pos="334"/>
        </w:tabs>
        <w:ind w:left="-26" w:firstLine="0"/>
      </w:pPr>
      <w:rPr>
        <w:rFonts w:hint="eastAsia" w:ascii="宋体" w:hAnsi="宋体" w:eastAsia="宋体"/>
        <w:b w:val="0"/>
        <w:i w:val="0"/>
        <w:color w:val="auto"/>
        <w:sz w:val="24"/>
        <w:szCs w:val="24"/>
        <w:u w:val="none"/>
      </w:rPr>
    </w:lvl>
    <w:lvl w:ilvl="5" w:tentative="0">
      <w:start w:val="1"/>
      <w:numFmt w:val="decimal"/>
      <w:lvlText w:val="(%6)"/>
      <w:lvlJc w:val="left"/>
      <w:pPr>
        <w:tabs>
          <w:tab w:val="left" w:pos="1304"/>
        </w:tabs>
        <w:ind w:left="767" w:hanging="200"/>
      </w:pPr>
      <w:rPr>
        <w:rFonts w:hint="eastAsia" w:ascii="宋体" w:eastAsia="宋体"/>
        <w:b w:val="0"/>
        <w:i w:val="0"/>
        <w:sz w:val="24"/>
        <w:szCs w:val="24"/>
      </w:rPr>
    </w:lvl>
    <w:lvl w:ilvl="6" w:tentative="0">
      <w:start w:val="1"/>
      <w:numFmt w:val="decimal"/>
      <w:lvlText w:val="%1.%2.%3.%4.%5.%6.%7"/>
      <w:lvlJc w:val="left"/>
      <w:pPr>
        <w:tabs>
          <w:tab w:val="left" w:pos="817"/>
        </w:tabs>
        <w:ind w:left="817" w:hanging="1440"/>
      </w:pPr>
      <w:rPr>
        <w:rFonts w:hint="default"/>
      </w:rPr>
    </w:lvl>
    <w:lvl w:ilvl="7" w:tentative="0">
      <w:start w:val="1"/>
      <w:numFmt w:val="decimal"/>
      <w:lvlText w:val="%1.%2.%3.%4.%5.%6.%7.%8"/>
      <w:lvlJc w:val="left"/>
      <w:pPr>
        <w:tabs>
          <w:tab w:val="left" w:pos="1285"/>
        </w:tabs>
        <w:ind w:left="1285" w:hanging="1800"/>
      </w:pPr>
      <w:rPr>
        <w:rFonts w:hint="default"/>
      </w:rPr>
    </w:lvl>
    <w:lvl w:ilvl="8" w:tentative="0">
      <w:start w:val="1"/>
      <w:numFmt w:val="decimal"/>
      <w:lvlText w:val="%1.%2.%3.%4.%5.%6.%7.%8.%9"/>
      <w:lvlJc w:val="left"/>
      <w:pPr>
        <w:tabs>
          <w:tab w:val="left" w:pos="1393"/>
        </w:tabs>
        <w:ind w:left="1393" w:hanging="1800"/>
      </w:pPr>
      <w:rPr>
        <w:rFonts w:hint="default"/>
      </w:rPr>
    </w:lvl>
  </w:abstractNum>
  <w:abstractNum w:abstractNumId="21">
    <w:nsid w:val="5CD648BF"/>
    <w:multiLevelType w:val="multilevel"/>
    <w:tmpl w:val="5CD648BF"/>
    <w:lvl w:ilvl="0" w:tentative="0">
      <w:start w:val="1"/>
      <w:numFmt w:val="decimal"/>
      <w:suff w:val="space"/>
      <w:lvlText w:val="%1)"/>
      <w:lvlJc w:val="left"/>
      <w:pPr>
        <w:ind w:left="0" w:firstLine="567"/>
      </w:pPr>
      <w:rPr>
        <w:rFonts w:hint="eastAs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22">
    <w:nsid w:val="5EBD19A3"/>
    <w:multiLevelType w:val="multilevel"/>
    <w:tmpl w:val="5EBD19A3"/>
    <w:lvl w:ilvl="0" w:tentative="0">
      <w:start w:val="1"/>
      <w:numFmt w:val="decimal"/>
      <w:suff w:val="nothing"/>
      <w:lvlText w:val="（%1）"/>
      <w:lvlJc w:val="left"/>
      <w:pPr>
        <w:ind w:left="0" w:firstLine="454"/>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3">
    <w:nsid w:val="5EBD1C53"/>
    <w:multiLevelType w:val="singleLevel"/>
    <w:tmpl w:val="5EBD1C53"/>
    <w:lvl w:ilvl="0" w:tentative="0">
      <w:start w:val="1"/>
      <w:numFmt w:val="decimal"/>
      <w:lvlText w:val="%1)"/>
      <w:lvlJc w:val="left"/>
      <w:pPr>
        <w:ind w:left="425" w:hanging="425"/>
      </w:pPr>
      <w:rPr>
        <w:rFonts w:hint="default"/>
      </w:rPr>
    </w:lvl>
  </w:abstractNum>
  <w:abstractNum w:abstractNumId="24">
    <w:nsid w:val="5EBD1D5B"/>
    <w:multiLevelType w:val="multilevel"/>
    <w:tmpl w:val="5EBD1D5B"/>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5">
    <w:nsid w:val="672FD6BB"/>
    <w:multiLevelType w:val="singleLevel"/>
    <w:tmpl w:val="672FD6BB"/>
    <w:lvl w:ilvl="0" w:tentative="0">
      <w:start w:val="1"/>
      <w:numFmt w:val="decimal"/>
      <w:lvlText w:val="%1."/>
      <w:lvlJc w:val="left"/>
      <w:pPr>
        <w:tabs>
          <w:tab w:val="left" w:pos="312"/>
        </w:tabs>
      </w:pPr>
    </w:lvl>
  </w:abstractNum>
  <w:abstractNum w:abstractNumId="26">
    <w:nsid w:val="677674B6"/>
    <w:multiLevelType w:val="multilevel"/>
    <w:tmpl w:val="677674B6"/>
    <w:lvl w:ilvl="0" w:tentative="0">
      <w:start w:val="1"/>
      <w:numFmt w:val="decimal"/>
      <w:suff w:val="space"/>
      <w:lvlText w:val="%1)"/>
      <w:lvlJc w:val="left"/>
      <w:pPr>
        <w:ind w:left="0" w:firstLine="567"/>
      </w:pPr>
      <w:rPr>
        <w:rFonts w:hint="eastAs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27">
    <w:nsid w:val="712C04AB"/>
    <w:multiLevelType w:val="multilevel"/>
    <w:tmpl w:val="712C04AB"/>
    <w:lvl w:ilvl="0" w:tentative="0">
      <w:start w:val="1"/>
      <w:numFmt w:val="decimal"/>
      <w:suff w:val="nothing"/>
      <w:lvlText w:val="（%1）"/>
      <w:lvlJc w:val="left"/>
      <w:pPr>
        <w:ind w:left="0" w:firstLine="454"/>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8">
    <w:nsid w:val="793A0647"/>
    <w:multiLevelType w:val="multilevel"/>
    <w:tmpl w:val="793A0647"/>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9">
    <w:nsid w:val="7D3D902B"/>
    <w:multiLevelType w:val="multilevel"/>
    <w:tmpl w:val="7D3D902B"/>
    <w:lvl w:ilvl="0" w:tentative="0">
      <w:start w:val="1"/>
      <w:numFmt w:val="decimal"/>
      <w:suff w:val="nothing"/>
      <w:lvlText w:val="（%1）"/>
      <w:lvlJc w:val="left"/>
      <w:pPr>
        <w:ind w:left="0" w:firstLine="28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0"/>
  </w:num>
  <w:num w:numId="2">
    <w:abstractNumId w:val="3"/>
  </w:num>
  <w:num w:numId="3">
    <w:abstractNumId w:val="4"/>
  </w:num>
  <w:num w:numId="4">
    <w:abstractNumId w:val="0"/>
  </w:num>
  <w:num w:numId="5">
    <w:abstractNumId w:val="8"/>
  </w:num>
  <w:num w:numId="6">
    <w:abstractNumId w:val="1"/>
  </w:num>
  <w:num w:numId="7">
    <w:abstractNumId w:val="13"/>
  </w:num>
  <w:num w:numId="8">
    <w:abstractNumId w:val="10"/>
  </w:num>
  <w:num w:numId="9">
    <w:abstractNumId w:val="29"/>
  </w:num>
  <w:num w:numId="10">
    <w:abstractNumId w:val="28"/>
  </w:num>
  <w:num w:numId="11">
    <w:abstractNumId w:val="24"/>
  </w:num>
  <w:num w:numId="12">
    <w:abstractNumId w:val="17"/>
  </w:num>
  <w:num w:numId="13">
    <w:abstractNumId w:val="22"/>
  </w:num>
  <w:num w:numId="14">
    <w:abstractNumId w:val="27"/>
  </w:num>
  <w:num w:numId="15">
    <w:abstractNumId w:val="18"/>
  </w:num>
  <w:num w:numId="16">
    <w:abstractNumId w:val="12"/>
  </w:num>
  <w:num w:numId="17">
    <w:abstractNumId w:val="9"/>
  </w:num>
  <w:num w:numId="18">
    <w:abstractNumId w:val="5"/>
  </w:num>
  <w:num w:numId="19">
    <w:abstractNumId w:val="19"/>
  </w:num>
  <w:num w:numId="20">
    <w:abstractNumId w:val="11"/>
  </w:num>
  <w:num w:numId="21">
    <w:abstractNumId w:val="26"/>
  </w:num>
  <w:num w:numId="22">
    <w:abstractNumId w:val="15"/>
  </w:num>
  <w:num w:numId="23">
    <w:abstractNumId w:val="6"/>
  </w:num>
  <w:num w:numId="24">
    <w:abstractNumId w:val="14"/>
  </w:num>
  <w:num w:numId="25">
    <w:abstractNumId w:val="7"/>
  </w:num>
  <w:num w:numId="26">
    <w:abstractNumId w:val="21"/>
  </w:num>
  <w:num w:numId="27">
    <w:abstractNumId w:val="16"/>
  </w:num>
  <w:num w:numId="28">
    <w:abstractNumId w:val="23"/>
  </w:num>
  <w:num w:numId="29">
    <w:abstractNumId w:val="2"/>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Y5NDg4MTA5NThlN2U3ZGJiMjk4NDJhY2Q2MTZhODUifQ=="/>
  </w:docVars>
  <w:rsids>
    <w:rsidRoot w:val="00172A27"/>
    <w:rsid w:val="000137B2"/>
    <w:rsid w:val="000322AE"/>
    <w:rsid w:val="00035B18"/>
    <w:rsid w:val="00051F27"/>
    <w:rsid w:val="000654C5"/>
    <w:rsid w:val="00083897"/>
    <w:rsid w:val="000B184F"/>
    <w:rsid w:val="000D703C"/>
    <w:rsid w:val="000E39DE"/>
    <w:rsid w:val="000E636E"/>
    <w:rsid w:val="000F3865"/>
    <w:rsid w:val="00104CA6"/>
    <w:rsid w:val="0011129E"/>
    <w:rsid w:val="001219C7"/>
    <w:rsid w:val="001308AA"/>
    <w:rsid w:val="00135916"/>
    <w:rsid w:val="0015024D"/>
    <w:rsid w:val="00152106"/>
    <w:rsid w:val="00152F3A"/>
    <w:rsid w:val="00172A27"/>
    <w:rsid w:val="00193198"/>
    <w:rsid w:val="001B68DB"/>
    <w:rsid w:val="00266751"/>
    <w:rsid w:val="00267A10"/>
    <w:rsid w:val="00270FF6"/>
    <w:rsid w:val="002B744E"/>
    <w:rsid w:val="002D1336"/>
    <w:rsid w:val="002E2A55"/>
    <w:rsid w:val="002E4543"/>
    <w:rsid w:val="002F2ADC"/>
    <w:rsid w:val="00300957"/>
    <w:rsid w:val="00303042"/>
    <w:rsid w:val="003038A5"/>
    <w:rsid w:val="00321A1E"/>
    <w:rsid w:val="0036529F"/>
    <w:rsid w:val="003670E0"/>
    <w:rsid w:val="00370710"/>
    <w:rsid w:val="00381027"/>
    <w:rsid w:val="003877DB"/>
    <w:rsid w:val="003B4C2D"/>
    <w:rsid w:val="003B7D90"/>
    <w:rsid w:val="003D7310"/>
    <w:rsid w:val="0040471F"/>
    <w:rsid w:val="004111F1"/>
    <w:rsid w:val="00413A5F"/>
    <w:rsid w:val="00427160"/>
    <w:rsid w:val="004513F1"/>
    <w:rsid w:val="00454446"/>
    <w:rsid w:val="00465C69"/>
    <w:rsid w:val="0046641C"/>
    <w:rsid w:val="004A2476"/>
    <w:rsid w:val="004C1117"/>
    <w:rsid w:val="004E0A5C"/>
    <w:rsid w:val="004F5A7C"/>
    <w:rsid w:val="005011E7"/>
    <w:rsid w:val="0051610F"/>
    <w:rsid w:val="005320F6"/>
    <w:rsid w:val="00543DC6"/>
    <w:rsid w:val="00545E78"/>
    <w:rsid w:val="00556052"/>
    <w:rsid w:val="00564325"/>
    <w:rsid w:val="00567C8E"/>
    <w:rsid w:val="0058085D"/>
    <w:rsid w:val="005905DD"/>
    <w:rsid w:val="005940A0"/>
    <w:rsid w:val="00596D78"/>
    <w:rsid w:val="005A133F"/>
    <w:rsid w:val="005B7A37"/>
    <w:rsid w:val="006215D1"/>
    <w:rsid w:val="00624917"/>
    <w:rsid w:val="00651F27"/>
    <w:rsid w:val="00672DD1"/>
    <w:rsid w:val="00684761"/>
    <w:rsid w:val="006871D6"/>
    <w:rsid w:val="00693778"/>
    <w:rsid w:val="006E360E"/>
    <w:rsid w:val="006F7B14"/>
    <w:rsid w:val="00705832"/>
    <w:rsid w:val="007142DD"/>
    <w:rsid w:val="0072378F"/>
    <w:rsid w:val="00730DE4"/>
    <w:rsid w:val="00754796"/>
    <w:rsid w:val="007601D1"/>
    <w:rsid w:val="00793996"/>
    <w:rsid w:val="007E4D54"/>
    <w:rsid w:val="007F19E1"/>
    <w:rsid w:val="007F2692"/>
    <w:rsid w:val="00801CB9"/>
    <w:rsid w:val="008133DA"/>
    <w:rsid w:val="00824D73"/>
    <w:rsid w:val="0083505C"/>
    <w:rsid w:val="00866EA9"/>
    <w:rsid w:val="0088165C"/>
    <w:rsid w:val="008821D5"/>
    <w:rsid w:val="008B70E2"/>
    <w:rsid w:val="008D5277"/>
    <w:rsid w:val="008F4C49"/>
    <w:rsid w:val="009157E7"/>
    <w:rsid w:val="00920E69"/>
    <w:rsid w:val="009212A5"/>
    <w:rsid w:val="009309CD"/>
    <w:rsid w:val="00932318"/>
    <w:rsid w:val="00936BF4"/>
    <w:rsid w:val="00954259"/>
    <w:rsid w:val="00970010"/>
    <w:rsid w:val="0098408A"/>
    <w:rsid w:val="009A6743"/>
    <w:rsid w:val="009C1F8B"/>
    <w:rsid w:val="009C3E01"/>
    <w:rsid w:val="009E35D6"/>
    <w:rsid w:val="009E6EFD"/>
    <w:rsid w:val="00A010A5"/>
    <w:rsid w:val="00A215DD"/>
    <w:rsid w:val="00A250A5"/>
    <w:rsid w:val="00A767F8"/>
    <w:rsid w:val="00A821DC"/>
    <w:rsid w:val="00A961F4"/>
    <w:rsid w:val="00A97D2C"/>
    <w:rsid w:val="00AB17F2"/>
    <w:rsid w:val="00AC5758"/>
    <w:rsid w:val="00AE6BDA"/>
    <w:rsid w:val="00AF69C3"/>
    <w:rsid w:val="00B405B4"/>
    <w:rsid w:val="00B45640"/>
    <w:rsid w:val="00B6055E"/>
    <w:rsid w:val="00B61B4A"/>
    <w:rsid w:val="00B6707A"/>
    <w:rsid w:val="00BA2398"/>
    <w:rsid w:val="00BC1C27"/>
    <w:rsid w:val="00BD620C"/>
    <w:rsid w:val="00BE13F4"/>
    <w:rsid w:val="00BE4FE4"/>
    <w:rsid w:val="00BF03F4"/>
    <w:rsid w:val="00C33A6C"/>
    <w:rsid w:val="00C4557C"/>
    <w:rsid w:val="00C57423"/>
    <w:rsid w:val="00C627E6"/>
    <w:rsid w:val="00C743B1"/>
    <w:rsid w:val="00C75D2E"/>
    <w:rsid w:val="00C808BE"/>
    <w:rsid w:val="00CB3462"/>
    <w:rsid w:val="00CB4286"/>
    <w:rsid w:val="00CB73D9"/>
    <w:rsid w:val="00CC6C7E"/>
    <w:rsid w:val="00CE28EC"/>
    <w:rsid w:val="00CE2C59"/>
    <w:rsid w:val="00CE39A5"/>
    <w:rsid w:val="00CF0465"/>
    <w:rsid w:val="00D01C4A"/>
    <w:rsid w:val="00D14DEB"/>
    <w:rsid w:val="00D23E9D"/>
    <w:rsid w:val="00D36525"/>
    <w:rsid w:val="00D40A49"/>
    <w:rsid w:val="00D45BC8"/>
    <w:rsid w:val="00D610B0"/>
    <w:rsid w:val="00D84421"/>
    <w:rsid w:val="00D91E19"/>
    <w:rsid w:val="00DA2348"/>
    <w:rsid w:val="00DC2D1A"/>
    <w:rsid w:val="00DC5917"/>
    <w:rsid w:val="00DD3205"/>
    <w:rsid w:val="00DD77C1"/>
    <w:rsid w:val="00DE7A68"/>
    <w:rsid w:val="00DE7E89"/>
    <w:rsid w:val="00DF5C6F"/>
    <w:rsid w:val="00E36869"/>
    <w:rsid w:val="00E86A85"/>
    <w:rsid w:val="00E92CF5"/>
    <w:rsid w:val="00E95C46"/>
    <w:rsid w:val="00EB1FDC"/>
    <w:rsid w:val="00EB3E02"/>
    <w:rsid w:val="00EC6678"/>
    <w:rsid w:val="00ED4903"/>
    <w:rsid w:val="00EF52C3"/>
    <w:rsid w:val="00F004C5"/>
    <w:rsid w:val="00F0272E"/>
    <w:rsid w:val="00F027E0"/>
    <w:rsid w:val="00F14FE1"/>
    <w:rsid w:val="00F231C9"/>
    <w:rsid w:val="00F610A5"/>
    <w:rsid w:val="00F73B89"/>
    <w:rsid w:val="00F87212"/>
    <w:rsid w:val="00FA5D5E"/>
    <w:rsid w:val="00FB1E84"/>
    <w:rsid w:val="00FB48D6"/>
    <w:rsid w:val="00FC37AF"/>
    <w:rsid w:val="00FD7194"/>
    <w:rsid w:val="0101566D"/>
    <w:rsid w:val="01292DC0"/>
    <w:rsid w:val="01567B19"/>
    <w:rsid w:val="016025B8"/>
    <w:rsid w:val="01822BA0"/>
    <w:rsid w:val="01A64ACF"/>
    <w:rsid w:val="01B00A50"/>
    <w:rsid w:val="01F01FA1"/>
    <w:rsid w:val="020A616F"/>
    <w:rsid w:val="02124600"/>
    <w:rsid w:val="02382AE7"/>
    <w:rsid w:val="026C460A"/>
    <w:rsid w:val="027775F8"/>
    <w:rsid w:val="029F0B39"/>
    <w:rsid w:val="02B8628E"/>
    <w:rsid w:val="02C05241"/>
    <w:rsid w:val="02C7063A"/>
    <w:rsid w:val="02DF6F64"/>
    <w:rsid w:val="03314ABB"/>
    <w:rsid w:val="03516D91"/>
    <w:rsid w:val="03811666"/>
    <w:rsid w:val="03852A02"/>
    <w:rsid w:val="03C4237C"/>
    <w:rsid w:val="03CE2AE5"/>
    <w:rsid w:val="03DF1656"/>
    <w:rsid w:val="03F81358"/>
    <w:rsid w:val="049C05C3"/>
    <w:rsid w:val="04C37607"/>
    <w:rsid w:val="04C40793"/>
    <w:rsid w:val="04D90757"/>
    <w:rsid w:val="04DD5D12"/>
    <w:rsid w:val="04EA4790"/>
    <w:rsid w:val="052547D7"/>
    <w:rsid w:val="05261624"/>
    <w:rsid w:val="05490EA5"/>
    <w:rsid w:val="05843426"/>
    <w:rsid w:val="0594182C"/>
    <w:rsid w:val="05CB017E"/>
    <w:rsid w:val="05E237E4"/>
    <w:rsid w:val="05E6734E"/>
    <w:rsid w:val="05E97307"/>
    <w:rsid w:val="05F97727"/>
    <w:rsid w:val="05FC36D1"/>
    <w:rsid w:val="060043AE"/>
    <w:rsid w:val="060721D7"/>
    <w:rsid w:val="06346276"/>
    <w:rsid w:val="06376A46"/>
    <w:rsid w:val="06565574"/>
    <w:rsid w:val="065F3EB2"/>
    <w:rsid w:val="06A019A7"/>
    <w:rsid w:val="07584052"/>
    <w:rsid w:val="0795393E"/>
    <w:rsid w:val="07B377DF"/>
    <w:rsid w:val="07D54C07"/>
    <w:rsid w:val="07DB3E71"/>
    <w:rsid w:val="07DF15A8"/>
    <w:rsid w:val="0866069D"/>
    <w:rsid w:val="088D0F88"/>
    <w:rsid w:val="09066964"/>
    <w:rsid w:val="091710A6"/>
    <w:rsid w:val="091E2114"/>
    <w:rsid w:val="095D6EFB"/>
    <w:rsid w:val="09826DCB"/>
    <w:rsid w:val="09974F44"/>
    <w:rsid w:val="0A034422"/>
    <w:rsid w:val="0A0C438A"/>
    <w:rsid w:val="0A347B33"/>
    <w:rsid w:val="0A360296"/>
    <w:rsid w:val="0AB37085"/>
    <w:rsid w:val="0B7C1ABD"/>
    <w:rsid w:val="0BAB2B8C"/>
    <w:rsid w:val="0BC712E7"/>
    <w:rsid w:val="0BCF25FD"/>
    <w:rsid w:val="0BEB27DC"/>
    <w:rsid w:val="0BF12510"/>
    <w:rsid w:val="0C1C3719"/>
    <w:rsid w:val="0C3F447B"/>
    <w:rsid w:val="0C9934CD"/>
    <w:rsid w:val="0CA93D2B"/>
    <w:rsid w:val="0CFF2709"/>
    <w:rsid w:val="0D0F30B0"/>
    <w:rsid w:val="0DC10FD0"/>
    <w:rsid w:val="0DD64A11"/>
    <w:rsid w:val="0DE9083F"/>
    <w:rsid w:val="0E5E1A0A"/>
    <w:rsid w:val="0E6640FF"/>
    <w:rsid w:val="0EA85A1F"/>
    <w:rsid w:val="0ECA3828"/>
    <w:rsid w:val="0ECE4B2B"/>
    <w:rsid w:val="0EDA0B9A"/>
    <w:rsid w:val="0EE8244E"/>
    <w:rsid w:val="0F2E1434"/>
    <w:rsid w:val="0F584C32"/>
    <w:rsid w:val="0F660D8A"/>
    <w:rsid w:val="0F69683F"/>
    <w:rsid w:val="0F841EEC"/>
    <w:rsid w:val="0FB71371"/>
    <w:rsid w:val="0FC77C58"/>
    <w:rsid w:val="0FF8593C"/>
    <w:rsid w:val="0FFB6972"/>
    <w:rsid w:val="101A1B11"/>
    <w:rsid w:val="102A2211"/>
    <w:rsid w:val="103A5C6C"/>
    <w:rsid w:val="104B2082"/>
    <w:rsid w:val="10851960"/>
    <w:rsid w:val="10A368F9"/>
    <w:rsid w:val="10BE6452"/>
    <w:rsid w:val="11013FED"/>
    <w:rsid w:val="11154971"/>
    <w:rsid w:val="113A5AEB"/>
    <w:rsid w:val="116D7179"/>
    <w:rsid w:val="117E54DB"/>
    <w:rsid w:val="118E3D7F"/>
    <w:rsid w:val="119E524E"/>
    <w:rsid w:val="11C71B33"/>
    <w:rsid w:val="11D72FD6"/>
    <w:rsid w:val="11F47633"/>
    <w:rsid w:val="11F91922"/>
    <w:rsid w:val="124856E8"/>
    <w:rsid w:val="12850115"/>
    <w:rsid w:val="12A97654"/>
    <w:rsid w:val="12B26D5C"/>
    <w:rsid w:val="12B7534A"/>
    <w:rsid w:val="12D52E14"/>
    <w:rsid w:val="12DD77F3"/>
    <w:rsid w:val="137B794E"/>
    <w:rsid w:val="14067C92"/>
    <w:rsid w:val="143F36E4"/>
    <w:rsid w:val="14422968"/>
    <w:rsid w:val="146869B1"/>
    <w:rsid w:val="14882114"/>
    <w:rsid w:val="14C657BA"/>
    <w:rsid w:val="15A72980"/>
    <w:rsid w:val="15BA4FA3"/>
    <w:rsid w:val="15E16D5F"/>
    <w:rsid w:val="164F31C2"/>
    <w:rsid w:val="16552D97"/>
    <w:rsid w:val="16746B60"/>
    <w:rsid w:val="167C262B"/>
    <w:rsid w:val="167D27C2"/>
    <w:rsid w:val="170D3793"/>
    <w:rsid w:val="175439C4"/>
    <w:rsid w:val="17A85C42"/>
    <w:rsid w:val="181C333C"/>
    <w:rsid w:val="1838058A"/>
    <w:rsid w:val="183E1DD0"/>
    <w:rsid w:val="18416286"/>
    <w:rsid w:val="18947F91"/>
    <w:rsid w:val="189C0EA3"/>
    <w:rsid w:val="18A10DD8"/>
    <w:rsid w:val="18A86D2D"/>
    <w:rsid w:val="18B3705E"/>
    <w:rsid w:val="18BD3948"/>
    <w:rsid w:val="191B28F0"/>
    <w:rsid w:val="19283CA8"/>
    <w:rsid w:val="196E0F33"/>
    <w:rsid w:val="19921B77"/>
    <w:rsid w:val="19A9697E"/>
    <w:rsid w:val="19C36DE0"/>
    <w:rsid w:val="19FE2550"/>
    <w:rsid w:val="1A5D1BA7"/>
    <w:rsid w:val="1A6D4A33"/>
    <w:rsid w:val="1A804356"/>
    <w:rsid w:val="1AB619BD"/>
    <w:rsid w:val="1ABD1764"/>
    <w:rsid w:val="1AC50A58"/>
    <w:rsid w:val="1AC97314"/>
    <w:rsid w:val="1ADE234D"/>
    <w:rsid w:val="1B100DFC"/>
    <w:rsid w:val="1B134ED2"/>
    <w:rsid w:val="1B6A5955"/>
    <w:rsid w:val="1B9B2757"/>
    <w:rsid w:val="1BDE3EB7"/>
    <w:rsid w:val="1C3D5F13"/>
    <w:rsid w:val="1C424B39"/>
    <w:rsid w:val="1C656F50"/>
    <w:rsid w:val="1C6E5335"/>
    <w:rsid w:val="1C920060"/>
    <w:rsid w:val="1CAD2662"/>
    <w:rsid w:val="1CBA3E1B"/>
    <w:rsid w:val="1CF21018"/>
    <w:rsid w:val="1D122C0A"/>
    <w:rsid w:val="1D4E3640"/>
    <w:rsid w:val="1DB301DF"/>
    <w:rsid w:val="1DB7139E"/>
    <w:rsid w:val="1DD8553F"/>
    <w:rsid w:val="1DEC5CD5"/>
    <w:rsid w:val="1E5156B6"/>
    <w:rsid w:val="1E6923A5"/>
    <w:rsid w:val="1EB55CF5"/>
    <w:rsid w:val="1EEF687A"/>
    <w:rsid w:val="1F1D47A4"/>
    <w:rsid w:val="1F1E4834"/>
    <w:rsid w:val="1F1F268C"/>
    <w:rsid w:val="1F34408E"/>
    <w:rsid w:val="1F4406C7"/>
    <w:rsid w:val="1F6A396E"/>
    <w:rsid w:val="1F7269C9"/>
    <w:rsid w:val="1F7F4D64"/>
    <w:rsid w:val="1F95324E"/>
    <w:rsid w:val="1FD010CA"/>
    <w:rsid w:val="200B4E83"/>
    <w:rsid w:val="20535F35"/>
    <w:rsid w:val="205E3F26"/>
    <w:rsid w:val="206F03EE"/>
    <w:rsid w:val="206F41B2"/>
    <w:rsid w:val="206F7B29"/>
    <w:rsid w:val="20B74C24"/>
    <w:rsid w:val="20DD04D0"/>
    <w:rsid w:val="20E55053"/>
    <w:rsid w:val="21293F15"/>
    <w:rsid w:val="21880D6A"/>
    <w:rsid w:val="21B57C95"/>
    <w:rsid w:val="21F53580"/>
    <w:rsid w:val="220A6E0E"/>
    <w:rsid w:val="220E18F2"/>
    <w:rsid w:val="22137E2D"/>
    <w:rsid w:val="22275A5A"/>
    <w:rsid w:val="222E307C"/>
    <w:rsid w:val="224772C9"/>
    <w:rsid w:val="22477DBA"/>
    <w:rsid w:val="225A4933"/>
    <w:rsid w:val="22785689"/>
    <w:rsid w:val="22815444"/>
    <w:rsid w:val="229B11C1"/>
    <w:rsid w:val="22F23D83"/>
    <w:rsid w:val="22FB5D80"/>
    <w:rsid w:val="2310215D"/>
    <w:rsid w:val="231219AE"/>
    <w:rsid w:val="2326637D"/>
    <w:rsid w:val="23353491"/>
    <w:rsid w:val="23A60727"/>
    <w:rsid w:val="23D52F5E"/>
    <w:rsid w:val="24034C4D"/>
    <w:rsid w:val="245D2DA0"/>
    <w:rsid w:val="246F48B4"/>
    <w:rsid w:val="247F4284"/>
    <w:rsid w:val="24D25EB3"/>
    <w:rsid w:val="24D53AD6"/>
    <w:rsid w:val="24D8195A"/>
    <w:rsid w:val="250052C3"/>
    <w:rsid w:val="25155C34"/>
    <w:rsid w:val="252F2EFB"/>
    <w:rsid w:val="25354EAF"/>
    <w:rsid w:val="256846EF"/>
    <w:rsid w:val="25771FA6"/>
    <w:rsid w:val="258E60C4"/>
    <w:rsid w:val="25B93976"/>
    <w:rsid w:val="25BA1EF7"/>
    <w:rsid w:val="25C61723"/>
    <w:rsid w:val="25CD3CC6"/>
    <w:rsid w:val="26121868"/>
    <w:rsid w:val="26131CB2"/>
    <w:rsid w:val="26326546"/>
    <w:rsid w:val="264E23CD"/>
    <w:rsid w:val="26720A6B"/>
    <w:rsid w:val="27AC0461"/>
    <w:rsid w:val="27AF5381"/>
    <w:rsid w:val="27B8645E"/>
    <w:rsid w:val="27D353D7"/>
    <w:rsid w:val="27D93E05"/>
    <w:rsid w:val="27F8656E"/>
    <w:rsid w:val="2808401D"/>
    <w:rsid w:val="28363B6E"/>
    <w:rsid w:val="2857781F"/>
    <w:rsid w:val="286D7B90"/>
    <w:rsid w:val="28D11CDD"/>
    <w:rsid w:val="29382F53"/>
    <w:rsid w:val="296A5E3B"/>
    <w:rsid w:val="29884998"/>
    <w:rsid w:val="299509EF"/>
    <w:rsid w:val="29A478A3"/>
    <w:rsid w:val="29B84122"/>
    <w:rsid w:val="29BD1AEA"/>
    <w:rsid w:val="2A456578"/>
    <w:rsid w:val="2A554312"/>
    <w:rsid w:val="2A5A2A81"/>
    <w:rsid w:val="2B47215D"/>
    <w:rsid w:val="2B4F46A0"/>
    <w:rsid w:val="2B5E4E10"/>
    <w:rsid w:val="2C1C220F"/>
    <w:rsid w:val="2C324A12"/>
    <w:rsid w:val="2C824FCB"/>
    <w:rsid w:val="2CB815C6"/>
    <w:rsid w:val="2D166631"/>
    <w:rsid w:val="2D687AFC"/>
    <w:rsid w:val="2D911D47"/>
    <w:rsid w:val="2DB57B20"/>
    <w:rsid w:val="2DC50BFD"/>
    <w:rsid w:val="2E0950AB"/>
    <w:rsid w:val="2E4479B5"/>
    <w:rsid w:val="2E4569FF"/>
    <w:rsid w:val="2E8A1282"/>
    <w:rsid w:val="2EB70F5A"/>
    <w:rsid w:val="2EBE7F67"/>
    <w:rsid w:val="2EDD1D1F"/>
    <w:rsid w:val="2EEF5670"/>
    <w:rsid w:val="2EF16BA5"/>
    <w:rsid w:val="2F0F2A33"/>
    <w:rsid w:val="2F14018B"/>
    <w:rsid w:val="2F7B24AE"/>
    <w:rsid w:val="2F9B467C"/>
    <w:rsid w:val="2FDA6976"/>
    <w:rsid w:val="2FE103F4"/>
    <w:rsid w:val="2FEC433F"/>
    <w:rsid w:val="3036201A"/>
    <w:rsid w:val="305D17E7"/>
    <w:rsid w:val="30894E1C"/>
    <w:rsid w:val="309432FF"/>
    <w:rsid w:val="30A669FA"/>
    <w:rsid w:val="30A76AE5"/>
    <w:rsid w:val="30BC1304"/>
    <w:rsid w:val="30C77BD3"/>
    <w:rsid w:val="30E61FC6"/>
    <w:rsid w:val="30F73CED"/>
    <w:rsid w:val="3129777A"/>
    <w:rsid w:val="312C5EEE"/>
    <w:rsid w:val="313261DC"/>
    <w:rsid w:val="31A46550"/>
    <w:rsid w:val="32144BEE"/>
    <w:rsid w:val="32D33AB6"/>
    <w:rsid w:val="32F6488D"/>
    <w:rsid w:val="333214CF"/>
    <w:rsid w:val="334A2795"/>
    <w:rsid w:val="334C69B3"/>
    <w:rsid w:val="336303AE"/>
    <w:rsid w:val="3375775A"/>
    <w:rsid w:val="33CC34C7"/>
    <w:rsid w:val="33D116DF"/>
    <w:rsid w:val="33EF5C9C"/>
    <w:rsid w:val="33F66788"/>
    <w:rsid w:val="340053F5"/>
    <w:rsid w:val="34131143"/>
    <w:rsid w:val="349410DD"/>
    <w:rsid w:val="34CB6B14"/>
    <w:rsid w:val="34F148C2"/>
    <w:rsid w:val="35143D96"/>
    <w:rsid w:val="35196CAA"/>
    <w:rsid w:val="353268D8"/>
    <w:rsid w:val="35434D2F"/>
    <w:rsid w:val="3584201B"/>
    <w:rsid w:val="35BF7B85"/>
    <w:rsid w:val="360C16DF"/>
    <w:rsid w:val="360C2CF7"/>
    <w:rsid w:val="361E4C25"/>
    <w:rsid w:val="36354DF5"/>
    <w:rsid w:val="368B0408"/>
    <w:rsid w:val="369519AF"/>
    <w:rsid w:val="36B97CD1"/>
    <w:rsid w:val="36F117B6"/>
    <w:rsid w:val="37410EB1"/>
    <w:rsid w:val="376A49B0"/>
    <w:rsid w:val="376B0DD8"/>
    <w:rsid w:val="376B5C9C"/>
    <w:rsid w:val="3782592A"/>
    <w:rsid w:val="37BC0C31"/>
    <w:rsid w:val="37CD4D97"/>
    <w:rsid w:val="37CD52BB"/>
    <w:rsid w:val="382F1D6B"/>
    <w:rsid w:val="38430576"/>
    <w:rsid w:val="38476591"/>
    <w:rsid w:val="38AF1A1E"/>
    <w:rsid w:val="38C613AA"/>
    <w:rsid w:val="38D56456"/>
    <w:rsid w:val="390B6754"/>
    <w:rsid w:val="39372C9D"/>
    <w:rsid w:val="3941328B"/>
    <w:rsid w:val="394F1DDC"/>
    <w:rsid w:val="3962247D"/>
    <w:rsid w:val="39655176"/>
    <w:rsid w:val="39772B1F"/>
    <w:rsid w:val="3A1A62C6"/>
    <w:rsid w:val="3A361113"/>
    <w:rsid w:val="3A4A0BB6"/>
    <w:rsid w:val="3A72247D"/>
    <w:rsid w:val="3A782F2A"/>
    <w:rsid w:val="3A881CA1"/>
    <w:rsid w:val="3AD76836"/>
    <w:rsid w:val="3AF96A71"/>
    <w:rsid w:val="3B150C36"/>
    <w:rsid w:val="3B2B00CE"/>
    <w:rsid w:val="3B351448"/>
    <w:rsid w:val="3B7545E0"/>
    <w:rsid w:val="3C124FF8"/>
    <w:rsid w:val="3C1709B4"/>
    <w:rsid w:val="3C3C2D43"/>
    <w:rsid w:val="3C49799E"/>
    <w:rsid w:val="3C616C4D"/>
    <w:rsid w:val="3C95085F"/>
    <w:rsid w:val="3CA664EC"/>
    <w:rsid w:val="3CC64A59"/>
    <w:rsid w:val="3CDD18A0"/>
    <w:rsid w:val="3CF27C93"/>
    <w:rsid w:val="3CFA5D6C"/>
    <w:rsid w:val="3D0A74DD"/>
    <w:rsid w:val="3D2C2E10"/>
    <w:rsid w:val="3D6B01A1"/>
    <w:rsid w:val="3DA01452"/>
    <w:rsid w:val="3DC65EED"/>
    <w:rsid w:val="3E0A2DA1"/>
    <w:rsid w:val="3E1801CC"/>
    <w:rsid w:val="3E245D45"/>
    <w:rsid w:val="3E4D20D9"/>
    <w:rsid w:val="3E4F6861"/>
    <w:rsid w:val="3E6E2B00"/>
    <w:rsid w:val="3EAF13DA"/>
    <w:rsid w:val="3EB74C22"/>
    <w:rsid w:val="3ED23BBA"/>
    <w:rsid w:val="3EF94AB9"/>
    <w:rsid w:val="3F075CC4"/>
    <w:rsid w:val="3F0C726F"/>
    <w:rsid w:val="3F107445"/>
    <w:rsid w:val="3F76008C"/>
    <w:rsid w:val="3FC25C55"/>
    <w:rsid w:val="3FC40D8C"/>
    <w:rsid w:val="3FD75D4E"/>
    <w:rsid w:val="3FDB6A25"/>
    <w:rsid w:val="402C2B61"/>
    <w:rsid w:val="408C5D5A"/>
    <w:rsid w:val="40AC7B95"/>
    <w:rsid w:val="40B27A6A"/>
    <w:rsid w:val="40C96B1A"/>
    <w:rsid w:val="40CF523D"/>
    <w:rsid w:val="40FD63A7"/>
    <w:rsid w:val="41377F7D"/>
    <w:rsid w:val="41663A3D"/>
    <w:rsid w:val="41711AFF"/>
    <w:rsid w:val="418471EB"/>
    <w:rsid w:val="41A739EC"/>
    <w:rsid w:val="42015676"/>
    <w:rsid w:val="421D0208"/>
    <w:rsid w:val="42BA1A6F"/>
    <w:rsid w:val="42BC4F5C"/>
    <w:rsid w:val="42BC7E33"/>
    <w:rsid w:val="42D942D6"/>
    <w:rsid w:val="437F66EB"/>
    <w:rsid w:val="43B21D65"/>
    <w:rsid w:val="43BC6E33"/>
    <w:rsid w:val="43D808B0"/>
    <w:rsid w:val="447470FF"/>
    <w:rsid w:val="448828BD"/>
    <w:rsid w:val="45435421"/>
    <w:rsid w:val="45851EB0"/>
    <w:rsid w:val="459E160C"/>
    <w:rsid w:val="45AA617E"/>
    <w:rsid w:val="45C76B48"/>
    <w:rsid w:val="45F30E6A"/>
    <w:rsid w:val="46366BFC"/>
    <w:rsid w:val="46676099"/>
    <w:rsid w:val="46AE71F4"/>
    <w:rsid w:val="46BD23BA"/>
    <w:rsid w:val="46E9237E"/>
    <w:rsid w:val="46FA08AD"/>
    <w:rsid w:val="4756074A"/>
    <w:rsid w:val="480648F5"/>
    <w:rsid w:val="483F6EED"/>
    <w:rsid w:val="48721437"/>
    <w:rsid w:val="489857A5"/>
    <w:rsid w:val="48D40113"/>
    <w:rsid w:val="49372DD1"/>
    <w:rsid w:val="49504651"/>
    <w:rsid w:val="4967516C"/>
    <w:rsid w:val="49867F28"/>
    <w:rsid w:val="49C9609D"/>
    <w:rsid w:val="49DD2BB1"/>
    <w:rsid w:val="4A5040D7"/>
    <w:rsid w:val="4A7A39BA"/>
    <w:rsid w:val="4AB95A71"/>
    <w:rsid w:val="4ACE27C8"/>
    <w:rsid w:val="4AD03818"/>
    <w:rsid w:val="4B015F26"/>
    <w:rsid w:val="4B58746D"/>
    <w:rsid w:val="4BDE79CC"/>
    <w:rsid w:val="4C0A2128"/>
    <w:rsid w:val="4C5051E8"/>
    <w:rsid w:val="4C717F14"/>
    <w:rsid w:val="4C822F99"/>
    <w:rsid w:val="4C8C69BA"/>
    <w:rsid w:val="4C8E41A3"/>
    <w:rsid w:val="4C9B2620"/>
    <w:rsid w:val="4CD0123F"/>
    <w:rsid w:val="4CD25883"/>
    <w:rsid w:val="4CD943D1"/>
    <w:rsid w:val="4CEF384F"/>
    <w:rsid w:val="4D1B115A"/>
    <w:rsid w:val="4D351B06"/>
    <w:rsid w:val="4D474BA8"/>
    <w:rsid w:val="4D6401D3"/>
    <w:rsid w:val="4D996FB6"/>
    <w:rsid w:val="4D9C6910"/>
    <w:rsid w:val="4DAF47BF"/>
    <w:rsid w:val="4DC45990"/>
    <w:rsid w:val="4DCE38E6"/>
    <w:rsid w:val="4DDC5A99"/>
    <w:rsid w:val="4E2D7CD0"/>
    <w:rsid w:val="4E5D5D75"/>
    <w:rsid w:val="4E5D641C"/>
    <w:rsid w:val="4EA947B6"/>
    <w:rsid w:val="4EC87EDC"/>
    <w:rsid w:val="4EE9183F"/>
    <w:rsid w:val="4F566A2F"/>
    <w:rsid w:val="4FC03247"/>
    <w:rsid w:val="4FD46CEF"/>
    <w:rsid w:val="4FF053B2"/>
    <w:rsid w:val="500C6E35"/>
    <w:rsid w:val="500F336D"/>
    <w:rsid w:val="50445E70"/>
    <w:rsid w:val="50470F63"/>
    <w:rsid w:val="504D50C7"/>
    <w:rsid w:val="50581C09"/>
    <w:rsid w:val="50B46CFD"/>
    <w:rsid w:val="50C92B17"/>
    <w:rsid w:val="50E0418D"/>
    <w:rsid w:val="51084FCC"/>
    <w:rsid w:val="511E30AB"/>
    <w:rsid w:val="513D555E"/>
    <w:rsid w:val="51490229"/>
    <w:rsid w:val="51C52110"/>
    <w:rsid w:val="52052887"/>
    <w:rsid w:val="521163BA"/>
    <w:rsid w:val="521B5C1A"/>
    <w:rsid w:val="52260855"/>
    <w:rsid w:val="52626E5D"/>
    <w:rsid w:val="5280768B"/>
    <w:rsid w:val="528B28D8"/>
    <w:rsid w:val="529327B2"/>
    <w:rsid w:val="52A6597E"/>
    <w:rsid w:val="52AF5AD5"/>
    <w:rsid w:val="52D8669E"/>
    <w:rsid w:val="52FB3C91"/>
    <w:rsid w:val="530F6B5A"/>
    <w:rsid w:val="53233AFB"/>
    <w:rsid w:val="534F6F3D"/>
    <w:rsid w:val="53B0246F"/>
    <w:rsid w:val="53FD7651"/>
    <w:rsid w:val="544B602F"/>
    <w:rsid w:val="54847A2B"/>
    <w:rsid w:val="548C5859"/>
    <w:rsid w:val="54B70E35"/>
    <w:rsid w:val="555022BB"/>
    <w:rsid w:val="55600F1E"/>
    <w:rsid w:val="5566041D"/>
    <w:rsid w:val="55674E7D"/>
    <w:rsid w:val="55941554"/>
    <w:rsid w:val="55996E93"/>
    <w:rsid w:val="55A93AC5"/>
    <w:rsid w:val="55BB5795"/>
    <w:rsid w:val="55D37473"/>
    <w:rsid w:val="55E15C9A"/>
    <w:rsid w:val="55E37BCF"/>
    <w:rsid w:val="55E93AE3"/>
    <w:rsid w:val="561C5F03"/>
    <w:rsid w:val="562A44E6"/>
    <w:rsid w:val="563867C7"/>
    <w:rsid w:val="56703608"/>
    <w:rsid w:val="56BA25B8"/>
    <w:rsid w:val="56C14DD9"/>
    <w:rsid w:val="56CF36C5"/>
    <w:rsid w:val="56D96E6B"/>
    <w:rsid w:val="56E87D48"/>
    <w:rsid w:val="56F11884"/>
    <w:rsid w:val="56F93DF8"/>
    <w:rsid w:val="57143EE5"/>
    <w:rsid w:val="574128AB"/>
    <w:rsid w:val="577C1167"/>
    <w:rsid w:val="57D20644"/>
    <w:rsid w:val="57DF7D9C"/>
    <w:rsid w:val="582A48E6"/>
    <w:rsid w:val="582E3428"/>
    <w:rsid w:val="585A5034"/>
    <w:rsid w:val="58736982"/>
    <w:rsid w:val="58CE13D5"/>
    <w:rsid w:val="59150719"/>
    <w:rsid w:val="594F6DE2"/>
    <w:rsid w:val="59554FEC"/>
    <w:rsid w:val="5962327C"/>
    <w:rsid w:val="5997263B"/>
    <w:rsid w:val="59B14AFA"/>
    <w:rsid w:val="59B54311"/>
    <w:rsid w:val="59F2403C"/>
    <w:rsid w:val="59F6317A"/>
    <w:rsid w:val="5A0E1997"/>
    <w:rsid w:val="5A17530A"/>
    <w:rsid w:val="5A1F36C2"/>
    <w:rsid w:val="5B1100BB"/>
    <w:rsid w:val="5B20593A"/>
    <w:rsid w:val="5B216CD6"/>
    <w:rsid w:val="5B6E1A4B"/>
    <w:rsid w:val="5B790776"/>
    <w:rsid w:val="5B9820C7"/>
    <w:rsid w:val="5BD1343C"/>
    <w:rsid w:val="5C782D43"/>
    <w:rsid w:val="5C7B7408"/>
    <w:rsid w:val="5C942C8C"/>
    <w:rsid w:val="5D1C2E47"/>
    <w:rsid w:val="5D2B24D5"/>
    <w:rsid w:val="5D775E79"/>
    <w:rsid w:val="5D7F598E"/>
    <w:rsid w:val="5D876CAF"/>
    <w:rsid w:val="5D913E67"/>
    <w:rsid w:val="5D9B3A27"/>
    <w:rsid w:val="5DCC2CE3"/>
    <w:rsid w:val="5E392CEE"/>
    <w:rsid w:val="5E41675A"/>
    <w:rsid w:val="5E566095"/>
    <w:rsid w:val="5E8C001D"/>
    <w:rsid w:val="5EB31397"/>
    <w:rsid w:val="5F187209"/>
    <w:rsid w:val="5F1D6EE6"/>
    <w:rsid w:val="5F2778A5"/>
    <w:rsid w:val="5F513DB7"/>
    <w:rsid w:val="5F6475CB"/>
    <w:rsid w:val="5F6A4FE4"/>
    <w:rsid w:val="5FBD0394"/>
    <w:rsid w:val="5FDF797D"/>
    <w:rsid w:val="60115BE7"/>
    <w:rsid w:val="606E072D"/>
    <w:rsid w:val="60860987"/>
    <w:rsid w:val="60BB6C3F"/>
    <w:rsid w:val="60C365A4"/>
    <w:rsid w:val="60DD7E23"/>
    <w:rsid w:val="60F35DF2"/>
    <w:rsid w:val="60F4669D"/>
    <w:rsid w:val="6158738B"/>
    <w:rsid w:val="61604283"/>
    <w:rsid w:val="61B0190C"/>
    <w:rsid w:val="62382CEC"/>
    <w:rsid w:val="624D7522"/>
    <w:rsid w:val="628952FD"/>
    <w:rsid w:val="62A144FB"/>
    <w:rsid w:val="62C46BC6"/>
    <w:rsid w:val="62C670FB"/>
    <w:rsid w:val="62C95051"/>
    <w:rsid w:val="630727A2"/>
    <w:rsid w:val="631037BD"/>
    <w:rsid w:val="632B63D6"/>
    <w:rsid w:val="633751A5"/>
    <w:rsid w:val="634B39FA"/>
    <w:rsid w:val="634B76CF"/>
    <w:rsid w:val="636C5E1B"/>
    <w:rsid w:val="63EC0199"/>
    <w:rsid w:val="63FA4883"/>
    <w:rsid w:val="64022E58"/>
    <w:rsid w:val="640B1706"/>
    <w:rsid w:val="642E6C72"/>
    <w:rsid w:val="64412D3D"/>
    <w:rsid w:val="646A3A94"/>
    <w:rsid w:val="64AB1307"/>
    <w:rsid w:val="64B712BB"/>
    <w:rsid w:val="65013B5D"/>
    <w:rsid w:val="650642D5"/>
    <w:rsid w:val="650B0FB5"/>
    <w:rsid w:val="65106A51"/>
    <w:rsid w:val="6520634F"/>
    <w:rsid w:val="65320F27"/>
    <w:rsid w:val="653906BB"/>
    <w:rsid w:val="65577E21"/>
    <w:rsid w:val="65676BB4"/>
    <w:rsid w:val="657F08F5"/>
    <w:rsid w:val="658C7B86"/>
    <w:rsid w:val="65A24BF5"/>
    <w:rsid w:val="65AB3F23"/>
    <w:rsid w:val="65B62AD8"/>
    <w:rsid w:val="65BB09B6"/>
    <w:rsid w:val="65EC58DE"/>
    <w:rsid w:val="66240AA2"/>
    <w:rsid w:val="662852A8"/>
    <w:rsid w:val="663D2ED1"/>
    <w:rsid w:val="66415276"/>
    <w:rsid w:val="664561D7"/>
    <w:rsid w:val="667233FB"/>
    <w:rsid w:val="66F40DBF"/>
    <w:rsid w:val="66F547D6"/>
    <w:rsid w:val="670B2C4D"/>
    <w:rsid w:val="6721538B"/>
    <w:rsid w:val="675F40E5"/>
    <w:rsid w:val="676052BE"/>
    <w:rsid w:val="67ED6154"/>
    <w:rsid w:val="682911BE"/>
    <w:rsid w:val="6950251B"/>
    <w:rsid w:val="696C001A"/>
    <w:rsid w:val="69827435"/>
    <w:rsid w:val="69931D60"/>
    <w:rsid w:val="69C93D2A"/>
    <w:rsid w:val="69E75EA7"/>
    <w:rsid w:val="6A4341E3"/>
    <w:rsid w:val="6B7209F0"/>
    <w:rsid w:val="6B961CD1"/>
    <w:rsid w:val="6BA801E1"/>
    <w:rsid w:val="6BEC768F"/>
    <w:rsid w:val="6BF32E25"/>
    <w:rsid w:val="6BFE2074"/>
    <w:rsid w:val="6C082A0D"/>
    <w:rsid w:val="6C31245C"/>
    <w:rsid w:val="6C4A50FD"/>
    <w:rsid w:val="6C724389"/>
    <w:rsid w:val="6C831483"/>
    <w:rsid w:val="6C9A30D6"/>
    <w:rsid w:val="6CA33997"/>
    <w:rsid w:val="6CAB0C38"/>
    <w:rsid w:val="6CDE0849"/>
    <w:rsid w:val="6D55558C"/>
    <w:rsid w:val="6D582B5E"/>
    <w:rsid w:val="6D6B7401"/>
    <w:rsid w:val="6D915B6F"/>
    <w:rsid w:val="6D9D7615"/>
    <w:rsid w:val="6DAF283B"/>
    <w:rsid w:val="6DB67822"/>
    <w:rsid w:val="6DC54B81"/>
    <w:rsid w:val="6DD07303"/>
    <w:rsid w:val="6DEE761F"/>
    <w:rsid w:val="6DF449D7"/>
    <w:rsid w:val="6DF74E0A"/>
    <w:rsid w:val="6E0333A3"/>
    <w:rsid w:val="6E84102F"/>
    <w:rsid w:val="6E894269"/>
    <w:rsid w:val="6E8E449A"/>
    <w:rsid w:val="6EA530B6"/>
    <w:rsid w:val="6EAB42D3"/>
    <w:rsid w:val="6EE769BA"/>
    <w:rsid w:val="6EEC2687"/>
    <w:rsid w:val="6F057CD6"/>
    <w:rsid w:val="6F1D6D3C"/>
    <w:rsid w:val="6F9342B0"/>
    <w:rsid w:val="6FE83AC1"/>
    <w:rsid w:val="701E265E"/>
    <w:rsid w:val="70215690"/>
    <w:rsid w:val="70553A38"/>
    <w:rsid w:val="70A83FF8"/>
    <w:rsid w:val="713F31F5"/>
    <w:rsid w:val="71702F8E"/>
    <w:rsid w:val="71772CB5"/>
    <w:rsid w:val="71B04405"/>
    <w:rsid w:val="72804E85"/>
    <w:rsid w:val="72EF5218"/>
    <w:rsid w:val="72F645B9"/>
    <w:rsid w:val="73257F57"/>
    <w:rsid w:val="73261A7B"/>
    <w:rsid w:val="7369114F"/>
    <w:rsid w:val="736A1ED7"/>
    <w:rsid w:val="73934D05"/>
    <w:rsid w:val="73A40080"/>
    <w:rsid w:val="73E22C9D"/>
    <w:rsid w:val="73EE67B7"/>
    <w:rsid w:val="740D49E9"/>
    <w:rsid w:val="74121721"/>
    <w:rsid w:val="74330C3E"/>
    <w:rsid w:val="74455100"/>
    <w:rsid w:val="74D95C33"/>
    <w:rsid w:val="755C67C4"/>
    <w:rsid w:val="75652D70"/>
    <w:rsid w:val="7593578F"/>
    <w:rsid w:val="75C45D79"/>
    <w:rsid w:val="7605397A"/>
    <w:rsid w:val="768E453D"/>
    <w:rsid w:val="76EF44BB"/>
    <w:rsid w:val="77304C77"/>
    <w:rsid w:val="77332A1E"/>
    <w:rsid w:val="77343FD1"/>
    <w:rsid w:val="77355025"/>
    <w:rsid w:val="776F14A5"/>
    <w:rsid w:val="77AB6FC1"/>
    <w:rsid w:val="77C92AEF"/>
    <w:rsid w:val="77F106E7"/>
    <w:rsid w:val="78071E4F"/>
    <w:rsid w:val="780D4FB8"/>
    <w:rsid w:val="781F5020"/>
    <w:rsid w:val="78636C6F"/>
    <w:rsid w:val="786B12EE"/>
    <w:rsid w:val="787F4CB3"/>
    <w:rsid w:val="788C1DEA"/>
    <w:rsid w:val="78984981"/>
    <w:rsid w:val="78A019EA"/>
    <w:rsid w:val="78A82E48"/>
    <w:rsid w:val="78B73204"/>
    <w:rsid w:val="78CD25BE"/>
    <w:rsid w:val="791D0006"/>
    <w:rsid w:val="79481A3B"/>
    <w:rsid w:val="79524D06"/>
    <w:rsid w:val="795F35C9"/>
    <w:rsid w:val="79C20F1A"/>
    <w:rsid w:val="79F47C17"/>
    <w:rsid w:val="7A574FF8"/>
    <w:rsid w:val="7A5B63C8"/>
    <w:rsid w:val="7A6E3E41"/>
    <w:rsid w:val="7A9A3D26"/>
    <w:rsid w:val="7AAB7115"/>
    <w:rsid w:val="7AAE4C6D"/>
    <w:rsid w:val="7AC06EF3"/>
    <w:rsid w:val="7ACB6F64"/>
    <w:rsid w:val="7AEE3FCE"/>
    <w:rsid w:val="7B081C17"/>
    <w:rsid w:val="7B775235"/>
    <w:rsid w:val="7B782A1F"/>
    <w:rsid w:val="7B7D06A6"/>
    <w:rsid w:val="7B7EDB3D"/>
    <w:rsid w:val="7B8415E2"/>
    <w:rsid w:val="7B89735D"/>
    <w:rsid w:val="7BAE096D"/>
    <w:rsid w:val="7BB20B27"/>
    <w:rsid w:val="7C017984"/>
    <w:rsid w:val="7CB14E12"/>
    <w:rsid w:val="7CBA326F"/>
    <w:rsid w:val="7CDD4682"/>
    <w:rsid w:val="7D29113D"/>
    <w:rsid w:val="7D38262C"/>
    <w:rsid w:val="7D516D81"/>
    <w:rsid w:val="7D674275"/>
    <w:rsid w:val="7D7E46C2"/>
    <w:rsid w:val="7DA953FB"/>
    <w:rsid w:val="7DFDB509"/>
    <w:rsid w:val="7EAC7AF6"/>
    <w:rsid w:val="7ED1262C"/>
    <w:rsid w:val="7EFB0260"/>
    <w:rsid w:val="7F0C7E44"/>
    <w:rsid w:val="7F534579"/>
    <w:rsid w:val="7F572FE8"/>
    <w:rsid w:val="7F8971D2"/>
    <w:rsid w:val="D9E30F2B"/>
    <w:rsid w:val="DBA5A429"/>
    <w:rsid w:val="FFFE5D7A"/>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宋体" w:hAnsi="Times New Roman" w:eastAsia="宋体" w:cs="Times New Roman"/>
      <w:kern w:val="2"/>
      <w:sz w:val="24"/>
      <w:szCs w:val="24"/>
      <w:lang w:val="en-US" w:eastAsia="zh-CN" w:bidi="ar-SA"/>
    </w:rPr>
  </w:style>
  <w:style w:type="paragraph" w:styleId="2">
    <w:name w:val="heading 2"/>
    <w:basedOn w:val="1"/>
    <w:next w:val="1"/>
    <w:unhideWhenUsed/>
    <w:qFormat/>
    <w:uiPriority w:val="0"/>
    <w:pPr>
      <w:keepNext/>
      <w:keepLines/>
      <w:numPr>
        <w:ilvl w:val="1"/>
        <w:numId w:val="1"/>
      </w:numPr>
      <w:spacing w:beforeLines="100" w:afterLines="100"/>
      <w:jc w:val="center"/>
      <w:outlineLvl w:val="1"/>
    </w:pPr>
    <w:rPr>
      <w:rFonts w:hAnsi="宋体"/>
      <w:b/>
      <w:sz w:val="44"/>
      <w:szCs w:val="44"/>
    </w:rPr>
  </w:style>
  <w:style w:type="paragraph" w:styleId="3">
    <w:name w:val="heading 3"/>
    <w:basedOn w:val="1"/>
    <w:next w:val="4"/>
    <w:unhideWhenUsed/>
    <w:qFormat/>
    <w:uiPriority w:val="0"/>
    <w:pPr>
      <w:numPr>
        <w:ilvl w:val="2"/>
        <w:numId w:val="1"/>
      </w:numPr>
      <w:tabs>
        <w:tab w:val="left" w:pos="1200"/>
      </w:tabs>
      <w:spacing w:beforeLines="50"/>
      <w:outlineLvl w:val="2"/>
    </w:pPr>
    <w:rPr>
      <w:rFonts w:hAnsi="宋体"/>
      <w:b/>
      <w:sz w:val="28"/>
      <w:szCs w:val="28"/>
    </w:rPr>
  </w:style>
  <w:style w:type="paragraph" w:styleId="5">
    <w:name w:val="heading 4"/>
    <w:basedOn w:val="1"/>
    <w:next w:val="4"/>
    <w:unhideWhenUsed/>
    <w:qFormat/>
    <w:uiPriority w:val="0"/>
    <w:pPr>
      <w:numPr>
        <w:ilvl w:val="3"/>
        <w:numId w:val="1"/>
      </w:numPr>
      <w:spacing w:beforeLines="50"/>
      <w:outlineLvl w:val="3"/>
    </w:pPr>
    <w:rPr>
      <w:bCs/>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customStyle="1" w:styleId="4">
    <w:name w:val="正文5"/>
    <w:basedOn w:val="1"/>
    <w:qFormat/>
    <w:uiPriority w:val="0"/>
    <w:pPr>
      <w:ind w:left="500" w:leftChars="500"/>
    </w:pPr>
  </w:style>
  <w:style w:type="paragraph" w:styleId="6">
    <w:name w:val="table of authorities"/>
    <w:basedOn w:val="1"/>
    <w:next w:val="1"/>
    <w:qFormat/>
    <w:uiPriority w:val="0"/>
    <w:pPr>
      <w:ind w:left="420" w:leftChars="200"/>
    </w:pPr>
  </w:style>
  <w:style w:type="paragraph" w:styleId="7">
    <w:name w:val="Normal Indent"/>
    <w:basedOn w:val="1"/>
    <w:unhideWhenUsed/>
    <w:qFormat/>
    <w:uiPriority w:val="99"/>
    <w:pPr>
      <w:ind w:firstLine="420" w:firstLineChars="200"/>
    </w:pPr>
  </w:style>
  <w:style w:type="paragraph" w:styleId="8">
    <w:name w:val="annotation text"/>
    <w:basedOn w:val="1"/>
    <w:qFormat/>
    <w:uiPriority w:val="0"/>
    <w:pPr>
      <w:jc w:val="left"/>
    </w:pPr>
  </w:style>
  <w:style w:type="paragraph" w:styleId="9">
    <w:name w:val="Body Text"/>
    <w:basedOn w:val="10"/>
    <w:next w:val="10"/>
    <w:qFormat/>
    <w:uiPriority w:val="0"/>
    <w:pPr>
      <w:ind w:firstLine="200" w:firstLineChars="200"/>
    </w:pPr>
  </w:style>
  <w:style w:type="paragraph" w:styleId="10">
    <w:name w:val="Title"/>
    <w:basedOn w:val="1"/>
    <w:next w:val="1"/>
    <w:qFormat/>
    <w:uiPriority w:val="10"/>
    <w:pPr>
      <w:spacing w:before="240" w:after="60"/>
      <w:jc w:val="center"/>
      <w:outlineLvl w:val="0"/>
    </w:pPr>
    <w:rPr>
      <w:rFonts w:ascii="Cambria" w:hAnsi="Cambria"/>
      <w:b/>
      <w:bCs/>
      <w:sz w:val="32"/>
      <w:szCs w:val="32"/>
    </w:rPr>
  </w:style>
  <w:style w:type="paragraph" w:styleId="11">
    <w:name w:val="footer"/>
    <w:basedOn w:val="1"/>
    <w:qFormat/>
    <w:uiPriority w:val="0"/>
    <w:pPr>
      <w:tabs>
        <w:tab w:val="center" w:pos="4153"/>
        <w:tab w:val="right" w:pos="8306"/>
      </w:tabs>
      <w:snapToGrid w:val="0"/>
      <w:spacing w:line="240" w:lineRule="auto"/>
      <w:jc w:val="right"/>
    </w:pPr>
    <w:rPr>
      <w:sz w:val="18"/>
      <w:szCs w:val="18"/>
    </w:rPr>
  </w:style>
  <w:style w:type="paragraph" w:styleId="12">
    <w:name w:val="header"/>
    <w:basedOn w:val="1"/>
    <w:next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3">
    <w:name w:val="toc 1"/>
    <w:basedOn w:val="1"/>
    <w:next w:val="1"/>
    <w:unhideWhenUsed/>
    <w:qFormat/>
    <w:uiPriority w:val="39"/>
    <w:pPr>
      <w:tabs>
        <w:tab w:val="left" w:pos="840"/>
        <w:tab w:val="right" w:leader="dot" w:pos="9628"/>
      </w:tabs>
    </w:pPr>
    <w:rPr>
      <w:rFonts w:ascii="Times New Roman"/>
    </w:rPr>
  </w:style>
  <w:style w:type="paragraph" w:styleId="14">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hAnsi="宋体"/>
      <w:kern w:val="0"/>
    </w:rPr>
  </w:style>
  <w:style w:type="paragraph" w:styleId="15">
    <w:name w:val="Normal (Web)"/>
    <w:basedOn w:val="1"/>
    <w:qFormat/>
    <w:uiPriority w:val="0"/>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 w:type="character" w:styleId="19">
    <w:name w:val="page number"/>
    <w:basedOn w:val="18"/>
    <w:qFormat/>
    <w:uiPriority w:val="0"/>
  </w:style>
  <w:style w:type="character" w:styleId="20">
    <w:name w:val="FollowedHyperlink"/>
    <w:basedOn w:val="18"/>
    <w:unhideWhenUsed/>
    <w:qFormat/>
    <w:uiPriority w:val="99"/>
    <w:rPr>
      <w:color w:val="800080"/>
      <w:u w:val="single"/>
    </w:rPr>
  </w:style>
  <w:style w:type="character" w:styleId="21">
    <w:name w:val="Hyperlink"/>
    <w:basedOn w:val="18"/>
    <w:unhideWhenUsed/>
    <w:qFormat/>
    <w:uiPriority w:val="99"/>
    <w:rPr>
      <w:color w:val="0000FF"/>
      <w:u w:val="single"/>
    </w:rPr>
  </w:style>
  <w:style w:type="paragraph" w:customStyle="1" w:styleId="22">
    <w:name w:val="第1行"/>
    <w:basedOn w:val="1"/>
    <w:qFormat/>
    <w:uiPriority w:val="0"/>
    <w:pPr>
      <w:spacing w:beforeLines="100" w:line="240" w:lineRule="auto"/>
      <w:ind w:left="252" w:hanging="252" w:hangingChars="105"/>
      <w:jc w:val="center"/>
    </w:pPr>
    <w:rPr>
      <w:rFonts w:ascii="黑体" w:eastAsia="黑体"/>
      <w:b/>
      <w:spacing w:val="40"/>
      <w:sz w:val="36"/>
      <w:szCs w:val="36"/>
    </w:rPr>
  </w:style>
  <w:style w:type="paragraph" w:customStyle="1" w:styleId="23">
    <w:name w:val="第2行"/>
    <w:basedOn w:val="1"/>
    <w:qFormat/>
    <w:uiPriority w:val="0"/>
    <w:pPr>
      <w:spacing w:beforeLines="50" w:afterLines="50"/>
      <w:ind w:left="252" w:hanging="252" w:hangingChars="105"/>
      <w:jc w:val="center"/>
    </w:pPr>
    <w:rPr>
      <w:rFonts w:ascii="黑体" w:eastAsia="黑体"/>
      <w:b/>
      <w:spacing w:val="80"/>
      <w:sz w:val="44"/>
      <w:szCs w:val="44"/>
    </w:rPr>
  </w:style>
  <w:style w:type="paragraph" w:customStyle="1" w:styleId="24">
    <w:name w:val="第3行"/>
    <w:basedOn w:val="1"/>
    <w:qFormat/>
    <w:uiPriority w:val="0"/>
    <w:pPr>
      <w:spacing w:beforeLines="50" w:afterLines="50"/>
      <w:ind w:left="252" w:hanging="252" w:hangingChars="105"/>
      <w:jc w:val="center"/>
    </w:pPr>
    <w:rPr>
      <w:rFonts w:ascii="黑体" w:eastAsia="黑体"/>
      <w:b/>
      <w:spacing w:val="120"/>
      <w:sz w:val="48"/>
      <w:szCs w:val="48"/>
    </w:rPr>
  </w:style>
  <w:style w:type="paragraph" w:customStyle="1" w:styleId="25">
    <w:name w:val="第4行"/>
    <w:basedOn w:val="1"/>
    <w:qFormat/>
    <w:uiPriority w:val="0"/>
    <w:pPr>
      <w:spacing w:line="240" w:lineRule="auto"/>
      <w:ind w:left="252" w:hanging="252" w:hangingChars="105"/>
      <w:jc w:val="center"/>
    </w:pPr>
    <w:rPr>
      <w:rFonts w:ascii="黑体" w:eastAsia="黑体"/>
      <w:sz w:val="30"/>
      <w:szCs w:val="30"/>
    </w:rPr>
  </w:style>
  <w:style w:type="paragraph" w:customStyle="1" w:styleId="26">
    <w:name w:val="第5行"/>
    <w:basedOn w:val="1"/>
    <w:qFormat/>
    <w:uiPriority w:val="0"/>
    <w:pPr>
      <w:spacing w:beforeLines="50" w:afterLines="50" w:line="240" w:lineRule="auto"/>
      <w:ind w:left="252" w:hanging="252" w:hangingChars="105"/>
      <w:jc w:val="center"/>
    </w:pPr>
    <w:rPr>
      <w:rFonts w:ascii="黑体" w:eastAsia="黑体"/>
      <w:sz w:val="44"/>
      <w:szCs w:val="44"/>
    </w:rPr>
  </w:style>
  <w:style w:type="paragraph" w:customStyle="1" w:styleId="27">
    <w:name w:val="第7行"/>
    <w:basedOn w:val="1"/>
    <w:qFormat/>
    <w:uiPriority w:val="0"/>
    <w:pPr>
      <w:spacing w:line="240" w:lineRule="auto"/>
      <w:ind w:left="600" w:leftChars="600"/>
      <w:jc w:val="left"/>
    </w:pPr>
    <w:rPr>
      <w:b/>
      <w:spacing w:val="60"/>
      <w:sz w:val="28"/>
      <w:szCs w:val="28"/>
    </w:rPr>
  </w:style>
  <w:style w:type="paragraph" w:customStyle="1" w:styleId="28">
    <w:name w:val="L7"/>
    <w:basedOn w:val="1"/>
    <w:qFormat/>
    <w:uiPriority w:val="0"/>
    <w:pPr>
      <w:ind w:left="252" w:hanging="252" w:hangingChars="105"/>
      <w:jc w:val="center"/>
    </w:pPr>
    <w:rPr>
      <w:b/>
      <w:bCs/>
      <w:sz w:val="28"/>
      <w:szCs w:val="28"/>
    </w:rPr>
  </w:style>
  <w:style w:type="paragraph" w:customStyle="1" w:styleId="29">
    <w:name w:val="目录"/>
    <w:basedOn w:val="1"/>
    <w:next w:val="1"/>
    <w:qFormat/>
    <w:uiPriority w:val="0"/>
    <w:pPr>
      <w:ind w:left="400" w:leftChars="400" w:hanging="252" w:hangingChars="105"/>
    </w:pPr>
    <w:rPr>
      <w:rFonts w:ascii="黑体" w:eastAsia="黑体"/>
      <w:b/>
      <w:sz w:val="32"/>
      <w:szCs w:val="32"/>
    </w:rPr>
  </w:style>
  <w:style w:type="paragraph" w:customStyle="1" w:styleId="30">
    <w:name w:val="列出段落1"/>
    <w:basedOn w:val="1"/>
    <w:qFormat/>
    <w:uiPriority w:val="34"/>
    <w:pPr>
      <w:ind w:firstLine="420" w:firstLineChars="200"/>
    </w:pPr>
  </w:style>
  <w:style w:type="paragraph" w:customStyle="1" w:styleId="31">
    <w:name w:val="列出段落11"/>
    <w:basedOn w:val="1"/>
    <w:qFormat/>
    <w:uiPriority w:val="34"/>
    <w:pPr>
      <w:ind w:firstLine="420" w:firstLineChars="200"/>
    </w:pPr>
    <w:rPr>
      <w:rFonts w:ascii="Calibri" w:hAnsi="Calibri"/>
    </w:rPr>
  </w:style>
  <w:style w:type="paragraph" w:customStyle="1" w:styleId="32">
    <w:name w:val="列出段落2"/>
    <w:basedOn w:val="1"/>
    <w:qFormat/>
    <w:uiPriority w:val="34"/>
    <w:pPr>
      <w:ind w:firstLine="420" w:firstLineChars="200"/>
    </w:pPr>
  </w:style>
  <w:style w:type="character" w:customStyle="1" w:styleId="33">
    <w:name w:val="font11"/>
    <w:basedOn w:val="18"/>
    <w:qFormat/>
    <w:uiPriority w:val="0"/>
    <w:rPr>
      <w:rFonts w:hint="eastAsia" w:ascii="宋体" w:hAnsi="宋体" w:eastAsia="宋体" w:cs="宋体"/>
      <w:color w:val="000000"/>
      <w:sz w:val="20"/>
      <w:szCs w:val="20"/>
      <w:u w:val="none"/>
      <w:vertAlign w:val="superscript"/>
    </w:rPr>
  </w:style>
  <w:style w:type="character" w:customStyle="1" w:styleId="34">
    <w:name w:val="font01"/>
    <w:basedOn w:val="18"/>
    <w:qFormat/>
    <w:uiPriority w:val="0"/>
    <w:rPr>
      <w:rFonts w:hint="eastAsia" w:ascii="宋体" w:hAnsi="宋体" w:eastAsia="宋体" w:cs="宋体"/>
      <w:color w:val="000000"/>
      <w:sz w:val="20"/>
      <w:szCs w:val="20"/>
      <w:u w:val="none"/>
    </w:rPr>
  </w:style>
  <w:style w:type="paragraph" w:customStyle="1" w:styleId="35">
    <w:name w:val="方案正文"/>
    <w:basedOn w:val="1"/>
    <w:qFormat/>
    <w:uiPriority w:val="0"/>
    <w:pPr>
      <w:ind w:firstLine="480" w:firstLineChars="200"/>
    </w:pPr>
    <w:rPr>
      <w:rFonts w:ascii="仿宋_GB2312"/>
    </w:rPr>
  </w:style>
  <w:style w:type="paragraph" w:customStyle="1" w:styleId="36">
    <w:name w:val="正文格式"/>
    <w:basedOn w:val="1"/>
    <w:qFormat/>
    <w:uiPriority w:val="0"/>
    <w:pPr>
      <w:topLinePunct/>
      <w:spacing w:line="240" w:lineRule="auto"/>
      <w:ind w:firstLine="420" w:firstLineChars="200"/>
    </w:pPr>
    <w:rPr>
      <w:rFonts w:hAnsi="宋体"/>
      <w:bCs/>
      <w:sz w:val="21"/>
      <w:szCs w:val="21"/>
    </w:rPr>
  </w:style>
  <w:style w:type="character" w:customStyle="1" w:styleId="37">
    <w:name w:val="font21"/>
    <w:basedOn w:val="18"/>
    <w:qFormat/>
    <w:uiPriority w:val="0"/>
    <w:rPr>
      <w:rFonts w:hint="eastAsia" w:ascii="宋体" w:hAnsi="宋体" w:eastAsia="宋体" w:cs="宋体"/>
      <w:color w:val="000000"/>
      <w:sz w:val="20"/>
      <w:szCs w:val="20"/>
      <w:u w:val="none"/>
    </w:rPr>
  </w:style>
  <w:style w:type="paragraph" w:customStyle="1" w:styleId="38">
    <w:name w:val="正 文"/>
    <w:basedOn w:val="1"/>
    <w:qFormat/>
    <w:uiPriority w:val="0"/>
    <w:pPr>
      <w:spacing w:line="480" w:lineRule="exact"/>
      <w:ind w:firstLine="480" w:firstLineChars="200"/>
    </w:pPr>
    <w:rPr>
      <w:rFonts w:ascii="Times New Roman"/>
      <w:kern w:val="0"/>
    </w:rPr>
  </w:style>
  <w:style w:type="paragraph" w:styleId="39">
    <w:name w:val="List Paragraph"/>
    <w:basedOn w:val="1"/>
    <w:unhideWhenUsed/>
    <w:qFormat/>
    <w:uiPriority w:val="34"/>
    <w:pPr>
      <w:ind w:firstLine="420" w:firstLineChars="200"/>
    </w:pPr>
  </w:style>
  <w:style w:type="paragraph" w:customStyle="1" w:styleId="40">
    <w:name w:val="font5"/>
    <w:basedOn w:val="1"/>
    <w:qFormat/>
    <w:uiPriority w:val="0"/>
    <w:pPr>
      <w:widowControl/>
      <w:spacing w:before="100" w:beforeAutospacing="1" w:after="100" w:afterAutospacing="1" w:line="240" w:lineRule="auto"/>
      <w:jc w:val="left"/>
    </w:pPr>
    <w:rPr>
      <w:rFonts w:hAnsi="宋体" w:cs="宋体"/>
      <w:kern w:val="0"/>
      <w:sz w:val="20"/>
      <w:szCs w:val="20"/>
    </w:rPr>
  </w:style>
  <w:style w:type="paragraph" w:customStyle="1" w:styleId="41">
    <w:name w:val="font6"/>
    <w:basedOn w:val="1"/>
    <w:qFormat/>
    <w:uiPriority w:val="0"/>
    <w:pPr>
      <w:widowControl/>
      <w:spacing w:before="100" w:beforeAutospacing="1" w:after="100" w:afterAutospacing="1" w:line="240" w:lineRule="auto"/>
      <w:jc w:val="left"/>
    </w:pPr>
    <w:rPr>
      <w:rFonts w:hAnsi="宋体" w:cs="宋体"/>
      <w:kern w:val="0"/>
      <w:sz w:val="18"/>
      <w:szCs w:val="18"/>
    </w:rPr>
  </w:style>
  <w:style w:type="paragraph" w:customStyle="1" w:styleId="42">
    <w:name w:val="font7"/>
    <w:basedOn w:val="1"/>
    <w:qFormat/>
    <w:uiPriority w:val="0"/>
    <w:pPr>
      <w:widowControl/>
      <w:spacing w:before="100" w:beforeAutospacing="1" w:after="100" w:afterAutospacing="1" w:line="240" w:lineRule="auto"/>
      <w:jc w:val="left"/>
    </w:pPr>
    <w:rPr>
      <w:rFonts w:hAnsi="宋体" w:cs="宋体"/>
      <w:kern w:val="0"/>
      <w:sz w:val="20"/>
      <w:szCs w:val="20"/>
    </w:rPr>
  </w:style>
  <w:style w:type="paragraph" w:customStyle="1" w:styleId="43">
    <w:name w:val="font8"/>
    <w:basedOn w:val="1"/>
    <w:qFormat/>
    <w:uiPriority w:val="0"/>
    <w:pPr>
      <w:widowControl/>
      <w:spacing w:before="100" w:beforeAutospacing="1" w:after="100" w:afterAutospacing="1" w:line="240" w:lineRule="auto"/>
      <w:jc w:val="left"/>
    </w:pPr>
    <w:rPr>
      <w:rFonts w:hAnsi="宋体" w:cs="宋体"/>
      <w:kern w:val="0"/>
      <w:sz w:val="20"/>
      <w:szCs w:val="20"/>
    </w:rPr>
  </w:style>
  <w:style w:type="paragraph" w:customStyle="1" w:styleId="44">
    <w:name w:val="xl67"/>
    <w:basedOn w:val="1"/>
    <w:qFormat/>
    <w:uiPriority w:val="0"/>
    <w:pPr>
      <w:widowControl/>
      <w:shd w:val="clear" w:color="000000" w:fill="CCFFFF"/>
      <w:spacing w:before="100" w:beforeAutospacing="1" w:after="100" w:afterAutospacing="1" w:line="240" w:lineRule="auto"/>
      <w:jc w:val="left"/>
    </w:pPr>
    <w:rPr>
      <w:rFonts w:hAnsi="宋体" w:cs="宋体"/>
      <w:color w:val="FF0000"/>
      <w:kern w:val="0"/>
    </w:rPr>
  </w:style>
  <w:style w:type="paragraph" w:customStyle="1" w:styleId="45">
    <w:name w:val="xl68"/>
    <w:basedOn w:val="1"/>
    <w:qFormat/>
    <w:uiPriority w:val="0"/>
    <w:pPr>
      <w:widowControl/>
      <w:shd w:val="clear" w:color="000000" w:fill="CCFFFF"/>
      <w:spacing w:before="100" w:beforeAutospacing="1" w:after="100" w:afterAutospacing="1" w:line="240" w:lineRule="auto"/>
      <w:jc w:val="left"/>
    </w:pPr>
    <w:rPr>
      <w:rFonts w:hAnsi="宋体" w:cs="宋体"/>
      <w:kern w:val="0"/>
    </w:rPr>
  </w:style>
  <w:style w:type="paragraph" w:customStyle="1" w:styleId="46">
    <w:name w:val="xl69"/>
    <w:basedOn w:val="1"/>
    <w:qFormat/>
    <w:uiPriority w:val="0"/>
    <w:pPr>
      <w:widowControl/>
      <w:spacing w:before="100" w:beforeAutospacing="1" w:after="100" w:afterAutospacing="1" w:line="240" w:lineRule="auto"/>
      <w:jc w:val="left"/>
    </w:pPr>
    <w:rPr>
      <w:rFonts w:hAnsi="宋体" w:cs="宋体"/>
      <w:kern w:val="0"/>
      <w:sz w:val="20"/>
      <w:szCs w:val="20"/>
    </w:rPr>
  </w:style>
  <w:style w:type="paragraph" w:customStyle="1" w:styleId="47">
    <w:name w:val="xl70"/>
    <w:basedOn w:val="1"/>
    <w:qFormat/>
    <w:uiPriority w:val="0"/>
    <w:pPr>
      <w:widowControl/>
      <w:shd w:val="clear" w:color="000000" w:fill="CCFFFF"/>
      <w:spacing w:before="100" w:beforeAutospacing="1" w:after="100" w:afterAutospacing="1" w:line="240" w:lineRule="auto"/>
      <w:jc w:val="center"/>
    </w:pPr>
    <w:rPr>
      <w:rFonts w:hAnsi="宋体" w:cs="宋体"/>
      <w:kern w:val="0"/>
      <w:sz w:val="20"/>
      <w:szCs w:val="20"/>
    </w:rPr>
  </w:style>
  <w:style w:type="paragraph" w:customStyle="1" w:styleId="48">
    <w:name w:val="xl71"/>
    <w:basedOn w:val="1"/>
    <w:qFormat/>
    <w:uiPriority w:val="0"/>
    <w:pPr>
      <w:widowControl/>
      <w:spacing w:before="100" w:beforeAutospacing="1" w:after="100" w:afterAutospacing="1" w:line="240" w:lineRule="auto"/>
      <w:jc w:val="center"/>
    </w:pPr>
    <w:rPr>
      <w:rFonts w:hAnsi="宋体" w:cs="宋体"/>
      <w:kern w:val="0"/>
    </w:rPr>
  </w:style>
  <w:style w:type="paragraph" w:customStyle="1" w:styleId="49">
    <w:name w:val="xl72"/>
    <w:basedOn w:val="1"/>
    <w:qFormat/>
    <w:uiPriority w:val="0"/>
    <w:pPr>
      <w:widowControl/>
      <w:spacing w:before="100" w:beforeAutospacing="1" w:after="100" w:afterAutospacing="1" w:line="240" w:lineRule="auto"/>
      <w:jc w:val="left"/>
    </w:pPr>
    <w:rPr>
      <w:rFonts w:hAnsi="宋体" w:cs="宋体"/>
      <w:kern w:val="0"/>
    </w:rPr>
  </w:style>
  <w:style w:type="paragraph" w:customStyle="1" w:styleId="50">
    <w:name w:val="xl73"/>
    <w:basedOn w:val="1"/>
    <w:qFormat/>
    <w:uiPriority w:val="0"/>
    <w:pPr>
      <w:widowControl/>
      <w:spacing w:before="100" w:beforeAutospacing="1" w:after="100" w:afterAutospacing="1" w:line="240" w:lineRule="auto"/>
      <w:jc w:val="center"/>
    </w:pPr>
    <w:rPr>
      <w:rFonts w:hAnsi="宋体" w:cs="宋体"/>
      <w:kern w:val="0"/>
    </w:rPr>
  </w:style>
  <w:style w:type="paragraph" w:customStyle="1" w:styleId="51">
    <w:name w:val="xl74"/>
    <w:basedOn w:val="1"/>
    <w:qFormat/>
    <w:uiPriority w:val="0"/>
    <w:pPr>
      <w:widowControl/>
      <w:spacing w:before="100" w:beforeAutospacing="1" w:after="100" w:afterAutospacing="1" w:line="240" w:lineRule="auto"/>
      <w:jc w:val="center"/>
    </w:pPr>
    <w:rPr>
      <w:rFonts w:hAnsi="宋体" w:cs="宋体"/>
      <w:kern w:val="0"/>
    </w:rPr>
  </w:style>
  <w:style w:type="paragraph" w:customStyle="1" w:styleId="52">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hAnsi="宋体" w:cs="宋体"/>
      <w:kern w:val="0"/>
      <w:sz w:val="20"/>
      <w:szCs w:val="20"/>
    </w:rPr>
  </w:style>
  <w:style w:type="paragraph" w:customStyle="1" w:styleId="53">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hAnsi="宋体" w:cs="宋体"/>
      <w:kern w:val="0"/>
      <w:sz w:val="20"/>
      <w:szCs w:val="20"/>
    </w:rPr>
  </w:style>
  <w:style w:type="paragraph" w:customStyle="1" w:styleId="54">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hAnsi="宋体" w:cs="宋体"/>
      <w:kern w:val="0"/>
      <w:sz w:val="20"/>
      <w:szCs w:val="20"/>
    </w:rPr>
  </w:style>
  <w:style w:type="paragraph" w:customStyle="1" w:styleId="55">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hAnsi="宋体" w:cs="宋体"/>
      <w:kern w:val="0"/>
      <w:sz w:val="20"/>
      <w:szCs w:val="20"/>
    </w:rPr>
  </w:style>
  <w:style w:type="paragraph" w:customStyle="1" w:styleId="56">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hAnsi="宋体" w:cs="宋体"/>
      <w:kern w:val="0"/>
      <w:sz w:val="20"/>
      <w:szCs w:val="20"/>
    </w:rPr>
  </w:style>
  <w:style w:type="paragraph" w:customStyle="1" w:styleId="57">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hAnsi="宋体" w:cs="宋体"/>
      <w:kern w:val="0"/>
      <w:sz w:val="20"/>
      <w:szCs w:val="20"/>
    </w:rPr>
  </w:style>
  <w:style w:type="paragraph" w:customStyle="1" w:styleId="58">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hAnsi="宋体" w:cs="宋体"/>
      <w:kern w:val="0"/>
      <w:sz w:val="20"/>
      <w:szCs w:val="20"/>
    </w:rPr>
  </w:style>
  <w:style w:type="paragraph" w:customStyle="1" w:styleId="59">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hAnsi="宋体" w:cs="宋体"/>
      <w:kern w:val="0"/>
      <w:sz w:val="20"/>
      <w:szCs w:val="20"/>
    </w:rPr>
  </w:style>
  <w:style w:type="paragraph" w:customStyle="1" w:styleId="60">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hAnsi="宋体" w:cs="宋体"/>
      <w:color w:val="000000"/>
      <w:kern w:val="0"/>
      <w:sz w:val="20"/>
      <w:szCs w:val="20"/>
    </w:rPr>
  </w:style>
  <w:style w:type="paragraph" w:customStyle="1" w:styleId="61">
    <w:name w:val="xl84"/>
    <w:basedOn w:val="1"/>
    <w:qFormat/>
    <w:uiPriority w:val="0"/>
    <w:pPr>
      <w:widowControl/>
      <w:pBdr>
        <w:top w:val="single" w:color="auto" w:sz="4" w:space="0"/>
        <w:left w:val="single" w:color="000000" w:sz="4" w:space="0"/>
        <w:bottom w:val="single" w:color="auto" w:sz="4" w:space="0"/>
        <w:right w:val="single" w:color="000000" w:sz="4" w:space="0"/>
      </w:pBdr>
      <w:spacing w:before="100" w:beforeAutospacing="1" w:after="100" w:afterAutospacing="1" w:line="240" w:lineRule="auto"/>
      <w:jc w:val="left"/>
    </w:pPr>
    <w:rPr>
      <w:rFonts w:hAnsi="宋体" w:cs="宋体"/>
      <w:color w:val="000000"/>
      <w:kern w:val="0"/>
      <w:sz w:val="20"/>
      <w:szCs w:val="20"/>
    </w:rPr>
  </w:style>
  <w:style w:type="paragraph" w:customStyle="1" w:styleId="62">
    <w:name w:val="xl85"/>
    <w:basedOn w:val="1"/>
    <w:qFormat/>
    <w:uiPriority w:val="0"/>
    <w:pPr>
      <w:widowControl/>
      <w:pBdr>
        <w:top w:val="single" w:color="auto" w:sz="4" w:space="0"/>
        <w:bottom w:val="single" w:color="auto" w:sz="4" w:space="0"/>
        <w:right w:val="single" w:color="000000" w:sz="4" w:space="0"/>
      </w:pBdr>
      <w:spacing w:before="100" w:beforeAutospacing="1" w:after="100" w:afterAutospacing="1" w:line="240" w:lineRule="auto"/>
      <w:jc w:val="left"/>
    </w:pPr>
    <w:rPr>
      <w:rFonts w:hAnsi="宋体" w:cs="宋体"/>
      <w:color w:val="000000"/>
      <w:kern w:val="0"/>
      <w:sz w:val="20"/>
      <w:szCs w:val="20"/>
    </w:rPr>
  </w:style>
  <w:style w:type="paragraph" w:customStyle="1" w:styleId="63">
    <w:name w:val="xl86"/>
    <w:basedOn w:val="1"/>
    <w:qFormat/>
    <w:uiPriority w:val="0"/>
    <w:pPr>
      <w:widowControl/>
      <w:pBdr>
        <w:top w:val="single" w:color="auto" w:sz="4" w:space="0"/>
        <w:bottom w:val="single" w:color="auto" w:sz="4" w:space="0"/>
        <w:right w:val="single" w:color="000000" w:sz="4" w:space="0"/>
      </w:pBdr>
      <w:spacing w:before="100" w:beforeAutospacing="1" w:after="100" w:afterAutospacing="1" w:line="240" w:lineRule="auto"/>
      <w:jc w:val="left"/>
    </w:pPr>
    <w:rPr>
      <w:rFonts w:hAnsi="宋体" w:cs="宋体"/>
      <w:kern w:val="0"/>
      <w:sz w:val="20"/>
      <w:szCs w:val="20"/>
    </w:rPr>
  </w:style>
  <w:style w:type="paragraph" w:customStyle="1" w:styleId="64">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hAnsi="宋体" w:cs="宋体"/>
      <w:kern w:val="0"/>
      <w:sz w:val="20"/>
      <w:szCs w:val="20"/>
    </w:rPr>
  </w:style>
  <w:style w:type="paragraph" w:customStyle="1" w:styleId="65">
    <w:name w:val="xl88"/>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left"/>
    </w:pPr>
    <w:rPr>
      <w:rFonts w:hAnsi="宋体" w:cs="宋体"/>
      <w:kern w:val="0"/>
      <w:sz w:val="20"/>
      <w:szCs w:val="20"/>
    </w:rPr>
  </w:style>
  <w:style w:type="paragraph" w:customStyle="1" w:styleId="66">
    <w:name w:val="xl89"/>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pPr>
    <w:rPr>
      <w:rFonts w:hAnsi="宋体" w:cs="宋体"/>
      <w:kern w:val="0"/>
      <w:sz w:val="20"/>
      <w:szCs w:val="20"/>
    </w:rPr>
  </w:style>
  <w:style w:type="paragraph" w:customStyle="1" w:styleId="67">
    <w:name w:val="xl90"/>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pPr>
    <w:rPr>
      <w:rFonts w:hAnsi="宋体" w:cs="宋体"/>
      <w:kern w:val="0"/>
      <w:sz w:val="20"/>
      <w:szCs w:val="20"/>
    </w:rPr>
  </w:style>
  <w:style w:type="paragraph" w:customStyle="1" w:styleId="68">
    <w:name w:val="xl91"/>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center"/>
    </w:pPr>
    <w:rPr>
      <w:rFonts w:hAnsi="宋体" w:cs="宋体"/>
      <w:kern w:val="0"/>
      <w:sz w:val="20"/>
      <w:szCs w:val="20"/>
    </w:rPr>
  </w:style>
  <w:style w:type="paragraph" w:customStyle="1" w:styleId="69">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hAnsi="宋体" w:cs="宋体"/>
      <w:kern w:val="0"/>
      <w:sz w:val="20"/>
      <w:szCs w:val="20"/>
    </w:rPr>
  </w:style>
  <w:style w:type="paragraph" w:customStyle="1" w:styleId="70">
    <w:name w:val="xl93"/>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pPr>
    <w:rPr>
      <w:rFonts w:hAnsi="宋体" w:cs="宋体"/>
      <w:kern w:val="0"/>
      <w:sz w:val="20"/>
      <w:szCs w:val="20"/>
    </w:rPr>
  </w:style>
  <w:style w:type="paragraph" w:customStyle="1" w:styleId="71">
    <w:name w:val="xl94"/>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center"/>
    </w:pPr>
    <w:rPr>
      <w:rFonts w:hAnsi="宋体" w:cs="宋体"/>
      <w:kern w:val="0"/>
      <w:sz w:val="20"/>
      <w:szCs w:val="20"/>
    </w:rPr>
  </w:style>
  <w:style w:type="paragraph" w:customStyle="1" w:styleId="72">
    <w:name w:val="xl95"/>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center"/>
    </w:pPr>
    <w:rPr>
      <w:rFonts w:hAnsi="宋体" w:cs="宋体"/>
      <w:kern w:val="0"/>
      <w:sz w:val="20"/>
      <w:szCs w:val="20"/>
    </w:rPr>
  </w:style>
  <w:style w:type="paragraph" w:customStyle="1" w:styleId="73">
    <w:name w:val="xl96"/>
    <w:basedOn w:val="1"/>
    <w:qFormat/>
    <w:uiPriority w:val="0"/>
    <w:pPr>
      <w:widowControl/>
      <w:pBdr>
        <w:left w:val="single" w:color="auto" w:sz="4" w:space="0"/>
        <w:bottom w:val="single" w:color="auto" w:sz="4" w:space="0"/>
      </w:pBdr>
      <w:spacing w:before="100" w:beforeAutospacing="1" w:after="100" w:afterAutospacing="1" w:line="240" w:lineRule="auto"/>
      <w:jc w:val="center"/>
    </w:pPr>
    <w:rPr>
      <w:rFonts w:hAnsi="宋体" w:cs="宋体"/>
      <w:kern w:val="0"/>
      <w:sz w:val="20"/>
      <w:szCs w:val="20"/>
    </w:rPr>
  </w:style>
  <w:style w:type="paragraph" w:customStyle="1" w:styleId="74">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hAnsi="宋体" w:cs="宋体"/>
      <w:kern w:val="0"/>
      <w:sz w:val="20"/>
      <w:szCs w:val="20"/>
    </w:rPr>
  </w:style>
  <w:style w:type="paragraph" w:customStyle="1" w:styleId="75">
    <w:name w:val="xl98"/>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pPr>
    <w:rPr>
      <w:rFonts w:hAnsi="宋体" w:cs="宋体"/>
      <w:kern w:val="0"/>
      <w:sz w:val="20"/>
      <w:szCs w:val="20"/>
    </w:rPr>
  </w:style>
  <w:style w:type="paragraph" w:customStyle="1" w:styleId="76">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hAnsi="宋体" w:cs="宋体"/>
      <w:kern w:val="0"/>
    </w:rPr>
  </w:style>
  <w:style w:type="paragraph" w:customStyle="1" w:styleId="77">
    <w:name w:val="xl100"/>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center"/>
    </w:pPr>
    <w:rPr>
      <w:rFonts w:hAnsi="宋体" w:cs="宋体"/>
      <w:kern w:val="0"/>
      <w:sz w:val="20"/>
      <w:szCs w:val="20"/>
    </w:rPr>
  </w:style>
  <w:style w:type="paragraph" w:customStyle="1" w:styleId="78">
    <w:name w:val="xl101"/>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center"/>
    </w:pPr>
    <w:rPr>
      <w:rFonts w:hAnsi="宋体" w:cs="宋体"/>
      <w:kern w:val="0"/>
      <w:sz w:val="20"/>
      <w:szCs w:val="20"/>
    </w:rPr>
  </w:style>
  <w:style w:type="paragraph" w:customStyle="1" w:styleId="79">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hAnsi="宋体" w:cs="宋体"/>
      <w:b/>
      <w:bCs/>
      <w:kern w:val="0"/>
      <w:sz w:val="20"/>
      <w:szCs w:val="20"/>
    </w:rPr>
  </w:style>
  <w:style w:type="paragraph" w:customStyle="1" w:styleId="80">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hAnsi="宋体" w:cs="宋体"/>
      <w:b/>
      <w:bCs/>
      <w:kern w:val="0"/>
      <w:sz w:val="20"/>
      <w:szCs w:val="20"/>
    </w:rPr>
  </w:style>
  <w:style w:type="paragraph" w:customStyle="1" w:styleId="81">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hAnsi="宋体" w:cs="宋体"/>
      <w:kern w:val="0"/>
      <w:sz w:val="20"/>
      <w:szCs w:val="20"/>
    </w:rPr>
  </w:style>
  <w:style w:type="paragraph" w:customStyle="1" w:styleId="82">
    <w:name w:val="xl105"/>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center"/>
    </w:pPr>
    <w:rPr>
      <w:rFonts w:hAnsi="宋体" w:cs="宋体"/>
      <w:kern w:val="0"/>
      <w:sz w:val="20"/>
      <w:szCs w:val="20"/>
    </w:rPr>
  </w:style>
  <w:style w:type="paragraph" w:customStyle="1" w:styleId="83">
    <w:name w:val="xl106"/>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pPr>
    <w:rPr>
      <w:rFonts w:hAnsi="宋体" w:cs="宋体"/>
      <w:kern w:val="0"/>
      <w:sz w:val="20"/>
      <w:szCs w:val="20"/>
    </w:rPr>
  </w:style>
  <w:style w:type="paragraph" w:customStyle="1" w:styleId="84">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left"/>
    </w:pPr>
    <w:rPr>
      <w:rFonts w:hAnsi="宋体" w:cs="宋体"/>
      <w:kern w:val="0"/>
      <w:sz w:val="20"/>
      <w:szCs w:val="20"/>
    </w:rPr>
  </w:style>
  <w:style w:type="paragraph" w:customStyle="1" w:styleId="85">
    <w:name w:val="xl108"/>
    <w:basedOn w:val="1"/>
    <w:qFormat/>
    <w:uiPriority w:val="0"/>
    <w:pPr>
      <w:widowControl/>
      <w:pBdr>
        <w:left w:val="single" w:color="000000" w:sz="4" w:space="0"/>
        <w:bottom w:val="single" w:color="000000" w:sz="4" w:space="0"/>
        <w:right w:val="single" w:color="000000" w:sz="4" w:space="0"/>
      </w:pBdr>
      <w:shd w:val="clear" w:color="000000" w:fill="FFFF00"/>
      <w:spacing w:before="100" w:beforeAutospacing="1" w:after="100" w:afterAutospacing="1" w:line="240" w:lineRule="auto"/>
      <w:jc w:val="center"/>
    </w:pPr>
    <w:rPr>
      <w:rFonts w:hAnsi="宋体" w:cs="宋体"/>
      <w:color w:val="000000"/>
      <w:kern w:val="0"/>
      <w:sz w:val="20"/>
      <w:szCs w:val="20"/>
    </w:rPr>
  </w:style>
  <w:style w:type="paragraph" w:customStyle="1" w:styleId="86">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hAnsi="宋体" w:cs="宋体"/>
      <w:kern w:val="0"/>
    </w:rPr>
  </w:style>
  <w:style w:type="paragraph" w:customStyle="1" w:styleId="87">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hAnsi="宋体" w:cs="宋体"/>
      <w:color w:val="000000"/>
      <w:kern w:val="0"/>
      <w:sz w:val="20"/>
      <w:szCs w:val="20"/>
    </w:rPr>
  </w:style>
  <w:style w:type="paragraph" w:customStyle="1" w:styleId="88">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hAnsi="宋体" w:cs="宋体"/>
      <w:kern w:val="0"/>
      <w:sz w:val="20"/>
      <w:szCs w:val="20"/>
    </w:rPr>
  </w:style>
  <w:style w:type="paragraph" w:customStyle="1" w:styleId="89">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pPr>
    <w:rPr>
      <w:rFonts w:hAnsi="宋体" w:cs="宋体"/>
      <w:color w:val="000000"/>
      <w:kern w:val="0"/>
      <w:sz w:val="20"/>
      <w:szCs w:val="20"/>
    </w:rPr>
  </w:style>
  <w:style w:type="paragraph" w:customStyle="1" w:styleId="90">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hAnsi="宋体" w:cs="宋体"/>
      <w:kern w:val="0"/>
    </w:rPr>
  </w:style>
  <w:style w:type="paragraph" w:customStyle="1" w:styleId="91">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hAnsi="宋体" w:cs="宋体"/>
      <w:kern w:val="0"/>
    </w:rPr>
  </w:style>
  <w:style w:type="paragraph" w:customStyle="1" w:styleId="92">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hAnsi="宋体" w:cs="宋体"/>
      <w:kern w:val="0"/>
    </w:rPr>
  </w:style>
  <w:style w:type="paragraph" w:customStyle="1" w:styleId="93">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hAnsi="宋体" w:cs="宋体"/>
      <w:kern w:val="0"/>
    </w:rPr>
  </w:style>
  <w:style w:type="paragraph" w:customStyle="1" w:styleId="94">
    <w:name w:val="xl117"/>
    <w:basedOn w:val="1"/>
    <w:qFormat/>
    <w:uiPriority w:val="0"/>
    <w:pPr>
      <w:widowControl/>
      <w:pBdr>
        <w:left w:val="single" w:color="000000" w:sz="4" w:space="0"/>
        <w:bottom w:val="single" w:color="000000" w:sz="4" w:space="0"/>
        <w:right w:val="single" w:color="000000" w:sz="4" w:space="0"/>
      </w:pBdr>
      <w:shd w:val="clear" w:color="000000" w:fill="FFFF00"/>
      <w:spacing w:before="100" w:beforeAutospacing="1" w:after="100" w:afterAutospacing="1" w:line="240" w:lineRule="auto"/>
      <w:jc w:val="center"/>
    </w:pPr>
    <w:rPr>
      <w:rFonts w:hAnsi="宋体" w:cs="宋体"/>
      <w:color w:val="000000"/>
      <w:kern w:val="0"/>
      <w:sz w:val="20"/>
      <w:szCs w:val="20"/>
    </w:rPr>
  </w:style>
  <w:style w:type="paragraph" w:customStyle="1" w:styleId="95">
    <w:name w:val="xl11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pPr>
    <w:rPr>
      <w:rFonts w:hAnsi="宋体" w:cs="宋体"/>
      <w:kern w:val="0"/>
      <w:sz w:val="20"/>
      <w:szCs w:val="20"/>
    </w:rPr>
  </w:style>
  <w:style w:type="paragraph" w:customStyle="1" w:styleId="96">
    <w:name w:val="xl119"/>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pPr>
    <w:rPr>
      <w:rFonts w:hAnsi="宋体" w:cs="宋体"/>
      <w:b/>
      <w:bCs/>
      <w:kern w:val="0"/>
      <w:sz w:val="20"/>
      <w:szCs w:val="20"/>
    </w:rPr>
  </w:style>
  <w:style w:type="paragraph" w:customStyle="1" w:styleId="97">
    <w:name w:val="xl12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left"/>
    </w:pPr>
    <w:rPr>
      <w:rFonts w:hAnsi="宋体" w:cs="宋体"/>
      <w:kern w:val="0"/>
    </w:rPr>
  </w:style>
  <w:style w:type="paragraph" w:customStyle="1" w:styleId="98">
    <w:name w:val="xl121"/>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pPr>
    <w:rPr>
      <w:rFonts w:hAnsi="宋体" w:cs="宋体"/>
      <w:kern w:val="0"/>
    </w:rPr>
  </w:style>
  <w:style w:type="paragraph" w:customStyle="1" w:styleId="99">
    <w:name w:val="xl122"/>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pPr>
    <w:rPr>
      <w:rFonts w:hAnsi="宋体" w:cs="宋体"/>
      <w:kern w:val="0"/>
    </w:rPr>
  </w:style>
  <w:style w:type="paragraph" w:customStyle="1" w:styleId="100">
    <w:name w:val="xl123"/>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pPr>
    <w:rPr>
      <w:rFonts w:hAnsi="宋体" w:cs="宋体"/>
      <w:kern w:val="0"/>
      <w:sz w:val="20"/>
      <w:szCs w:val="20"/>
    </w:rPr>
  </w:style>
  <w:style w:type="character" w:customStyle="1" w:styleId="101">
    <w:name w:val="font31"/>
    <w:basedOn w:val="18"/>
    <w:qFormat/>
    <w:uiPriority w:val="0"/>
    <w:rPr>
      <w:rFonts w:hint="eastAsia" w:ascii="宋体" w:hAnsi="宋体" w:eastAsia="宋体" w:cs="宋体"/>
      <w:color w:val="000000"/>
      <w:sz w:val="20"/>
      <w:szCs w:val="20"/>
      <w:u w:val="none"/>
      <w:vertAlign w:val="superscript"/>
    </w:rPr>
  </w:style>
  <w:style w:type="character" w:customStyle="1" w:styleId="102">
    <w:name w:val="font41"/>
    <w:basedOn w:val="18"/>
    <w:qFormat/>
    <w:uiPriority w:val="0"/>
    <w:rPr>
      <w:rFonts w:hint="eastAsia" w:ascii="宋体" w:hAnsi="宋体" w:eastAsia="宋体" w:cs="宋体"/>
      <w:color w:val="000000"/>
      <w:sz w:val="20"/>
      <w:szCs w:val="20"/>
      <w:u w:val="none"/>
    </w:rPr>
  </w:style>
  <w:style w:type="character" w:customStyle="1" w:styleId="103">
    <w:name w:val="font51"/>
    <w:basedOn w:val="18"/>
    <w:qFormat/>
    <w:uiPriority w:val="0"/>
    <w:rPr>
      <w:rFonts w:hint="eastAsia" w:ascii="宋体" w:hAnsi="宋体" w:eastAsia="宋体" w:cs="宋体"/>
      <w:color w:val="000000"/>
      <w:sz w:val="20"/>
      <w:szCs w:val="20"/>
      <w:u w:val="none"/>
    </w:rPr>
  </w:style>
  <w:style w:type="character" w:customStyle="1" w:styleId="104">
    <w:name w:val="font61"/>
    <w:basedOn w:val="18"/>
    <w:qFormat/>
    <w:uiPriority w:val="0"/>
    <w:rPr>
      <w:rFonts w:hint="eastAsia" w:ascii="宋体" w:hAnsi="宋体" w:eastAsia="宋体" w:cs="宋体"/>
      <w:color w:val="000000"/>
      <w:sz w:val="20"/>
      <w:szCs w:val="20"/>
      <w:u w:val="none"/>
    </w:rPr>
  </w:style>
  <w:style w:type="character" w:customStyle="1" w:styleId="105">
    <w:name w:val="font71"/>
    <w:basedOn w:val="18"/>
    <w:qFormat/>
    <w:uiPriority w:val="0"/>
    <w:rPr>
      <w:rFonts w:hint="eastAsia" w:ascii="宋体" w:hAnsi="宋体" w:eastAsia="宋体" w:cs="宋体"/>
      <w:color w:val="000000"/>
      <w:sz w:val="20"/>
      <w:szCs w:val="20"/>
      <w:u w:val="none"/>
    </w:rPr>
  </w:style>
  <w:style w:type="character" w:customStyle="1" w:styleId="106">
    <w:name w:val="font81"/>
    <w:basedOn w:val="18"/>
    <w:qFormat/>
    <w:uiPriority w:val="0"/>
    <w:rPr>
      <w:rFonts w:hint="eastAsia" w:ascii="宋体" w:hAnsi="宋体" w:eastAsia="宋体" w:cs="宋体"/>
      <w:color w:val="000000"/>
      <w:sz w:val="20"/>
      <w:szCs w:val="20"/>
      <w:u w:val="none"/>
    </w:rPr>
  </w:style>
  <w:style w:type="paragraph" w:customStyle="1" w:styleId="107">
    <w:name w:val="修订1"/>
    <w:hidden/>
    <w:semiHidden/>
    <w:qFormat/>
    <w:uiPriority w:val="99"/>
    <w:rPr>
      <w:rFonts w:ascii="宋体" w:hAnsi="Times New Roman" w:eastAsia="宋体" w:cs="Times New Roman"/>
      <w:kern w:val="2"/>
      <w:sz w:val="24"/>
      <w:szCs w:val="24"/>
      <w:lang w:val="en-US" w:eastAsia="zh-CN" w:bidi="ar-SA"/>
    </w:rPr>
  </w:style>
  <w:style w:type="paragraph" w:styleId="108">
    <w:name w:val="No Spacing"/>
    <w:qFormat/>
    <w:uiPriority w:val="1"/>
    <w:pPr>
      <w:widowControl w:val="0"/>
      <w:spacing w:before="50" w:beforeLines="50" w:after="30" w:afterLines="30" w:line="360" w:lineRule="auto"/>
    </w:pPr>
    <w:rPr>
      <w:rFonts w:ascii="Times New Roman" w:hAnsi="Times New Roman" w:eastAsia="宋体" w:cs="Times New Roman"/>
      <w:kern w:val="2"/>
      <w:sz w:val="28"/>
      <w:lang w:val="en-US" w:eastAsia="zh-CN" w:bidi="ar-SA"/>
    </w:rPr>
  </w:style>
  <w:style w:type="character" w:customStyle="1" w:styleId="109">
    <w:name w:val="10"/>
    <w:basedOn w:val="18"/>
    <w:qFormat/>
    <w:uiPriority w:val="0"/>
    <w:rPr>
      <w:rFonts w:hint="default" w:ascii="Times New Roman" w:hAnsi="Times New Roman" w:cs="Times New Roman"/>
    </w:rPr>
  </w:style>
  <w:style w:type="character" w:customStyle="1" w:styleId="110">
    <w:name w:val="15"/>
    <w:basedOn w:val="18"/>
    <w:qFormat/>
    <w:uiPriority w:val="0"/>
    <w:rPr>
      <w:rFonts w:hint="eastAsia" w:ascii="宋体" w:hAnsi="宋体" w:eastAsia="宋体" w:cs="宋体"/>
      <w:color w:val="000000"/>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12.png"/><Relationship Id="rId2" Type="http://schemas.openxmlformats.org/officeDocument/2006/relationships/settings" Target="settings.xml"/><Relationship Id="rId19" Type="http://schemas.openxmlformats.org/officeDocument/2006/relationships/image" Target="media/image11.png"/><Relationship Id="rId18" Type="http://schemas.openxmlformats.org/officeDocument/2006/relationships/image" Target="media/image10.png"/><Relationship Id="rId17" Type="http://schemas.openxmlformats.org/officeDocument/2006/relationships/image" Target="media/image9.png"/><Relationship Id="rId16" Type="http://schemas.openxmlformats.org/officeDocument/2006/relationships/image" Target="media/image8.png"/><Relationship Id="rId15" Type="http://schemas.openxmlformats.org/officeDocument/2006/relationships/image" Target="media/image7.png"/><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29</Pages>
  <Words>13239</Words>
  <Characters>14541</Characters>
  <Lines>130</Lines>
  <Paragraphs>36</Paragraphs>
  <TotalTime>15</TotalTime>
  <ScaleCrop>false</ScaleCrop>
  <LinksUpToDate>false</LinksUpToDate>
  <CharactersWithSpaces>14688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2019-02-26T00:39:00Z</dcterms:created>
  <dc:creator>yh</dc:creator>
  <cp:lastModifiedBy>LJX</cp:lastModifiedBy>
  <cp:lastPrinted>2018-02-03T18:31:00Z</cp:lastPrinted>
  <dcterms:modified xsi:type="dcterms:W3CDTF">2026-02-04T07:01:53Z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28C482E4450A4F6298DFDD8A71D3F91B</vt:lpwstr>
  </property>
  <property fmtid="{D5CDD505-2E9C-101B-9397-08002B2CF9AE}" pid="4" name="KSOTemplateDocerSaveRecord">
    <vt:lpwstr>eyJoZGlkIjoiMzEwNTM5NzYwMDRjMzkwZTVkZjY2ODkwMGIxNGU0OTUiLCJ1c2VySWQiOiIxMDE3MjAyMjc0In0=</vt:lpwstr>
  </property>
</Properties>
</file>