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A7301">
      <w:pPr>
        <w:jc w:val="center"/>
        <w:rPr>
          <w:rFonts w:hint="eastAsia" w:ascii="黑体" w:hAnsi="黑体" w:eastAsia="黑体" w:cs="黑体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-996950</wp:posOffset>
                </wp:positionH>
                <wp:positionV relativeFrom="paragraph">
                  <wp:posOffset>7319645</wp:posOffset>
                </wp:positionV>
                <wp:extent cx="7543800" cy="1038860"/>
                <wp:effectExtent l="0" t="0" r="0" b="0"/>
                <wp:wrapTight wrapText="bothSides">
                  <wp:wrapPolygon>
                    <wp:start x="262" y="951"/>
                    <wp:lineTo x="21338" y="951"/>
                    <wp:lineTo x="21338" y="20649"/>
                    <wp:lineTo x="262" y="20649"/>
                    <wp:lineTo x="262" y="951"/>
                  </wp:wrapPolygon>
                </wp:wrapTight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1038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AFC26A"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sz w:val="32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eastAsia="微软雅黑"/>
                                <w:sz w:val="28"/>
                                <w:szCs w:val="28"/>
                              </w:rPr>
                              <w:t>编制单位：</w:t>
                            </w:r>
                            <w:r>
                              <w:rPr>
                                <w:rFonts w:hint="eastAsia" w:eastAsia="微软雅黑"/>
                                <w:sz w:val="28"/>
                                <w:szCs w:val="28"/>
                                <w:lang w:val="en-US" w:eastAsia="zh-CN"/>
                              </w:rPr>
                              <w:t>西双版纳</w:t>
                            </w:r>
                            <w:r>
                              <w:rPr>
                                <w:rFonts w:eastAsia="微软雅黑"/>
                                <w:sz w:val="28"/>
                                <w:szCs w:val="28"/>
                              </w:rPr>
                              <w:t>供电局</w:t>
                            </w:r>
                            <w:r>
                              <w:rPr>
                                <w:rFonts w:hint="eastAsia" w:eastAsia="微软雅黑"/>
                                <w:sz w:val="28"/>
                                <w:szCs w:val="28"/>
                                <w:lang w:val="en-US" w:eastAsia="zh-CN"/>
                              </w:rPr>
                              <w:t>工会办公室</w:t>
                            </w:r>
                          </w:p>
                          <w:p w14:paraId="0C624E3C"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sz w:val="32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2"/>
                                <w:szCs w:val="28"/>
                                <w:lang w:val="en-US" w:eastAsia="zh-CN"/>
                              </w:rPr>
                              <w:t>二〇二六年二月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78.5pt;margin-top:576.35pt;height:81.8pt;width:594pt;mso-wrap-distance-left:9pt;mso-wrap-distance-right:9pt;z-index:-251655168;mso-width-relative:page;mso-height-relative:page;" filled="f" stroked="f" coordsize="21600,21600" wrapcoords="262 951 21338 951 21338 20649 262 20649 262 951" o:gfxdata="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JIH&#10;KbLaAAAADwEAAA8AAAAAAAAAAQAgAAAAIgAAAGRycy9kb3ducmV2LnhtbFBLAQIUABQAAAAIAIdO&#10;4kDK9PPMrwEAAFEDAAAOAAAAAAAAAAEAIAAAACkBAABkcnMvZTJvRG9jLnhtbFBLBQYAAAAABgAG&#10;AFkBAABK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6DAFC26A">
                      <w:pPr>
                        <w:jc w:val="center"/>
                        <w:rPr>
                          <w:rFonts w:hint="eastAsia" w:ascii="黑体" w:hAnsi="黑体" w:eastAsia="黑体" w:cs="黑体"/>
                          <w:sz w:val="32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eastAsia="微软雅黑"/>
                          <w:sz w:val="28"/>
                          <w:szCs w:val="28"/>
                        </w:rPr>
                        <w:t>编制单位：</w:t>
                      </w:r>
                      <w:r>
                        <w:rPr>
                          <w:rFonts w:hint="eastAsia" w:eastAsia="微软雅黑"/>
                          <w:sz w:val="28"/>
                          <w:szCs w:val="28"/>
                          <w:lang w:val="en-US" w:eastAsia="zh-CN"/>
                        </w:rPr>
                        <w:t>西双版纳</w:t>
                      </w:r>
                      <w:r>
                        <w:rPr>
                          <w:rFonts w:eastAsia="微软雅黑"/>
                          <w:sz w:val="28"/>
                          <w:szCs w:val="28"/>
                        </w:rPr>
                        <w:t>供电局</w:t>
                      </w:r>
                      <w:r>
                        <w:rPr>
                          <w:rFonts w:hint="eastAsia" w:eastAsia="微软雅黑"/>
                          <w:sz w:val="28"/>
                          <w:szCs w:val="28"/>
                          <w:lang w:val="en-US" w:eastAsia="zh-CN"/>
                        </w:rPr>
                        <w:t>工会办公室</w:t>
                      </w:r>
                    </w:p>
                    <w:p w14:paraId="0C624E3C">
                      <w:pPr>
                        <w:jc w:val="center"/>
                        <w:rPr>
                          <w:rFonts w:hint="eastAsia" w:ascii="黑体" w:hAnsi="黑体" w:eastAsia="黑体" w:cs="黑体"/>
                          <w:sz w:val="32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2"/>
                          <w:szCs w:val="28"/>
                          <w:lang w:val="en-US" w:eastAsia="zh-CN"/>
                        </w:rPr>
                        <w:t>二〇二六年二月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-1002665</wp:posOffset>
                </wp:positionH>
                <wp:positionV relativeFrom="paragraph">
                  <wp:posOffset>2568575</wp:posOffset>
                </wp:positionV>
                <wp:extent cx="7554595" cy="1296035"/>
                <wp:effectExtent l="0" t="0" r="0" b="0"/>
                <wp:wrapNone/>
                <wp:docPr id="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4595" cy="12960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FE7DA0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 w:val="0"/>
                              <w:snapToGrid w:val="0"/>
                              <w:spacing w:line="560" w:lineRule="exact"/>
                              <w:ind w:firstLine="0" w:firstLineChars="0"/>
                              <w:jc w:val="center"/>
                              <w:textAlignment w:val="auto"/>
                              <w:rPr>
                                <w:rFonts w:hint="eastAsia" w:ascii="方正小标宋_GBK" w:hAnsi="微软雅黑" w:eastAsia="方正小标宋_GBK" w:cs="方正小标宋_GBK"/>
                                <w:b w:val="0"/>
                                <w:bCs w:val="0"/>
                                <w:sz w:val="52"/>
                                <w:szCs w:val="52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52"/>
                                <w:szCs w:val="52"/>
                                <w:lang w:val="en-US" w:eastAsia="zh-CN"/>
                              </w:rPr>
                              <w:t>西双版纳供电局2026年工会会员观影活动服务</w:t>
                            </w:r>
                          </w:p>
                          <w:p w14:paraId="0D9903B6">
                            <w:pPr>
                              <w:spacing w:line="960" w:lineRule="auto"/>
                              <w:ind w:firstLine="0" w:firstLineChars="0"/>
                              <w:jc w:val="center"/>
                              <w:rPr>
                                <w:rFonts w:hint="default" w:ascii="微软雅黑" w:hAnsi="微软雅黑" w:eastAsia="微软雅黑"/>
                                <w:b w:val="0"/>
                                <w:bCs w:val="0"/>
                                <w:sz w:val="52"/>
                                <w:szCs w:val="5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 w:val="0"/>
                                <w:bCs w:val="0"/>
                                <w:sz w:val="52"/>
                                <w:szCs w:val="52"/>
                                <w:lang w:val="en-US" w:eastAsia="zh-CN"/>
                              </w:rPr>
                              <w:t>技术规范书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78.95pt;margin-top:202.25pt;height:102.05pt;width:594.85pt;mso-position-horizontal-relative:margin;z-index:251660288;mso-width-relative:page;mso-height-relative:page;" filled="f" stroked="f" coordsize="21600,21600" o:gfxdata="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B8EVT+3QAAAA0BAAAPAAAAAAAAAAEAIAAAACIA&#10;AABkcnMvZG93bnJldi54bWxQSwECFAAUAAAACACHTuJAgqBdlT0CAABnBAAADgAAAAAAAAABACAA&#10;AAAs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FFE7DA0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 w:val="0"/>
                        <w:snapToGrid w:val="0"/>
                        <w:spacing w:line="560" w:lineRule="exact"/>
                        <w:ind w:firstLine="0" w:firstLineChars="0"/>
                        <w:jc w:val="center"/>
                        <w:textAlignment w:val="auto"/>
                        <w:rPr>
                          <w:rFonts w:hint="eastAsia" w:ascii="方正小标宋_GBK" w:hAnsi="微软雅黑" w:eastAsia="方正小标宋_GBK" w:cs="方正小标宋_GBK"/>
                          <w:b w:val="0"/>
                          <w:bCs w:val="0"/>
                          <w:sz w:val="52"/>
                          <w:szCs w:val="52"/>
                          <w:lang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52"/>
                          <w:szCs w:val="52"/>
                          <w:lang w:val="en-US" w:eastAsia="zh-CN"/>
                        </w:rPr>
                        <w:t>西双版纳供电局2026年工会会员观影活动服务</w:t>
                      </w:r>
                    </w:p>
                    <w:p w14:paraId="0D9903B6">
                      <w:pPr>
                        <w:spacing w:line="960" w:lineRule="auto"/>
                        <w:ind w:firstLine="0" w:firstLineChars="0"/>
                        <w:jc w:val="center"/>
                        <w:rPr>
                          <w:rFonts w:hint="default" w:ascii="微软雅黑" w:hAnsi="微软雅黑" w:eastAsia="微软雅黑"/>
                          <w:b w:val="0"/>
                          <w:bCs w:val="0"/>
                          <w:sz w:val="52"/>
                          <w:szCs w:val="52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 w:val="0"/>
                          <w:bCs w:val="0"/>
                          <w:sz w:val="52"/>
                          <w:szCs w:val="52"/>
                          <w:lang w:val="en-US" w:eastAsia="zh-CN"/>
                        </w:rPr>
                        <w:t>技术规范书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-1056640</wp:posOffset>
            </wp:positionH>
            <wp:positionV relativeFrom="paragraph">
              <wp:posOffset>-1026160</wp:posOffset>
            </wp:positionV>
            <wp:extent cx="7765415" cy="10979150"/>
            <wp:effectExtent l="0" t="0" r="6985" b="0"/>
            <wp:wrapNone/>
            <wp:docPr id="5" name="图片 3" descr="D:\2021文件夹\南方电网\20210531——南网VI完稿修改\中国南方电网2021版交接设计稿\应用文件AI\B办公事务系统\未标题-2_画板 1.png未标题-2_画板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D:\2021文件夹\南方电网\20210531——南网VI完稿修改\中国南方电网2021版交接设计稿\应用文件AI\B办公事务系统\未标题-2_画板 1.png未标题-2_画板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65415" cy="1097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br w:type="page"/>
      </w:r>
      <w:r>
        <w:rPr>
          <w:rFonts w:hint="eastAsia" w:ascii="黑体" w:hAnsi="黑体" w:eastAsia="黑体" w:cs="黑体"/>
          <w:sz w:val="40"/>
          <w:szCs w:val="40"/>
          <w:lang w:val="en-US" w:eastAsia="zh-CN"/>
        </w:rPr>
        <w:t>西双版纳供电局2026年工会会员观影活动服务</w:t>
      </w:r>
    </w:p>
    <w:p w14:paraId="69E5BD44">
      <w:pPr>
        <w:jc w:val="center"/>
        <w:rPr>
          <w:rFonts w:hint="default" w:ascii="黑体" w:hAnsi="黑体" w:eastAsia="黑体" w:cs="黑体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sz w:val="40"/>
          <w:szCs w:val="40"/>
          <w:lang w:val="en-US" w:eastAsia="zh-CN"/>
        </w:rPr>
        <w:t>技术规范书</w:t>
      </w:r>
    </w:p>
    <w:p w14:paraId="630317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一、总则</w:t>
      </w:r>
    </w:p>
    <w:p w14:paraId="416ECB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为规范工会会员观影活动的组织实施、服务提供、技术保障及履约管理，明确服务方与工会（采购方）的权利义务，保障观影活动安全、有序、高效开展，提升工会会员服务质量，特制定本技术规范书。</w:t>
      </w:r>
    </w:p>
    <w:p w14:paraId="21A083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、适用范围</w:t>
      </w:r>
    </w:p>
    <w:p w14:paraId="7B1489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本规范书适用于工会组织开展的会员普惠观影券发放服务活动，涵盖影院合作、票务服务、技术支持、现场执行、售后保障等全流程环节。</w:t>
      </w:r>
    </w:p>
    <w:p w14:paraId="7524E6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三、服务原则</w:t>
      </w:r>
    </w:p>
    <w:p w14:paraId="2A1E8E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（一）普惠性原则：服务覆盖全体工会会员，保障会员公平享受观影权益，无歧视、无差别服务；</w:t>
      </w:r>
    </w:p>
    <w:p w14:paraId="0920EC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（二）安全性原则：严格落实观影场所安全、票务安全、人员安全及信息安全要求，杜绝安全隐患；</w:t>
      </w:r>
    </w:p>
    <w:p w14:paraId="323C79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（三）规范性原则：服务流程、技术标准、履约要求严格遵循国家法律法规、行业标准及工会管理规定；</w:t>
      </w:r>
    </w:p>
    <w:p w14:paraId="7A040E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（四）便捷性原则：简化会员参与流程，优化票务兑换、现场核销、售后反馈等环节，提升服务效率；</w:t>
      </w:r>
    </w:p>
    <w:p w14:paraId="432BC9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（五）公益性原则：突出工会服务的公益属性，杜绝商业捆绑、强制消费等违规行为。</w:t>
      </w:r>
    </w:p>
    <w:p w14:paraId="25D0116D">
      <w:pPr>
        <w:pStyle w:val="2"/>
        <w:ind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四、服务方资质要求</w:t>
      </w:r>
    </w:p>
    <w:p w14:paraId="04B503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lang w:val="en-US" w:eastAsia="zh-CN"/>
        </w:rPr>
        <w:t>（一）基本资质</w:t>
      </w:r>
    </w:p>
    <w:p w14:paraId="55C78E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1.</w:t>
      </w: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服务方须为中华人民共和国境内依法注册的独立法人，具有合法有效的营业执照、税务登记证、组织机构代码证（或三证合一证书），经营范围包含电影票务代理、影院运营服务等相关内容；</w:t>
      </w:r>
    </w:p>
    <w:p w14:paraId="72D517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2.具备电影票务服务相关经营许可，如《电影发行经营许可证》《电影放映经营许可证》（若涉及自有影院），或与合法影院签订的票务合作协议；</w:t>
      </w:r>
    </w:p>
    <w:p w14:paraId="714B8C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.</w:t>
      </w: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具有独立承担民事责任的能力，近3年内无重大违法违规经营记录，未被列入失信被执行人名单、重大税收违法失信主体、政府采购严重违法失信行为记录名单。</w:t>
      </w:r>
    </w:p>
    <w:p w14:paraId="2839CF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（二）行业经验</w:t>
      </w:r>
    </w:p>
    <w:p w14:paraId="5289A3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1.</w:t>
      </w: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具备3年以上电影票务服务、大型团体观影活动组织经验，拥有成熟的票务系统及影院合作资源；</w:t>
      </w:r>
    </w:p>
    <w:p w14:paraId="4E560D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2.近3年内承接过政府机关、企事业单位、工会组织等团体观影服务项目，提供不少于3个类似项目的成功案例（附合同复印件或履约证明）；</w:t>
      </w:r>
    </w:p>
    <w:p w14:paraId="4FEC5C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3.拥有专业的服务团队，包括票务运营、技术支持、现场执行、售后客服等专职人员，人员配置满足活动全流程服务需求。</w:t>
      </w:r>
    </w:p>
    <w:p w14:paraId="69188D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（三）技术与资源实力</w:t>
      </w:r>
    </w:p>
    <w:p w14:paraId="4F913F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1.拥有自主研发或合法授权的票务管理系统、会员核销系统，支持线上购票、券码兑换、扫码核销、数据统计等功能，系统稳定性、安全性符合行业标准；</w:t>
      </w:r>
    </w:p>
    <w:p w14:paraId="447B31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2.合作影院资源覆盖本地主要城区及重点商圈，影院数量、场次、影片类型满足工会会员观影需求，影院具备合法放映资质、消防验收合格证明及卫生达标资质；</w:t>
      </w:r>
    </w:p>
    <w:p w14:paraId="080749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3.具备应急技术保障能力，可7×24小时处理系统故障、票务异常等问题。</w:t>
      </w:r>
    </w:p>
    <w:p w14:paraId="4026C7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五、服务内容与技术标准</w:t>
      </w:r>
    </w:p>
    <w:p w14:paraId="074FC3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（一）票务服务标准</w:t>
      </w:r>
    </w:p>
    <w:p w14:paraId="39F5FF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1.</w:t>
      </w: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提供工会会员专属观影券（电子券/实体券），支持2D/3D影片通兑；</w:t>
      </w:r>
    </w:p>
    <w:p w14:paraId="16D19F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2.观影券/票券有效期不少于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12</w:t>
      </w: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个月，支持节假日、周末通用，无使用门槛、无强制消费；</w:t>
      </w:r>
    </w:p>
    <w:p w14:paraId="32CFC3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3.票券权益清晰标注，包含影片通兑范围、使用影院、有效期、核销方式、售后规则等，无模糊条款。</w:t>
      </w:r>
    </w:p>
    <w:p w14:paraId="192CB4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（二）影院合作服务标准</w:t>
      </w:r>
    </w:p>
    <w:p w14:paraId="19511D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1.合作影院须为合法合规的商业影院，具备《电影放映经营许可证》《消防监督检查记录》《公共场所卫生许可证》，影厅座椅、银幕、音响、放映设备符合国家《数字影院暂行技术要求》；</w:t>
      </w:r>
    </w:p>
    <w:p w14:paraId="24E266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2.影院环境整洁，座椅舒适度达标，通风、照明、无障碍设施完善，符合消防安全、公共卫生标准。</w:t>
      </w:r>
    </w:p>
    <w:p w14:paraId="47B46E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3.</w:t>
      </w: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合作影院每日排片场次充足，覆盖早中晚时段，影片类型包含院线新片、经典影片、主旋律影片等，满足不同会员观影需求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。</w:t>
      </w:r>
    </w:p>
    <w:p w14:paraId="758675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六、安全保障规范</w:t>
      </w:r>
    </w:p>
    <w:p w14:paraId="2B2586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（一）场所安全</w:t>
      </w:r>
    </w:p>
    <w:p w14:paraId="0B0B6A82">
      <w:pPr>
        <w:pStyle w:val="2"/>
        <w:ind w:firstLine="640" w:firstLineChars="200"/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1.合作影院严格落实消防安全责任，消防设施（灭火器、消防栓、应急通道、应急照明）完好有效，定期开展消防检查，制定火灾、人员踩踏等突发事件应急预案；</w:t>
      </w:r>
    </w:p>
    <w:p w14:paraId="150B8CF9">
      <w:pPr>
        <w:pStyle w:val="2"/>
        <w:ind w:firstLine="640" w:firstLineChars="200"/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2.影厅、大堂、通道等区域保持畅通，无杂物堆放，地面防滑，电梯、扶梯安全运行；</w:t>
      </w:r>
    </w:p>
    <w:p w14:paraId="795129F3">
      <w:pPr>
        <w:pStyle w:val="2"/>
        <w:ind w:firstLine="640" w:firstLineChars="200"/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3.影院落实公共卫生要求，定期对影厅、座椅、扶手、卫生间等进行消毒，符合疫情防控及公共卫生标准。</w:t>
      </w:r>
    </w:p>
    <w:p w14:paraId="14E5DEC2">
      <w:pPr>
        <w:pStyle w:val="2"/>
        <w:ind w:firstLine="640" w:firstLineChars="200"/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（二）票务与资金安全</w:t>
      </w:r>
    </w:p>
    <w:p w14:paraId="149C188F">
      <w:pPr>
        <w:pStyle w:val="2"/>
        <w:ind w:firstLine="640" w:firstLineChars="200"/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1.票券制作、发放、核销全流程可追溯，采用防伪技术杜绝假票、废票，系统实时监控核销状态，防止违规套现、倒卖票券；</w:t>
      </w:r>
    </w:p>
    <w:p w14:paraId="3CC7D242">
      <w:pPr>
        <w:pStyle w:val="2"/>
        <w:ind w:firstLine="640" w:firstLineChars="200"/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2.服务方与工会的资金结算规范，提供正规发票，结算流程透明，无违规收费、截留资金等行为；</w:t>
      </w:r>
    </w:p>
    <w:p w14:paraId="2FF6F916">
      <w:pPr>
        <w:pStyle w:val="2"/>
        <w:ind w:firstLine="640" w:firstLineChars="200"/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3.建立票券挂失、冻结机制，会员票券丢失、被盗时，服务方及时协助处理，保障会员权益。</w:t>
      </w:r>
    </w:p>
    <w:p w14:paraId="37CB56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42" w:line="560" w:lineRule="exact"/>
        <w:ind w:right="229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七、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服务期限</w:t>
      </w:r>
    </w:p>
    <w:p w14:paraId="556E0F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本次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采购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服务期限为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2026年2月11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日至2026年12月31日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。</w:t>
      </w:r>
    </w:p>
    <w:p w14:paraId="6EB44D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八、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支付方式</w:t>
      </w:r>
    </w:p>
    <w:p w14:paraId="6FF962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服务费用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一次性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付款。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乙方提供满足甲方财务要求的增值税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普通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发票等付款申请资料后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30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日内，甲方向乙方一次性支付服务费用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</w:p>
    <w:p w14:paraId="11EDE2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九、附则</w:t>
      </w:r>
    </w:p>
    <w:p w14:paraId="29D00A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（一）规范书修订</w:t>
      </w:r>
    </w:p>
    <w:p w14:paraId="177FEE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本规范书根据国家法律法规、行业标准及工会服务需求变化，可由双方协商修订，修订后的条款与本规范书具有同等效力。</w:t>
      </w:r>
    </w:p>
    <w:p w14:paraId="11B4C6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（二）解释权</w:t>
      </w:r>
    </w:p>
    <w:p w14:paraId="443D2E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本规范书的最终解释权归工会（采购方）与服务方共同所有，未尽事宜由双方协商解决。</w:t>
      </w:r>
    </w:p>
    <w:p w14:paraId="589C8C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（三）生效日期</w:t>
      </w:r>
    </w:p>
    <w:p w14:paraId="659CED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本规范书自双方签字盖章之日起生效，适用于本次工会会员观影活动服务项目，活动结束且履约完成后自动终止。</w:t>
      </w:r>
    </w:p>
    <w:p w14:paraId="31E6F7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</w:p>
    <w:p w14:paraId="63319A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工会（采购方）（盖章）：__________</w:t>
      </w:r>
    </w:p>
    <w:p w14:paraId="6DFC7D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法定代表人/授权代表（签字）：__________</w:t>
      </w:r>
    </w:p>
    <w:p w14:paraId="7F7536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日期：______年____月____日</w:t>
      </w:r>
    </w:p>
    <w:p w14:paraId="19A260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</w:p>
    <w:p w14:paraId="20BB8D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服务方（盖章）：__________</w:t>
      </w:r>
    </w:p>
    <w:p w14:paraId="61A872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法定代表人/授权代表（签字）：__________</w:t>
      </w:r>
    </w:p>
    <w:p w14:paraId="66B4F4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日期：______年____月____日</w:t>
      </w:r>
    </w:p>
    <w:sectPr>
      <w:footerReference r:id="rId5" w:type="default"/>
      <w:pgSz w:w="11906" w:h="16838"/>
      <w:pgMar w:top="1440" w:right="1587" w:bottom="1440" w:left="1587" w:header="851" w:footer="992" w:gutter="0"/>
      <w:pgNumType w:fmt="decimal"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7014DD7-3E84-4842-9D43-F624AD2E90C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2" w:fontKey="{8818E4AC-A88A-4C4C-B2EB-B275409D8EC4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D6728314-8D39-4123-A983-052876D687C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ED3DA1A6-DE84-4799-BF36-8F4C34A41E09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C626C2EC-0CE0-47A6-AC41-A022FD52E12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987534"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BC181C"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T72nYy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pPvad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2BC181C"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FjNmQzMTE1OTIyYWRlM2ZjZjBiN2RmZDM0ZDgxMTQifQ=="/>
  </w:docVars>
  <w:rsids>
    <w:rsidRoot w:val="2D62436F"/>
    <w:rsid w:val="003F19EF"/>
    <w:rsid w:val="007E63D9"/>
    <w:rsid w:val="01816096"/>
    <w:rsid w:val="01822D6C"/>
    <w:rsid w:val="01AF2697"/>
    <w:rsid w:val="01E7687A"/>
    <w:rsid w:val="02182C5B"/>
    <w:rsid w:val="022E40D0"/>
    <w:rsid w:val="024E25D1"/>
    <w:rsid w:val="02902DF3"/>
    <w:rsid w:val="03260EE8"/>
    <w:rsid w:val="032B6341"/>
    <w:rsid w:val="036A36E1"/>
    <w:rsid w:val="038C573A"/>
    <w:rsid w:val="03C90689"/>
    <w:rsid w:val="041052E8"/>
    <w:rsid w:val="043046B5"/>
    <w:rsid w:val="04666B7A"/>
    <w:rsid w:val="048B2A85"/>
    <w:rsid w:val="04BA42C8"/>
    <w:rsid w:val="05112A4A"/>
    <w:rsid w:val="053E58B3"/>
    <w:rsid w:val="05921832"/>
    <w:rsid w:val="05B836B3"/>
    <w:rsid w:val="05C242FF"/>
    <w:rsid w:val="06050F84"/>
    <w:rsid w:val="06080554"/>
    <w:rsid w:val="06D34E0E"/>
    <w:rsid w:val="070D08F0"/>
    <w:rsid w:val="072C0EAC"/>
    <w:rsid w:val="07526764"/>
    <w:rsid w:val="078A226A"/>
    <w:rsid w:val="07D10C12"/>
    <w:rsid w:val="08410597"/>
    <w:rsid w:val="088812F9"/>
    <w:rsid w:val="089B79AC"/>
    <w:rsid w:val="08D83463"/>
    <w:rsid w:val="090533B3"/>
    <w:rsid w:val="09E544CB"/>
    <w:rsid w:val="09E60A95"/>
    <w:rsid w:val="0A080331"/>
    <w:rsid w:val="0A1C6AEB"/>
    <w:rsid w:val="0A306F7B"/>
    <w:rsid w:val="0A344700"/>
    <w:rsid w:val="0A745034"/>
    <w:rsid w:val="0A9C46B5"/>
    <w:rsid w:val="0AC4757C"/>
    <w:rsid w:val="0AC82512"/>
    <w:rsid w:val="0AC97464"/>
    <w:rsid w:val="0B1A3732"/>
    <w:rsid w:val="0B285DDC"/>
    <w:rsid w:val="0B636570"/>
    <w:rsid w:val="0C035585"/>
    <w:rsid w:val="0CA20839"/>
    <w:rsid w:val="0CDA217A"/>
    <w:rsid w:val="0CE07ECE"/>
    <w:rsid w:val="0D223618"/>
    <w:rsid w:val="0D5C50F6"/>
    <w:rsid w:val="0D9540E6"/>
    <w:rsid w:val="0E314EE7"/>
    <w:rsid w:val="0E591449"/>
    <w:rsid w:val="0E655B0A"/>
    <w:rsid w:val="0F4563BA"/>
    <w:rsid w:val="0F4C7CDD"/>
    <w:rsid w:val="0F521FDA"/>
    <w:rsid w:val="0F770C97"/>
    <w:rsid w:val="0FB64C56"/>
    <w:rsid w:val="0FC57C54"/>
    <w:rsid w:val="101C6FE8"/>
    <w:rsid w:val="103819AC"/>
    <w:rsid w:val="10416259"/>
    <w:rsid w:val="10C6343A"/>
    <w:rsid w:val="10D4182A"/>
    <w:rsid w:val="10D52952"/>
    <w:rsid w:val="10DC742D"/>
    <w:rsid w:val="11020FDA"/>
    <w:rsid w:val="1173569E"/>
    <w:rsid w:val="11832B5E"/>
    <w:rsid w:val="118D34DB"/>
    <w:rsid w:val="119F3673"/>
    <w:rsid w:val="11FF5B40"/>
    <w:rsid w:val="12132EDB"/>
    <w:rsid w:val="12321825"/>
    <w:rsid w:val="123A6C55"/>
    <w:rsid w:val="123E75D0"/>
    <w:rsid w:val="12E812AE"/>
    <w:rsid w:val="13954387"/>
    <w:rsid w:val="139B54FB"/>
    <w:rsid w:val="13AC4857"/>
    <w:rsid w:val="13BC52FC"/>
    <w:rsid w:val="13E95ACA"/>
    <w:rsid w:val="13F64062"/>
    <w:rsid w:val="14396C46"/>
    <w:rsid w:val="15BB1E78"/>
    <w:rsid w:val="15DE15C7"/>
    <w:rsid w:val="15E44C4F"/>
    <w:rsid w:val="161A131B"/>
    <w:rsid w:val="166B5ED3"/>
    <w:rsid w:val="167D7355"/>
    <w:rsid w:val="16D23DE1"/>
    <w:rsid w:val="16DD41AF"/>
    <w:rsid w:val="17540B3B"/>
    <w:rsid w:val="183D472F"/>
    <w:rsid w:val="194E1F14"/>
    <w:rsid w:val="19D61859"/>
    <w:rsid w:val="19E2300B"/>
    <w:rsid w:val="1A10624F"/>
    <w:rsid w:val="1A4C3B81"/>
    <w:rsid w:val="1A4F56FF"/>
    <w:rsid w:val="1A7D17ED"/>
    <w:rsid w:val="1AAF7DBD"/>
    <w:rsid w:val="1AF14A10"/>
    <w:rsid w:val="1B436E42"/>
    <w:rsid w:val="1B495A57"/>
    <w:rsid w:val="1B58732D"/>
    <w:rsid w:val="1CA47C72"/>
    <w:rsid w:val="1D23535D"/>
    <w:rsid w:val="1D751E09"/>
    <w:rsid w:val="1D8765EE"/>
    <w:rsid w:val="1E5E48EB"/>
    <w:rsid w:val="1E6B728E"/>
    <w:rsid w:val="1EA30C08"/>
    <w:rsid w:val="1EEF762D"/>
    <w:rsid w:val="1EFB2942"/>
    <w:rsid w:val="1F166D0A"/>
    <w:rsid w:val="1F2C6D5A"/>
    <w:rsid w:val="1F51762F"/>
    <w:rsid w:val="1F5B88ED"/>
    <w:rsid w:val="1F88093A"/>
    <w:rsid w:val="1FBB7F1E"/>
    <w:rsid w:val="1FBF3122"/>
    <w:rsid w:val="1FCF0BBF"/>
    <w:rsid w:val="1FE9276C"/>
    <w:rsid w:val="2000527E"/>
    <w:rsid w:val="20307D8B"/>
    <w:rsid w:val="209B1AB0"/>
    <w:rsid w:val="20B35058"/>
    <w:rsid w:val="20D719F1"/>
    <w:rsid w:val="210F6ED1"/>
    <w:rsid w:val="21890675"/>
    <w:rsid w:val="218E2338"/>
    <w:rsid w:val="21AE2E67"/>
    <w:rsid w:val="2212368E"/>
    <w:rsid w:val="227550BE"/>
    <w:rsid w:val="227C5822"/>
    <w:rsid w:val="22FA57BC"/>
    <w:rsid w:val="23B73BE5"/>
    <w:rsid w:val="23E7568E"/>
    <w:rsid w:val="241B0773"/>
    <w:rsid w:val="24340889"/>
    <w:rsid w:val="244039DC"/>
    <w:rsid w:val="245C5A9D"/>
    <w:rsid w:val="24C25DC9"/>
    <w:rsid w:val="24E16D01"/>
    <w:rsid w:val="24E46EC7"/>
    <w:rsid w:val="256054C6"/>
    <w:rsid w:val="25F7511D"/>
    <w:rsid w:val="266D329C"/>
    <w:rsid w:val="26A73075"/>
    <w:rsid w:val="26EF7DFB"/>
    <w:rsid w:val="27065BC6"/>
    <w:rsid w:val="27175775"/>
    <w:rsid w:val="274B0EAA"/>
    <w:rsid w:val="27A75FE0"/>
    <w:rsid w:val="27D050EF"/>
    <w:rsid w:val="27D65DFA"/>
    <w:rsid w:val="28171567"/>
    <w:rsid w:val="28584014"/>
    <w:rsid w:val="28696619"/>
    <w:rsid w:val="28D00E86"/>
    <w:rsid w:val="298441C0"/>
    <w:rsid w:val="2A086006"/>
    <w:rsid w:val="2A174B7C"/>
    <w:rsid w:val="2AB32E17"/>
    <w:rsid w:val="2ACE5A56"/>
    <w:rsid w:val="2AFE7BEA"/>
    <w:rsid w:val="2B0A63D4"/>
    <w:rsid w:val="2B0D479C"/>
    <w:rsid w:val="2B14398C"/>
    <w:rsid w:val="2B2E74E5"/>
    <w:rsid w:val="2B45128D"/>
    <w:rsid w:val="2B642A3F"/>
    <w:rsid w:val="2B933206"/>
    <w:rsid w:val="2BAB3CE3"/>
    <w:rsid w:val="2BDE4899"/>
    <w:rsid w:val="2C605957"/>
    <w:rsid w:val="2CB55D18"/>
    <w:rsid w:val="2CE52898"/>
    <w:rsid w:val="2D086D5E"/>
    <w:rsid w:val="2D1140C6"/>
    <w:rsid w:val="2D46615C"/>
    <w:rsid w:val="2D62436F"/>
    <w:rsid w:val="2D6849D7"/>
    <w:rsid w:val="2D6E3139"/>
    <w:rsid w:val="2D8F64D3"/>
    <w:rsid w:val="2D921CE1"/>
    <w:rsid w:val="2E446756"/>
    <w:rsid w:val="2E501640"/>
    <w:rsid w:val="2E5765C3"/>
    <w:rsid w:val="2FB81CCD"/>
    <w:rsid w:val="2FC30154"/>
    <w:rsid w:val="2FF12AEC"/>
    <w:rsid w:val="30062628"/>
    <w:rsid w:val="301F288C"/>
    <w:rsid w:val="30A03378"/>
    <w:rsid w:val="30DD7043"/>
    <w:rsid w:val="30F0044A"/>
    <w:rsid w:val="31297963"/>
    <w:rsid w:val="317B2552"/>
    <w:rsid w:val="31FCD77F"/>
    <w:rsid w:val="328A715D"/>
    <w:rsid w:val="32FC53BD"/>
    <w:rsid w:val="330E7EE4"/>
    <w:rsid w:val="334A1B07"/>
    <w:rsid w:val="335144C8"/>
    <w:rsid w:val="33691AE5"/>
    <w:rsid w:val="3390201E"/>
    <w:rsid w:val="33937B20"/>
    <w:rsid w:val="340D6943"/>
    <w:rsid w:val="3425545A"/>
    <w:rsid w:val="342A21AD"/>
    <w:rsid w:val="342E671D"/>
    <w:rsid w:val="34314840"/>
    <w:rsid w:val="34473FFD"/>
    <w:rsid w:val="34576844"/>
    <w:rsid w:val="3468528B"/>
    <w:rsid w:val="34696F67"/>
    <w:rsid w:val="34990B6B"/>
    <w:rsid w:val="356A6458"/>
    <w:rsid w:val="35EE2046"/>
    <w:rsid w:val="36576511"/>
    <w:rsid w:val="365908E9"/>
    <w:rsid w:val="36EB770A"/>
    <w:rsid w:val="37824AA0"/>
    <w:rsid w:val="379847BA"/>
    <w:rsid w:val="37A902E5"/>
    <w:rsid w:val="37A954CF"/>
    <w:rsid w:val="380E1B00"/>
    <w:rsid w:val="383C64E2"/>
    <w:rsid w:val="386E76A4"/>
    <w:rsid w:val="38B77A4B"/>
    <w:rsid w:val="38CA32FD"/>
    <w:rsid w:val="390B3783"/>
    <w:rsid w:val="393F1F7B"/>
    <w:rsid w:val="394C0591"/>
    <w:rsid w:val="395F109E"/>
    <w:rsid w:val="39C046BF"/>
    <w:rsid w:val="39D74F14"/>
    <w:rsid w:val="39DB3861"/>
    <w:rsid w:val="39E807E9"/>
    <w:rsid w:val="3A157488"/>
    <w:rsid w:val="3A904851"/>
    <w:rsid w:val="3A952736"/>
    <w:rsid w:val="3ABD7978"/>
    <w:rsid w:val="3B657F64"/>
    <w:rsid w:val="3B6F1403"/>
    <w:rsid w:val="3BD51C4B"/>
    <w:rsid w:val="3BD55442"/>
    <w:rsid w:val="3BDF1D94"/>
    <w:rsid w:val="3BE86703"/>
    <w:rsid w:val="3C587A1B"/>
    <w:rsid w:val="3C6E0F88"/>
    <w:rsid w:val="3D0869FD"/>
    <w:rsid w:val="3D69050A"/>
    <w:rsid w:val="3D8956D0"/>
    <w:rsid w:val="3D941B95"/>
    <w:rsid w:val="3DD11E9A"/>
    <w:rsid w:val="3DF02037"/>
    <w:rsid w:val="3E9D4299"/>
    <w:rsid w:val="3ECA3C14"/>
    <w:rsid w:val="3ED4245E"/>
    <w:rsid w:val="3F42181A"/>
    <w:rsid w:val="3F4F2F75"/>
    <w:rsid w:val="3F5BEE0A"/>
    <w:rsid w:val="3F852126"/>
    <w:rsid w:val="40532A43"/>
    <w:rsid w:val="407D359F"/>
    <w:rsid w:val="40B5544E"/>
    <w:rsid w:val="411F03C8"/>
    <w:rsid w:val="415C17F1"/>
    <w:rsid w:val="415D2CA7"/>
    <w:rsid w:val="417C0358"/>
    <w:rsid w:val="421C7675"/>
    <w:rsid w:val="422E65E2"/>
    <w:rsid w:val="426B0FC6"/>
    <w:rsid w:val="42DD53D0"/>
    <w:rsid w:val="4334121D"/>
    <w:rsid w:val="438D34E4"/>
    <w:rsid w:val="43E266C9"/>
    <w:rsid w:val="44090E76"/>
    <w:rsid w:val="44426A9E"/>
    <w:rsid w:val="444A72CC"/>
    <w:rsid w:val="44575838"/>
    <w:rsid w:val="44657B04"/>
    <w:rsid w:val="44914D38"/>
    <w:rsid w:val="44BB1466"/>
    <w:rsid w:val="44E25519"/>
    <w:rsid w:val="44FA5C39"/>
    <w:rsid w:val="457A657D"/>
    <w:rsid w:val="45E034DC"/>
    <w:rsid w:val="45E508CF"/>
    <w:rsid w:val="45FA4B1F"/>
    <w:rsid w:val="46607F75"/>
    <w:rsid w:val="46783EAC"/>
    <w:rsid w:val="46CE4EDF"/>
    <w:rsid w:val="46F44476"/>
    <w:rsid w:val="472D20DF"/>
    <w:rsid w:val="474B2FD1"/>
    <w:rsid w:val="475F50A3"/>
    <w:rsid w:val="47686DCE"/>
    <w:rsid w:val="47744496"/>
    <w:rsid w:val="47BF75B5"/>
    <w:rsid w:val="47ED7431"/>
    <w:rsid w:val="481B4154"/>
    <w:rsid w:val="4845708A"/>
    <w:rsid w:val="489959AB"/>
    <w:rsid w:val="48AD29A6"/>
    <w:rsid w:val="48BC79E1"/>
    <w:rsid w:val="48C755E8"/>
    <w:rsid w:val="492B31A7"/>
    <w:rsid w:val="496B40F1"/>
    <w:rsid w:val="49C873FC"/>
    <w:rsid w:val="49DE5BE1"/>
    <w:rsid w:val="4A13211E"/>
    <w:rsid w:val="4A331C29"/>
    <w:rsid w:val="4A4E5776"/>
    <w:rsid w:val="4A586FD5"/>
    <w:rsid w:val="4A591CEF"/>
    <w:rsid w:val="4A6D04C3"/>
    <w:rsid w:val="4AEF4413"/>
    <w:rsid w:val="4B4729F4"/>
    <w:rsid w:val="4B475A72"/>
    <w:rsid w:val="4B816A4E"/>
    <w:rsid w:val="4B820FD9"/>
    <w:rsid w:val="4BA026C3"/>
    <w:rsid w:val="4C0960F1"/>
    <w:rsid w:val="4C4E1E45"/>
    <w:rsid w:val="4C6528E3"/>
    <w:rsid w:val="4C702FA8"/>
    <w:rsid w:val="4C9F51AF"/>
    <w:rsid w:val="4CD5641A"/>
    <w:rsid w:val="4D390F77"/>
    <w:rsid w:val="4D446E65"/>
    <w:rsid w:val="4D5C51D4"/>
    <w:rsid w:val="4D8569AE"/>
    <w:rsid w:val="4D96624F"/>
    <w:rsid w:val="4E745FEC"/>
    <w:rsid w:val="4E9C42BE"/>
    <w:rsid w:val="4EB42FE5"/>
    <w:rsid w:val="4EBD5F65"/>
    <w:rsid w:val="4EDA5A3D"/>
    <w:rsid w:val="4F095253"/>
    <w:rsid w:val="4F4D6EB2"/>
    <w:rsid w:val="4FD87D0C"/>
    <w:rsid w:val="50111EE2"/>
    <w:rsid w:val="501B4C55"/>
    <w:rsid w:val="5083267C"/>
    <w:rsid w:val="50C20F8E"/>
    <w:rsid w:val="50ED1B9C"/>
    <w:rsid w:val="51556929"/>
    <w:rsid w:val="515C7B07"/>
    <w:rsid w:val="51650038"/>
    <w:rsid w:val="51A50CBB"/>
    <w:rsid w:val="51C4585C"/>
    <w:rsid w:val="51F162A1"/>
    <w:rsid w:val="52137C27"/>
    <w:rsid w:val="52207DF0"/>
    <w:rsid w:val="522F200C"/>
    <w:rsid w:val="523D6212"/>
    <w:rsid w:val="527B28DC"/>
    <w:rsid w:val="52831B0B"/>
    <w:rsid w:val="52F41A82"/>
    <w:rsid w:val="52F61A46"/>
    <w:rsid w:val="533C1422"/>
    <w:rsid w:val="539D38BA"/>
    <w:rsid w:val="54181368"/>
    <w:rsid w:val="5419056C"/>
    <w:rsid w:val="54870DDF"/>
    <w:rsid w:val="54C50351"/>
    <w:rsid w:val="54D67BA3"/>
    <w:rsid w:val="54F113EB"/>
    <w:rsid w:val="552C566E"/>
    <w:rsid w:val="552D3AB8"/>
    <w:rsid w:val="55450F65"/>
    <w:rsid w:val="558327F3"/>
    <w:rsid w:val="55AB58D7"/>
    <w:rsid w:val="55E076EB"/>
    <w:rsid w:val="55F661D9"/>
    <w:rsid w:val="56170542"/>
    <w:rsid w:val="56674A08"/>
    <w:rsid w:val="56751D42"/>
    <w:rsid w:val="56775090"/>
    <w:rsid w:val="56906190"/>
    <w:rsid w:val="56E02A3E"/>
    <w:rsid w:val="572F5128"/>
    <w:rsid w:val="57534E4E"/>
    <w:rsid w:val="57A77F54"/>
    <w:rsid w:val="57D7248E"/>
    <w:rsid w:val="57E073CC"/>
    <w:rsid w:val="581F49DF"/>
    <w:rsid w:val="58237526"/>
    <w:rsid w:val="58573E8E"/>
    <w:rsid w:val="586D4A62"/>
    <w:rsid w:val="58C67955"/>
    <w:rsid w:val="58D2260D"/>
    <w:rsid w:val="591539B6"/>
    <w:rsid w:val="5969559D"/>
    <w:rsid w:val="59863CD0"/>
    <w:rsid w:val="598643BD"/>
    <w:rsid w:val="59DC5DA2"/>
    <w:rsid w:val="59FF622F"/>
    <w:rsid w:val="5A116FA4"/>
    <w:rsid w:val="5A4241FA"/>
    <w:rsid w:val="5A4A272E"/>
    <w:rsid w:val="5A735AF1"/>
    <w:rsid w:val="5AE21AC5"/>
    <w:rsid w:val="5B052E61"/>
    <w:rsid w:val="5B0A74C2"/>
    <w:rsid w:val="5B3D43F8"/>
    <w:rsid w:val="5B893710"/>
    <w:rsid w:val="5BDB1D43"/>
    <w:rsid w:val="5C076A71"/>
    <w:rsid w:val="5C1A7126"/>
    <w:rsid w:val="5C414DE8"/>
    <w:rsid w:val="5C454377"/>
    <w:rsid w:val="5CA63FE0"/>
    <w:rsid w:val="5CBA595D"/>
    <w:rsid w:val="5CCD5CD0"/>
    <w:rsid w:val="5D017424"/>
    <w:rsid w:val="5D0F01E1"/>
    <w:rsid w:val="5D21575A"/>
    <w:rsid w:val="5D2F5F33"/>
    <w:rsid w:val="5D560170"/>
    <w:rsid w:val="5D5F77BE"/>
    <w:rsid w:val="5DBD4CC8"/>
    <w:rsid w:val="5DC10E35"/>
    <w:rsid w:val="5DD27268"/>
    <w:rsid w:val="5DD72FD4"/>
    <w:rsid w:val="5DD961EC"/>
    <w:rsid w:val="5DE7421F"/>
    <w:rsid w:val="5DE930A5"/>
    <w:rsid w:val="5E1F1CCB"/>
    <w:rsid w:val="5E4F6B8A"/>
    <w:rsid w:val="5E5B7A99"/>
    <w:rsid w:val="5E6A6C7A"/>
    <w:rsid w:val="5E996B3B"/>
    <w:rsid w:val="5ECB0827"/>
    <w:rsid w:val="5EDD4CF4"/>
    <w:rsid w:val="5EF227B1"/>
    <w:rsid w:val="5F5B42BF"/>
    <w:rsid w:val="5F5C534D"/>
    <w:rsid w:val="5F670B3F"/>
    <w:rsid w:val="5FB7626C"/>
    <w:rsid w:val="5FE63BE0"/>
    <w:rsid w:val="606A1FF2"/>
    <w:rsid w:val="60A40BD4"/>
    <w:rsid w:val="60D26DE5"/>
    <w:rsid w:val="61BB4DEE"/>
    <w:rsid w:val="62290975"/>
    <w:rsid w:val="62570F45"/>
    <w:rsid w:val="62D21501"/>
    <w:rsid w:val="62E66850"/>
    <w:rsid w:val="62F11F07"/>
    <w:rsid w:val="63196634"/>
    <w:rsid w:val="632914FD"/>
    <w:rsid w:val="63967573"/>
    <w:rsid w:val="63B529E5"/>
    <w:rsid w:val="64820676"/>
    <w:rsid w:val="64B1690C"/>
    <w:rsid w:val="65226C77"/>
    <w:rsid w:val="65382DE5"/>
    <w:rsid w:val="654C6453"/>
    <w:rsid w:val="65DF45BB"/>
    <w:rsid w:val="65FD4CD0"/>
    <w:rsid w:val="66011858"/>
    <w:rsid w:val="66067FEC"/>
    <w:rsid w:val="660D707D"/>
    <w:rsid w:val="665835DA"/>
    <w:rsid w:val="66FE315A"/>
    <w:rsid w:val="670F2122"/>
    <w:rsid w:val="672960A6"/>
    <w:rsid w:val="67451C43"/>
    <w:rsid w:val="674A63AC"/>
    <w:rsid w:val="6751576A"/>
    <w:rsid w:val="681313E4"/>
    <w:rsid w:val="684A4A34"/>
    <w:rsid w:val="688A3D96"/>
    <w:rsid w:val="688A6606"/>
    <w:rsid w:val="68BB7343"/>
    <w:rsid w:val="68BF2482"/>
    <w:rsid w:val="68E951B5"/>
    <w:rsid w:val="68EB08E4"/>
    <w:rsid w:val="68FC1F4F"/>
    <w:rsid w:val="69116F16"/>
    <w:rsid w:val="6921668A"/>
    <w:rsid w:val="69511A57"/>
    <w:rsid w:val="69625C4C"/>
    <w:rsid w:val="698103D5"/>
    <w:rsid w:val="69C3431F"/>
    <w:rsid w:val="6A3F6638"/>
    <w:rsid w:val="6A50457D"/>
    <w:rsid w:val="6A5F216E"/>
    <w:rsid w:val="6A7A5754"/>
    <w:rsid w:val="6A7D50A2"/>
    <w:rsid w:val="6B206054"/>
    <w:rsid w:val="6B5F4FBF"/>
    <w:rsid w:val="6B69606D"/>
    <w:rsid w:val="6B7644BC"/>
    <w:rsid w:val="6B861377"/>
    <w:rsid w:val="6B95307F"/>
    <w:rsid w:val="6BFC7302"/>
    <w:rsid w:val="6C2E3BA6"/>
    <w:rsid w:val="6C416227"/>
    <w:rsid w:val="6CA145AD"/>
    <w:rsid w:val="6D526D91"/>
    <w:rsid w:val="6D7875A9"/>
    <w:rsid w:val="6DE07243"/>
    <w:rsid w:val="6E046791"/>
    <w:rsid w:val="6E144DE4"/>
    <w:rsid w:val="6E2D74AE"/>
    <w:rsid w:val="6E5122D2"/>
    <w:rsid w:val="6E636CC3"/>
    <w:rsid w:val="6E9C4850"/>
    <w:rsid w:val="6EE113A4"/>
    <w:rsid w:val="6EE24BC0"/>
    <w:rsid w:val="6F027274"/>
    <w:rsid w:val="6FAE120F"/>
    <w:rsid w:val="6FBA526F"/>
    <w:rsid w:val="701F35FD"/>
    <w:rsid w:val="70B33A3E"/>
    <w:rsid w:val="70B46155"/>
    <w:rsid w:val="70DF3DA7"/>
    <w:rsid w:val="712D79C9"/>
    <w:rsid w:val="716965A9"/>
    <w:rsid w:val="71884FD2"/>
    <w:rsid w:val="723A0647"/>
    <w:rsid w:val="724A458E"/>
    <w:rsid w:val="725569FB"/>
    <w:rsid w:val="72BA6E26"/>
    <w:rsid w:val="731450B2"/>
    <w:rsid w:val="7333622D"/>
    <w:rsid w:val="733B674E"/>
    <w:rsid w:val="73752023"/>
    <w:rsid w:val="73ED0347"/>
    <w:rsid w:val="74016C2F"/>
    <w:rsid w:val="742F2894"/>
    <w:rsid w:val="743F758E"/>
    <w:rsid w:val="744A35ED"/>
    <w:rsid w:val="74516EE2"/>
    <w:rsid w:val="74670D8A"/>
    <w:rsid w:val="74716FFF"/>
    <w:rsid w:val="74E80303"/>
    <w:rsid w:val="74F80974"/>
    <w:rsid w:val="7506350D"/>
    <w:rsid w:val="75402655"/>
    <w:rsid w:val="755B7940"/>
    <w:rsid w:val="759A0CE2"/>
    <w:rsid w:val="75D53365"/>
    <w:rsid w:val="76487B10"/>
    <w:rsid w:val="764A6C3A"/>
    <w:rsid w:val="765640F7"/>
    <w:rsid w:val="76D50FF0"/>
    <w:rsid w:val="770B295E"/>
    <w:rsid w:val="771A18F3"/>
    <w:rsid w:val="77373B06"/>
    <w:rsid w:val="77F63914"/>
    <w:rsid w:val="77FB8AB8"/>
    <w:rsid w:val="78052F27"/>
    <w:rsid w:val="78072DCC"/>
    <w:rsid w:val="781E63F4"/>
    <w:rsid w:val="789336DE"/>
    <w:rsid w:val="78BE4D13"/>
    <w:rsid w:val="78F970D1"/>
    <w:rsid w:val="79570EE4"/>
    <w:rsid w:val="79E47614"/>
    <w:rsid w:val="79F423DC"/>
    <w:rsid w:val="79FE4A1F"/>
    <w:rsid w:val="7A5A5248"/>
    <w:rsid w:val="7A83793A"/>
    <w:rsid w:val="7AB35237"/>
    <w:rsid w:val="7AEA1CF5"/>
    <w:rsid w:val="7BA07ADE"/>
    <w:rsid w:val="7BDE6451"/>
    <w:rsid w:val="7BDFF51E"/>
    <w:rsid w:val="7BE7517F"/>
    <w:rsid w:val="7C135965"/>
    <w:rsid w:val="7CE23A88"/>
    <w:rsid w:val="7D1F075D"/>
    <w:rsid w:val="7D756880"/>
    <w:rsid w:val="7D8A2FB5"/>
    <w:rsid w:val="7DE7428C"/>
    <w:rsid w:val="7DF42B5D"/>
    <w:rsid w:val="7DFD1180"/>
    <w:rsid w:val="7E7A11B7"/>
    <w:rsid w:val="7E7DBA60"/>
    <w:rsid w:val="7F4D320A"/>
    <w:rsid w:val="7F625F8B"/>
    <w:rsid w:val="7F67D8F7"/>
    <w:rsid w:val="7F8B101F"/>
    <w:rsid w:val="7FA704C2"/>
    <w:rsid w:val="7FBB9995"/>
    <w:rsid w:val="9B8D50F7"/>
    <w:rsid w:val="9CCBC00C"/>
    <w:rsid w:val="AFEFD942"/>
    <w:rsid w:val="D75F112E"/>
    <w:rsid w:val="E13DEFE1"/>
    <w:rsid w:val="EDBC5E23"/>
    <w:rsid w:val="EDFF95D6"/>
    <w:rsid w:val="F6EBC562"/>
    <w:rsid w:val="F6FB21C2"/>
    <w:rsid w:val="F7FE7EDD"/>
    <w:rsid w:val="FDFDB758"/>
    <w:rsid w:val="FEEFEA31"/>
    <w:rsid w:val="FFF48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rPr>
      <w:rFonts w:asciiTheme="minorHAnsi" w:hAnsiTheme="minorHAnsi" w:eastAsiaTheme="minorEastAsia" w:cstheme="minorBidi"/>
      <w:color w:val="2E74B5"/>
      <w:sz w:val="32"/>
      <w:szCs w:val="32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2">
    <w:name w:val="heading 4"/>
    <w:basedOn w:val="1"/>
    <w:next w:val="1"/>
    <w:qFormat/>
    <w:uiPriority w:val="9"/>
    <w:pPr>
      <w:keepNext/>
      <w:outlineLvl w:val="3"/>
    </w:pPr>
    <w:rPr>
      <w:rFonts w:ascii="Times New Roman" w:hAnsi="Times New Roman" w:eastAsia="宋体" w:cs="Times New Roman"/>
      <w:sz w:val="28"/>
      <w:szCs w:val="20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next w:val="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8">
    <w:name w:val="toc 3"/>
    <w:basedOn w:val="1"/>
    <w:next w:val="1"/>
    <w:qFormat/>
    <w:uiPriority w:val="0"/>
    <w:pPr>
      <w:ind w:left="840" w:leftChars="400"/>
    </w:p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13">
    <w:name w:val="toc 2"/>
    <w:basedOn w:val="1"/>
    <w:next w:val="1"/>
    <w:qFormat/>
    <w:uiPriority w:val="0"/>
    <w:pPr>
      <w:ind w:left="420" w:leftChars="200"/>
    </w:p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Hyperlink"/>
    <w:basedOn w:val="16"/>
    <w:qFormat/>
    <w:uiPriority w:val="0"/>
    <w:rPr>
      <w:color w:val="0000FF"/>
      <w:u w:val="single"/>
    </w:rPr>
  </w:style>
  <w:style w:type="character" w:styleId="18">
    <w:name w:val="footnote reference"/>
    <w:basedOn w:val="16"/>
    <w:qFormat/>
    <w:uiPriority w:val="0"/>
    <w:rPr>
      <w:vertAlign w:val="superscript"/>
    </w:rPr>
  </w:style>
  <w:style w:type="character" w:customStyle="1" w:styleId="19">
    <w:name w:val="font21"/>
    <w:basedOn w:val="16"/>
    <w:qFormat/>
    <w:uiPriority w:val="0"/>
    <w:rPr>
      <w:rFonts w:hint="eastAsia" w:ascii="仿宋_GB2312" w:eastAsia="仿宋_GB2312" w:cs="仿宋_GB2312"/>
      <w:color w:val="000000"/>
      <w:sz w:val="18"/>
      <w:szCs w:val="18"/>
      <w:u w:val="none"/>
    </w:rPr>
  </w:style>
  <w:style w:type="paragraph" w:customStyle="1" w:styleId="20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1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2">
    <w:name w:val="WPSOffice手动目录 3"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  <w:style w:type="paragraph" w:styleId="23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14284</Words>
  <Characters>14628</Characters>
  <Lines>0</Lines>
  <Paragraphs>0</Paragraphs>
  <TotalTime>111</TotalTime>
  <ScaleCrop>false</ScaleCrop>
  <LinksUpToDate>false</LinksUpToDate>
  <CharactersWithSpaces>15149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2023-04-23T21:47:00Z</dcterms:created>
  <dc:creator>齐少志</dc:creator>
  <cp:lastModifiedBy>bngdj</cp:lastModifiedBy>
  <dcterms:modified xsi:type="dcterms:W3CDTF">2026-02-09T08:34:24Z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37AB346738B24F67B9C6D1140A0F2C02_13</vt:lpwstr>
  </property>
  <property fmtid="{D5CDD505-2E9C-101B-9397-08002B2CF9AE}" pid="4" name="WondersoftTag">
    <vt:lpwstr>3DD62314-1898-4B52-8257-1CFA398C9F39#2#FEDFEEB8-9A074470-9E18D006-0DF0CD7D##0</vt:lpwstr>
  </property>
</Properties>
</file>