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spacing w:before="313" w:beforeLines="100" w:after="313" w:afterLines="100" w:line="560" w:lineRule="exact"/>
        <w:ind w:left="0" w:leftChars="0" w:right="0" w:rightChars="0" w:firstLine="0" w:firstLineChars="0"/>
        <w:jc w:val="center"/>
        <w:textAlignment w:val="baseline"/>
        <w:outlineLvl w:val="9"/>
        <w:rPr>
          <w:rFonts w:hint="eastAsia" w:ascii="仿宋" w:hAnsi="仿宋" w:eastAsia="仿宋" w:cs="宋体"/>
          <w:b/>
          <w:color w:val="auto"/>
          <w:kern w:val="0"/>
          <w:sz w:val="30"/>
          <w:szCs w:val="21"/>
          <w:highlight w:val="none"/>
          <w:lang w:eastAsia="zh-CN"/>
        </w:rPr>
      </w:pPr>
      <w:r>
        <w:rPr>
          <w:rFonts w:hint="eastAsia" w:ascii="仿宋" w:hAnsi="仿宋" w:eastAsia="仿宋" w:cs="宋体"/>
          <w:b/>
          <w:bCs w:val="0"/>
          <w:color w:val="auto"/>
          <w:kern w:val="0"/>
          <w:sz w:val="30"/>
          <w:szCs w:val="21"/>
          <w:highlight w:val="none"/>
          <w:lang w:eastAsia="zh-CN"/>
        </w:rPr>
        <w:t>区域仓电网物资检测</w:t>
      </w:r>
      <w:r>
        <w:rPr>
          <w:rFonts w:hint="eastAsia" w:ascii="仿宋" w:hAnsi="仿宋" w:eastAsia="仿宋" w:cs="宋体"/>
          <w:b/>
          <w:color w:val="auto"/>
          <w:kern w:val="0"/>
          <w:sz w:val="30"/>
          <w:szCs w:val="21"/>
          <w:highlight w:val="none"/>
          <w:lang w:eastAsia="zh-CN"/>
        </w:rPr>
        <w:t>采购项目报价表</w:t>
      </w:r>
    </w:p>
    <w:p>
      <w:pPr>
        <w:pStyle w:val="2"/>
        <w:rPr>
          <w:rFonts w:hint="default"/>
          <w:color w:val="auto"/>
          <w:lang w:val="en-US" w:eastAsia="zh-CN"/>
        </w:rPr>
      </w:pPr>
      <w:r>
        <w:rPr>
          <w:rFonts w:hint="eastAsia" w:ascii="仿宋" w:hAnsi="仿宋" w:eastAsia="仿宋" w:cs="宋体"/>
          <w:b/>
          <w:color w:val="auto"/>
          <w:kern w:val="0"/>
          <w:sz w:val="30"/>
          <w:szCs w:val="21"/>
          <w:highlight w:val="none"/>
          <w:lang w:val="en-US" w:eastAsia="zh-CN"/>
        </w:rPr>
        <w:t>一、总报价表</w:t>
      </w:r>
    </w:p>
    <w:tbl>
      <w:tblPr>
        <w:tblStyle w:val="14"/>
        <w:tblW w:w="4998" w:type="pct"/>
        <w:tblInd w:w="0" w:type="dxa"/>
        <w:tblLayout w:type="autofit"/>
        <w:tblCellMar>
          <w:top w:w="15" w:type="dxa"/>
          <w:left w:w="15" w:type="dxa"/>
          <w:bottom w:w="15" w:type="dxa"/>
          <w:right w:w="15" w:type="dxa"/>
        </w:tblCellMar>
      </w:tblPr>
      <w:tblGrid>
        <w:gridCol w:w="582"/>
        <w:gridCol w:w="2796"/>
        <w:gridCol w:w="1377"/>
        <w:gridCol w:w="1377"/>
        <w:gridCol w:w="1377"/>
        <w:gridCol w:w="824"/>
      </w:tblGrid>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rPr>
              <w:t>序号</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rPr>
              <w:t>物资品类</w:t>
            </w: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rPr>
              <w:t>单项最高限价（元）</w:t>
            </w: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kern w:val="0"/>
                <w:sz w:val="24"/>
                <w:szCs w:val="24"/>
                <w:highlight w:val="none"/>
                <w:lang w:val="en-US" w:eastAsia="zh-CN"/>
              </w:rPr>
            </w:pPr>
            <w:r>
              <w:rPr>
                <w:rFonts w:hint="eastAsia" w:ascii="宋体" w:hAnsi="宋体" w:cs="宋体"/>
                <w:b w:val="0"/>
                <w:bCs/>
                <w:color w:val="auto"/>
                <w:kern w:val="0"/>
                <w:sz w:val="24"/>
                <w:szCs w:val="24"/>
                <w:highlight w:val="none"/>
                <w:lang w:val="en-US" w:eastAsia="zh-CN"/>
              </w:rPr>
              <w:t>投标费率（%）</w:t>
            </w: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sz w:val="24"/>
                <w:szCs w:val="24"/>
                <w:highlight w:val="none"/>
              </w:rPr>
            </w:pPr>
            <w:r>
              <w:rPr>
                <w:rFonts w:hint="eastAsia" w:ascii="宋体" w:hAnsi="宋体" w:cs="宋体"/>
                <w:b w:val="0"/>
                <w:bCs/>
                <w:color w:val="auto"/>
                <w:kern w:val="0"/>
                <w:sz w:val="24"/>
                <w:szCs w:val="24"/>
                <w:highlight w:val="none"/>
                <w:lang w:val="en-US" w:eastAsia="zh-CN"/>
              </w:rPr>
              <w:t>品类单项</w:t>
            </w:r>
            <w:r>
              <w:rPr>
                <w:rFonts w:hint="eastAsia" w:ascii="宋体" w:hAnsi="宋体" w:eastAsia="宋体" w:cs="宋体"/>
                <w:b w:val="0"/>
                <w:bCs/>
                <w:color w:val="auto"/>
                <w:kern w:val="0"/>
                <w:sz w:val="24"/>
                <w:szCs w:val="24"/>
                <w:highlight w:val="none"/>
                <w:lang w:val="en-US" w:eastAsia="zh-CN"/>
              </w:rPr>
              <w:t>报价</w:t>
            </w:r>
            <w:r>
              <w:rPr>
                <w:rFonts w:hint="eastAsia" w:ascii="宋体" w:hAnsi="宋体" w:eastAsia="宋体" w:cs="宋体"/>
                <w:b w:val="0"/>
                <w:bCs/>
                <w:color w:val="auto"/>
                <w:kern w:val="0"/>
                <w:sz w:val="24"/>
                <w:szCs w:val="24"/>
                <w:highlight w:val="none"/>
              </w:rPr>
              <w:t>（元）</w:t>
            </w: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备注</w:t>
            </w: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1</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lang w:val="en-US" w:eastAsia="zh-CN" w:bidi="ar"/>
              </w:rPr>
              <w:t>油浸式配电变压器</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5087.72</w:t>
            </w:r>
          </w:p>
        </w:tc>
        <w:tc>
          <w:tcPr>
            <w:tcW w:w="826" w:type="pct"/>
            <w:vMerge w:val="restart"/>
            <w:tcBorders>
              <w:top w:val="single" w:color="000000" w:sz="4" w:space="0"/>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2</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lang w:val="en-US" w:eastAsia="zh-CN" w:bidi="ar"/>
              </w:rPr>
              <w:t>干式变压器</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5868.72</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3</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20kV干式变压器</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4206.7</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4</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lang w:val="en-US" w:eastAsia="zh-CN" w:bidi="ar"/>
              </w:rPr>
              <w:t>高压开关柜</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4612.52</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5</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20kV移开式开关柜</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5816.7</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6</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lang w:val="en-US" w:eastAsia="zh-CN" w:bidi="ar"/>
              </w:rPr>
              <w:t>组合式变电站（美式）</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4568.96</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7</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lang w:val="en-US" w:eastAsia="zh-CN" w:bidi="ar"/>
              </w:rPr>
              <w:t>预装式变电站（欧式、紧凑式</w:t>
            </w:r>
            <w:r>
              <w:rPr>
                <w:rFonts w:hint="eastAsia" w:ascii="宋体" w:hAnsi="宋体" w:eastAsia="宋体" w:cs="宋体"/>
                <w:b w:val="0"/>
                <w:bCs/>
                <w:i w:val="0"/>
                <w:iCs w:val="0"/>
                <w:color w:val="auto"/>
                <w:kern w:val="0"/>
                <w:sz w:val="24"/>
                <w:szCs w:val="24"/>
                <w:u w:val="none"/>
                <w:lang w:val="en-US" w:eastAsia="zh-CN" w:bidi="ar"/>
              </w:rPr>
              <w:t>)</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8124.16</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8</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20kV预装式变电站</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10403.3</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9</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lang w:val="en-US" w:eastAsia="zh-CN" w:bidi="ar"/>
              </w:rPr>
              <w:t>避雷器（站用型、线路型）</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3453.3</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10</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线路避雷器</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5393.3</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11</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lang w:val="en-US" w:eastAsia="zh-CN" w:bidi="ar"/>
              </w:rPr>
              <w:t>跌落式熔断器</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1608.64</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12</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lang w:val="en-US" w:eastAsia="zh-CN" w:bidi="ar"/>
              </w:rPr>
              <w:t>户外隔离开关</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1264.56</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13</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20kV隔离开关</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1683.3</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14</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lang w:val="en-US" w:eastAsia="zh-CN" w:bidi="ar"/>
              </w:rPr>
              <w:t>电缆分接箱</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2053.04</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15</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端子箱</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1530.76</w:t>
            </w:r>
          </w:p>
        </w:tc>
        <w:tc>
          <w:tcPr>
            <w:tcW w:w="826"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16</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配电箱</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3276.7</w:t>
            </w:r>
          </w:p>
        </w:tc>
        <w:tc>
          <w:tcPr>
            <w:tcW w:w="826" w:type="pct"/>
            <w:vMerge w:val="continue"/>
            <w:tcBorders>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17</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低压开关柜</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3823.3</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18</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控制电缆</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277.2</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19</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架空绝缘导线</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530.64</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20</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低压电线</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256.08</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0"/>
                <w:szCs w:val="20"/>
                <w:highlight w:val="none"/>
              </w:rPr>
              <w:t>21</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lang w:val="en-US" w:eastAsia="zh-CN" w:bidi="ar"/>
              </w:rPr>
              <w:t>电流互感器</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3050.08</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i w:val="0"/>
                <w:iCs w:val="0"/>
                <w:color w:val="auto"/>
                <w:kern w:val="0"/>
                <w:sz w:val="20"/>
                <w:szCs w:val="20"/>
                <w:highlight w:val="none"/>
                <w:u w:val="none"/>
                <w:lang w:val="en-US" w:eastAsia="zh-CN" w:bidi="ar"/>
              </w:rPr>
              <w:t>22</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lang w:val="en-US" w:eastAsia="zh-CN" w:bidi="ar"/>
              </w:rPr>
              <w:t>电压互感器</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3385.36</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i w:val="0"/>
                <w:iCs w:val="0"/>
                <w:color w:val="auto"/>
                <w:kern w:val="0"/>
                <w:sz w:val="20"/>
                <w:szCs w:val="20"/>
                <w:highlight w:val="none"/>
                <w:u w:val="none"/>
                <w:lang w:val="en-US" w:eastAsia="zh-CN" w:bidi="ar"/>
              </w:rPr>
              <w:t>23</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w:t>
            </w:r>
            <w:r>
              <w:rPr>
                <w:rStyle w:val="21"/>
                <w:rFonts w:hint="eastAsia" w:ascii="宋体" w:hAnsi="宋体" w:eastAsia="宋体" w:cs="宋体"/>
                <w:b w:val="0"/>
                <w:bCs/>
                <w:color w:val="auto"/>
                <w:lang w:val="en-US" w:eastAsia="zh-CN" w:bidi="ar"/>
              </w:rPr>
              <w:t>户外开关箱</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6113.3</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i w:val="0"/>
                <w:iCs w:val="0"/>
                <w:color w:val="auto"/>
                <w:kern w:val="0"/>
                <w:sz w:val="20"/>
                <w:szCs w:val="20"/>
                <w:highlight w:val="none"/>
                <w:u w:val="none"/>
                <w:lang w:val="en-US" w:eastAsia="zh-CN" w:bidi="ar"/>
              </w:rPr>
              <w:t>24</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lang w:val="en-US" w:eastAsia="zh-CN" w:bidi="ar"/>
              </w:rPr>
              <w:t>环网柜</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4458.52</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i w:val="0"/>
                <w:iCs w:val="0"/>
                <w:color w:val="auto"/>
                <w:kern w:val="0"/>
                <w:sz w:val="20"/>
                <w:szCs w:val="20"/>
                <w:highlight w:val="none"/>
                <w:u w:val="none"/>
                <w:lang w:val="en-US" w:eastAsia="zh-CN" w:bidi="ar"/>
              </w:rPr>
              <w:t>25</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 SF6环网柜</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5750</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i w:val="0"/>
                <w:iCs w:val="0"/>
                <w:color w:val="auto"/>
                <w:kern w:val="0"/>
                <w:sz w:val="20"/>
                <w:szCs w:val="20"/>
                <w:highlight w:val="none"/>
                <w:u w:val="none"/>
                <w:lang w:val="en-US" w:eastAsia="zh-CN" w:bidi="ar"/>
              </w:rPr>
              <w:t>26</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lang w:val="en-US" w:eastAsia="zh-CN" w:bidi="ar"/>
              </w:rPr>
              <w:t>柱上断路器自动化成套设备</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20955</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i w:val="0"/>
                <w:iCs w:val="0"/>
                <w:color w:val="auto"/>
                <w:kern w:val="0"/>
                <w:sz w:val="20"/>
                <w:szCs w:val="20"/>
                <w:highlight w:val="none"/>
                <w:u w:val="none"/>
                <w:lang w:val="en-US" w:eastAsia="zh-CN" w:bidi="ar"/>
              </w:rPr>
              <w:t>27</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 xml:space="preserve">10kV </w:t>
            </w:r>
            <w:r>
              <w:rPr>
                <w:rStyle w:val="21"/>
                <w:rFonts w:hint="eastAsia" w:ascii="宋体" w:hAnsi="宋体" w:eastAsia="宋体" w:cs="宋体"/>
                <w:b w:val="0"/>
                <w:bCs/>
                <w:color w:val="auto"/>
                <w:lang w:val="en-US" w:eastAsia="zh-CN" w:bidi="ar"/>
              </w:rPr>
              <w:t>自动化成套设备质量检测项目（</w:t>
            </w:r>
            <w:r>
              <w:rPr>
                <w:rFonts w:hint="eastAsia" w:ascii="宋体" w:hAnsi="宋体" w:eastAsia="宋体" w:cs="宋体"/>
                <w:b w:val="0"/>
                <w:bCs/>
                <w:i w:val="0"/>
                <w:iCs w:val="0"/>
                <w:color w:val="auto"/>
                <w:kern w:val="0"/>
                <w:sz w:val="24"/>
                <w:szCs w:val="24"/>
                <w:u w:val="none"/>
                <w:lang w:val="en-US" w:eastAsia="zh-CN" w:bidi="ar"/>
              </w:rPr>
              <w:t>10kV SF6</w:t>
            </w:r>
            <w:r>
              <w:rPr>
                <w:rStyle w:val="21"/>
                <w:rFonts w:hint="eastAsia" w:ascii="宋体" w:hAnsi="宋体" w:eastAsia="宋体" w:cs="宋体"/>
                <w:b w:val="0"/>
                <w:bCs/>
                <w:color w:val="auto"/>
                <w:lang w:val="en-US" w:eastAsia="zh-CN" w:bidi="ar"/>
              </w:rPr>
              <w:t>全绝缘断路器柜自动化成套设备、</w:t>
            </w:r>
            <w:r>
              <w:rPr>
                <w:rFonts w:hint="eastAsia" w:ascii="宋体" w:hAnsi="宋体" w:eastAsia="宋体" w:cs="宋体"/>
                <w:b w:val="0"/>
                <w:bCs/>
                <w:i w:val="0"/>
                <w:iCs w:val="0"/>
                <w:color w:val="auto"/>
                <w:kern w:val="0"/>
                <w:sz w:val="24"/>
                <w:szCs w:val="24"/>
                <w:u w:val="none"/>
                <w:lang w:val="en-US" w:eastAsia="zh-CN" w:bidi="ar"/>
              </w:rPr>
              <w:t xml:space="preserve">10kV </w:t>
            </w:r>
            <w:r>
              <w:rPr>
                <w:rStyle w:val="21"/>
                <w:rFonts w:hint="eastAsia" w:ascii="宋体" w:hAnsi="宋体" w:eastAsia="宋体" w:cs="宋体"/>
                <w:b w:val="0"/>
                <w:bCs/>
                <w:color w:val="auto"/>
                <w:lang w:val="en-US" w:eastAsia="zh-CN" w:bidi="ar"/>
              </w:rPr>
              <w:t>常压密封断路器柜自动化成套设备、</w:t>
            </w:r>
            <w:r>
              <w:rPr>
                <w:rFonts w:hint="eastAsia" w:ascii="宋体" w:hAnsi="宋体" w:eastAsia="宋体" w:cs="宋体"/>
                <w:b w:val="0"/>
                <w:bCs/>
                <w:i w:val="0"/>
                <w:iCs w:val="0"/>
                <w:color w:val="auto"/>
                <w:kern w:val="0"/>
                <w:sz w:val="24"/>
                <w:szCs w:val="24"/>
                <w:u w:val="none"/>
                <w:lang w:val="en-US" w:eastAsia="zh-CN" w:bidi="ar"/>
              </w:rPr>
              <w:t xml:space="preserve">10kV </w:t>
            </w:r>
            <w:r>
              <w:rPr>
                <w:rStyle w:val="21"/>
                <w:rFonts w:hint="eastAsia" w:ascii="宋体" w:hAnsi="宋体" w:eastAsia="宋体" w:cs="宋体"/>
                <w:b w:val="0"/>
                <w:bCs/>
                <w:color w:val="auto"/>
                <w:lang w:val="en-US" w:eastAsia="zh-CN" w:bidi="ar"/>
              </w:rPr>
              <w:t>真空断路器柜自动化成套设备、</w:t>
            </w:r>
            <w:r>
              <w:rPr>
                <w:rFonts w:hint="eastAsia" w:ascii="宋体" w:hAnsi="宋体" w:eastAsia="宋体" w:cs="宋体"/>
                <w:b w:val="0"/>
                <w:bCs/>
                <w:i w:val="0"/>
                <w:iCs w:val="0"/>
                <w:color w:val="auto"/>
                <w:kern w:val="0"/>
                <w:sz w:val="24"/>
                <w:szCs w:val="24"/>
                <w:u w:val="none"/>
                <w:lang w:val="en-US" w:eastAsia="zh-CN" w:bidi="ar"/>
              </w:rPr>
              <w:t xml:space="preserve">10kV SF6 </w:t>
            </w:r>
            <w:r>
              <w:rPr>
                <w:rStyle w:val="21"/>
                <w:rFonts w:hint="eastAsia" w:ascii="宋体" w:hAnsi="宋体" w:eastAsia="宋体" w:cs="宋体"/>
                <w:b w:val="0"/>
                <w:bCs/>
                <w:color w:val="auto"/>
                <w:lang w:val="en-US" w:eastAsia="zh-CN" w:bidi="ar"/>
              </w:rPr>
              <w:t>全绝缘负荷开关自动化成套设备）</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28265.6</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i w:val="0"/>
                <w:iCs w:val="0"/>
                <w:color w:val="auto"/>
                <w:kern w:val="0"/>
                <w:sz w:val="20"/>
                <w:szCs w:val="20"/>
                <w:highlight w:val="none"/>
                <w:u w:val="none"/>
                <w:lang w:val="en-US" w:eastAsia="zh-CN" w:bidi="ar"/>
              </w:rPr>
              <w:t>28</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 SF6全绝缘真空断路器柜自动化成套设备</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23686.7</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b w:val="0"/>
                <w:bCs/>
                <w:i w:val="0"/>
                <w:iCs w:val="0"/>
                <w:color w:val="auto"/>
                <w:kern w:val="0"/>
                <w:sz w:val="20"/>
                <w:szCs w:val="20"/>
                <w:highlight w:val="none"/>
                <w:u w:val="none"/>
                <w:lang w:val="en-US" w:eastAsia="zh-CN" w:bidi="ar"/>
              </w:rPr>
            </w:pPr>
            <w:r>
              <w:rPr>
                <w:rFonts w:hint="eastAsia" w:ascii="宋体" w:hAnsi="宋体" w:cs="宋体"/>
                <w:b w:val="0"/>
                <w:bCs/>
                <w:i w:val="0"/>
                <w:iCs w:val="0"/>
                <w:color w:val="auto"/>
                <w:kern w:val="0"/>
                <w:sz w:val="20"/>
                <w:szCs w:val="20"/>
                <w:highlight w:val="none"/>
                <w:u w:val="none"/>
                <w:lang w:val="en-US" w:eastAsia="zh-CN" w:bidi="ar"/>
              </w:rPr>
              <w:t>29</w:t>
            </w:r>
          </w:p>
        </w:tc>
        <w:tc>
          <w:tcPr>
            <w:tcW w:w="167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i w:val="0"/>
                <w:iCs w:val="0"/>
                <w:color w:val="auto"/>
                <w:kern w:val="0"/>
                <w:sz w:val="24"/>
                <w:szCs w:val="24"/>
                <w:u w:val="none"/>
                <w:lang w:val="en-US" w:eastAsia="zh-CN" w:bidi="ar"/>
              </w:rPr>
            </w:pPr>
            <w:r>
              <w:rPr>
                <w:rFonts w:hint="eastAsia" w:ascii="宋体" w:hAnsi="宋体" w:eastAsia="宋体" w:cs="宋体"/>
                <w:b w:val="0"/>
                <w:bCs/>
                <w:i w:val="0"/>
                <w:iCs w:val="0"/>
                <w:color w:val="auto"/>
                <w:kern w:val="0"/>
                <w:sz w:val="24"/>
                <w:szCs w:val="24"/>
                <w:u w:val="none"/>
                <w:lang w:val="en-US" w:eastAsia="zh-CN" w:bidi="ar"/>
              </w:rPr>
              <w:t>380V熔断器式隔离开关</w:t>
            </w:r>
          </w:p>
        </w:tc>
        <w:tc>
          <w:tcPr>
            <w:tcW w:w="82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b w:val="0"/>
                <w:bCs/>
                <w:i w:val="0"/>
                <w:iCs w:val="0"/>
                <w:color w:val="auto"/>
                <w:kern w:val="0"/>
                <w:sz w:val="24"/>
                <w:szCs w:val="24"/>
                <w:u w:val="none"/>
                <w:lang w:val="en-US" w:eastAsia="zh-CN" w:bidi="ar"/>
              </w:rPr>
            </w:pPr>
            <w:r>
              <w:rPr>
                <w:rFonts w:hint="eastAsia" w:ascii="宋体" w:hAnsi="宋体" w:cs="宋体"/>
                <w:b w:val="0"/>
                <w:bCs/>
                <w:i w:val="0"/>
                <w:iCs w:val="0"/>
                <w:color w:val="auto"/>
                <w:kern w:val="0"/>
                <w:sz w:val="24"/>
                <w:szCs w:val="24"/>
                <w:u w:val="none"/>
                <w:lang w:val="en-US" w:eastAsia="zh-CN" w:bidi="ar"/>
              </w:rPr>
              <w:t>6833.4</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2026" w:type="pct"/>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lang w:eastAsia="zh-CN"/>
              </w:rPr>
              <w:t>合</w:t>
            </w:r>
            <w:r>
              <w:rPr>
                <w:rFonts w:hint="eastAsia" w:ascii="宋体" w:hAnsi="宋体" w:eastAsia="宋体" w:cs="宋体"/>
                <w:b w:val="0"/>
                <w:bCs/>
                <w:color w:val="auto"/>
                <w:sz w:val="24"/>
                <w:szCs w:val="24"/>
                <w:highlight w:val="none"/>
                <w:lang w:val="en-US" w:eastAsia="zh-CN"/>
              </w:rPr>
              <w:t xml:space="preserve"> 计</w:t>
            </w: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default"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176337.56</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1320"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2026" w:type="pct"/>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(大写)</w:t>
            </w:r>
          </w:p>
        </w:tc>
        <w:tc>
          <w:tcPr>
            <w:tcW w:w="82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 壹拾柒万陆仟叁佰叁拾柒元伍角陆分整</w:t>
            </w:r>
          </w:p>
        </w:tc>
        <w:tc>
          <w:tcPr>
            <w:tcW w:w="826" w:type="pct"/>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sz w:val="24"/>
                <w:szCs w:val="24"/>
                <w:highlight w:val="none"/>
                <w:lang w:eastAsia="zh-CN"/>
              </w:rPr>
            </w:pPr>
          </w:p>
        </w:tc>
        <w:tc>
          <w:tcPr>
            <w:tcW w:w="1320" w:type="pct"/>
            <w:gridSpan w:val="2"/>
            <w:tcBorders>
              <w:top w:val="single" w:color="000000" w:sz="4" w:space="0"/>
              <w:left w:val="single" w:color="000000" w:sz="4" w:space="0"/>
              <w:bottom w:val="single" w:color="000000" w:sz="4" w:space="0"/>
              <w:right w:val="single" w:color="000000" w:sz="4" w:space="0"/>
            </w:tcBorders>
            <w:vAlign w:val="center"/>
          </w:tcPr>
          <w:p>
            <w:pPr>
              <w:widowControl/>
              <w:jc w:val="both"/>
              <w:textAlignment w:val="top"/>
              <w:rPr>
                <w:rFonts w:hint="eastAsia" w:ascii="宋体" w:hAnsi="宋体" w:eastAsia="宋体" w:cs="宋体"/>
                <w:color w:val="auto"/>
                <w:kern w:val="0"/>
                <w:sz w:val="24"/>
                <w:szCs w:val="24"/>
                <w:highlight w:val="none"/>
                <w:lang w:val="en-US" w:eastAsia="zh-CN"/>
              </w:rPr>
            </w:pPr>
            <w:r>
              <w:rPr>
                <w:rFonts w:hint="eastAsia" w:ascii="宋体" w:hAnsi="宋体" w:eastAsia="宋体" w:cs="宋体"/>
                <w:b w:val="0"/>
                <w:bCs/>
                <w:color w:val="auto"/>
                <w:sz w:val="24"/>
                <w:szCs w:val="24"/>
                <w:highlight w:val="none"/>
                <w:lang w:eastAsia="zh-CN"/>
              </w:rPr>
              <w:t>人民币</w:t>
            </w:r>
            <w:r>
              <w:rPr>
                <w:rFonts w:hint="eastAsia" w:ascii="宋体" w:hAnsi="宋体" w:eastAsia="宋体" w:cs="宋体"/>
                <w:b w:val="0"/>
                <w:bCs/>
                <w:color w:val="auto"/>
                <w:sz w:val="24"/>
                <w:szCs w:val="24"/>
                <w:highlight w:val="none"/>
                <w:lang w:val="en-US" w:eastAsia="zh-CN"/>
              </w:rPr>
              <w:t xml:space="preserve">        元</w:t>
            </w:r>
          </w:p>
        </w:tc>
      </w:tr>
    </w:tbl>
    <w:p>
      <w:pPr>
        <w:bidi w:val="0"/>
        <w:rPr>
          <w:rFonts w:hint="eastAsia"/>
          <w:color w:val="auto"/>
          <w:sz w:val="24"/>
          <w:szCs w:val="24"/>
          <w:lang w:val="en-US" w:eastAsia="zh-CN"/>
        </w:rPr>
      </w:pPr>
      <w:r>
        <w:rPr>
          <w:rFonts w:hint="eastAsia"/>
          <w:color w:val="auto"/>
          <w:sz w:val="24"/>
          <w:szCs w:val="24"/>
          <w:lang w:val="en-US" w:eastAsia="zh-CN"/>
        </w:rPr>
        <w:t>注:</w:t>
      </w:r>
    </w:p>
    <w:p>
      <w:pPr>
        <w:spacing w:line="360" w:lineRule="auto"/>
        <w:ind w:firstLine="240" w:firstLineChars="1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1、本项目采用投标费率报价，同时</w:t>
      </w:r>
      <w:r>
        <w:rPr>
          <w:rFonts w:hint="eastAsia" w:ascii="宋体" w:hAnsi="宋体" w:cs="宋体"/>
          <w:bCs/>
          <w:color w:val="auto"/>
          <w:sz w:val="24"/>
          <w:highlight w:val="none"/>
          <w:lang w:val="en-US" w:eastAsia="zh-CN"/>
        </w:rPr>
        <w:t>计算并</w:t>
      </w:r>
      <w:r>
        <w:rPr>
          <w:rFonts w:hint="eastAsia" w:ascii="宋体" w:hAnsi="宋体" w:eastAsia="宋体" w:cs="宋体"/>
          <w:bCs/>
          <w:color w:val="auto"/>
          <w:sz w:val="24"/>
          <w:highlight w:val="none"/>
          <w:lang w:val="en-US" w:eastAsia="zh-CN"/>
        </w:rPr>
        <w:t>填报品类单项报价和项目单价金额，只能有一个有效投标费率</w:t>
      </w:r>
      <w:r>
        <w:rPr>
          <w:rFonts w:hint="eastAsia" w:ascii="宋体" w:hAnsi="宋体" w:cs="宋体"/>
          <w:bCs/>
          <w:color w:val="auto"/>
          <w:sz w:val="24"/>
          <w:highlight w:val="none"/>
          <w:lang w:val="en-US" w:eastAsia="zh-CN"/>
        </w:rPr>
        <w:t>；</w:t>
      </w:r>
    </w:p>
    <w:p>
      <w:pPr>
        <w:spacing w:line="360" w:lineRule="auto"/>
        <w:ind w:firstLine="240" w:firstLineChars="10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2、品类</w:t>
      </w:r>
      <w:r>
        <w:rPr>
          <w:rFonts w:hint="eastAsia" w:ascii="宋体" w:hAnsi="宋体" w:eastAsia="宋体" w:cs="宋体"/>
          <w:bCs/>
          <w:color w:val="auto"/>
          <w:sz w:val="24"/>
          <w:highlight w:val="none"/>
          <w:lang w:val="en-US" w:eastAsia="zh-CN"/>
        </w:rPr>
        <w:t>单项报价（元）=单项最高限价×投标费率；</w:t>
      </w:r>
    </w:p>
    <w:p>
      <w:pPr>
        <w:spacing w:line="360" w:lineRule="auto"/>
        <w:ind w:firstLine="240" w:firstLineChars="10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3、品类单项报价（元）=分项报价表中各品类设备质量检测项目单价之和；</w:t>
      </w:r>
    </w:p>
    <w:p>
      <w:pPr>
        <w:spacing w:line="360" w:lineRule="auto"/>
        <w:ind w:firstLine="240" w:firstLineChars="10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4、按实际工作量结算。中标单位的投标费率即为中标费率，中标单位的投标单价即为中标单价，结算价=∑（中标单价×实际发生的检测量）；</w:t>
      </w:r>
    </w:p>
    <w:p>
      <w:pPr>
        <w:spacing w:line="360" w:lineRule="auto"/>
        <w:ind w:firstLine="240" w:firstLineChars="100"/>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5、</w:t>
      </w:r>
      <w:r>
        <w:rPr>
          <w:rFonts w:hint="default" w:ascii="宋体" w:hAnsi="宋体" w:cs="宋体"/>
          <w:bCs/>
          <w:color w:val="auto"/>
          <w:sz w:val="24"/>
          <w:highlight w:val="none"/>
          <w:lang w:val="en-US" w:eastAsia="zh-CN"/>
        </w:rPr>
        <w:t>单项最高限价指完成一个抽检单元（规格/基/台/单元/根/支)的所有检测项目的总价。</w:t>
      </w:r>
    </w:p>
    <w:p>
      <w:pPr>
        <w:spacing w:line="360" w:lineRule="auto"/>
        <w:ind w:firstLine="301" w:firstLineChars="100"/>
        <w:rPr>
          <w:rFonts w:hint="eastAsia" w:ascii="宋体" w:hAnsi="宋体" w:eastAsia="宋体" w:cs="宋体"/>
          <w:bCs/>
          <w:color w:val="auto"/>
          <w:sz w:val="24"/>
          <w:highlight w:val="none"/>
          <w:lang w:eastAsia="zh-CN"/>
        </w:rPr>
      </w:pPr>
      <w:r>
        <w:rPr>
          <w:rFonts w:hint="eastAsia" w:ascii="仿宋" w:hAnsi="仿宋" w:eastAsia="仿宋" w:cs="宋体"/>
          <w:b/>
          <w:color w:val="auto"/>
          <w:kern w:val="0"/>
          <w:sz w:val="30"/>
          <w:szCs w:val="21"/>
          <w:highlight w:val="none"/>
          <w:lang w:val="en-US" w:eastAsia="zh-CN"/>
        </w:rPr>
        <w:t>二、分项报价表</w:t>
      </w:r>
    </w:p>
    <w:p>
      <w:pPr>
        <w:spacing w:line="360" w:lineRule="auto"/>
        <w:ind w:firstLine="240" w:firstLineChars="10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（1）10kV油浸式配电变压器质量检测项目</w:t>
      </w:r>
    </w:p>
    <w:tbl>
      <w:tblPr>
        <w:tblStyle w:val="14"/>
        <w:tblW w:w="4998" w:type="pct"/>
        <w:tblInd w:w="0" w:type="dxa"/>
        <w:tblLayout w:type="autofit"/>
        <w:tblCellMar>
          <w:top w:w="0" w:type="dxa"/>
          <w:left w:w="108" w:type="dxa"/>
          <w:bottom w:w="0" w:type="dxa"/>
          <w:right w:w="108" w:type="dxa"/>
        </w:tblCellMar>
      </w:tblPr>
      <w:tblGrid>
        <w:gridCol w:w="1101"/>
        <w:gridCol w:w="3686"/>
        <w:gridCol w:w="2282"/>
        <w:gridCol w:w="1450"/>
      </w:tblGrid>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163"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3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51"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绝缘电阻测量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绕组直流电阻测量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电压比测量和联结组标号检定</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外施耐压试验</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空载电流和空载损耗测量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7</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短路阻抗和负载损耗测量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color w:val="auto"/>
                <w:kern w:val="0"/>
                <w:szCs w:val="21"/>
                <w:highlight w:val="none"/>
              </w:rPr>
              <w:t>8</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感应电压试验</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4787"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eastAsia="zh-CN"/>
              </w:rPr>
              <w:t>合</w:t>
            </w:r>
            <w:r>
              <w:rPr>
                <w:rFonts w:hint="eastAsia" w:ascii="宋体" w:hAnsi="宋体" w:cs="宋体"/>
                <w:b w:val="0"/>
                <w:bCs/>
                <w:color w:val="auto"/>
                <w:sz w:val="24"/>
                <w:szCs w:val="24"/>
                <w:highlight w:val="none"/>
                <w:lang w:val="en-US" w:eastAsia="zh-CN"/>
              </w:rPr>
              <w:t xml:space="preserve"> 计</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项目</w:t>
            </w:r>
            <w:r>
              <w:rPr>
                <w:rFonts w:hint="eastAsia" w:ascii="宋体" w:hAnsi="宋体" w:eastAsia="宋体" w:cs="宋体"/>
                <w:bCs/>
                <w:color w:val="auto"/>
                <w:sz w:val="24"/>
                <w:highlight w:val="none"/>
                <w:lang w:val="en-US" w:eastAsia="zh-CN"/>
              </w:rPr>
              <w:t>单价之和</w:t>
            </w:r>
            <w:r>
              <w:rPr>
                <w:rFonts w:hint="eastAsia" w:ascii="宋体" w:hAnsi="宋体" w:cs="宋体"/>
                <w:bCs/>
                <w:color w:val="auto"/>
                <w:sz w:val="24"/>
                <w:highlight w:val="none"/>
                <w:lang w:val="en-US" w:eastAsia="zh-CN"/>
              </w:rPr>
              <w:t>应等于该品类</w:t>
            </w:r>
            <w:r>
              <w:rPr>
                <w:rFonts w:hint="eastAsia" w:ascii="宋体" w:hAnsi="宋体" w:eastAsia="宋体" w:cs="宋体"/>
                <w:bCs/>
                <w:color w:val="auto"/>
                <w:sz w:val="24"/>
                <w:highlight w:val="none"/>
                <w:lang w:val="en-US" w:eastAsia="zh-CN"/>
              </w:rPr>
              <w:t>单项报价</w:t>
            </w:r>
            <w:r>
              <w:rPr>
                <w:rFonts w:hint="eastAsia" w:ascii="宋体" w:hAnsi="宋体" w:cs="宋体"/>
                <w:bCs/>
                <w:color w:val="auto"/>
                <w:sz w:val="24"/>
                <w:highlight w:val="none"/>
                <w:lang w:eastAsia="zh-CN"/>
              </w:rPr>
              <w:t>）</w:t>
            </w:r>
          </w:p>
        </w:tc>
        <w:tc>
          <w:tcPr>
            <w:tcW w:w="3732" w:type="dxa"/>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4787"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val="en-US" w:eastAsia="zh-CN"/>
              </w:rPr>
              <w:t>(大写)</w:t>
            </w:r>
          </w:p>
        </w:tc>
        <w:tc>
          <w:tcPr>
            <w:tcW w:w="3732" w:type="dxa"/>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spacing w:line="360" w:lineRule="auto"/>
        <w:ind w:firstLine="235" w:firstLineChars="98"/>
        <w:rPr>
          <w:rFonts w:hint="eastAsia" w:ascii="宋体" w:hAnsi="宋体" w:cs="宋体"/>
          <w:bCs/>
          <w:color w:val="auto"/>
          <w:sz w:val="24"/>
          <w:highlight w:val="none"/>
        </w:rPr>
      </w:pPr>
    </w:p>
    <w:p>
      <w:pPr>
        <w:spacing w:line="360" w:lineRule="auto"/>
        <w:ind w:firstLine="235" w:firstLineChars="98"/>
        <w:rPr>
          <w:rFonts w:hint="eastAsia" w:ascii="宋体" w:hAnsi="宋体" w:cs="宋体"/>
          <w:bCs/>
          <w:color w:val="auto"/>
          <w:sz w:val="24"/>
          <w:highlight w:val="none"/>
        </w:rPr>
      </w:pPr>
      <w:r>
        <w:rPr>
          <w:rFonts w:hint="eastAsia" w:ascii="宋体" w:hAnsi="宋体" w:cs="宋体"/>
          <w:bCs/>
          <w:color w:val="auto"/>
          <w:sz w:val="24"/>
          <w:highlight w:val="none"/>
        </w:rPr>
        <w:t>（2）10kV干式变压器质量检测项目价格</w:t>
      </w:r>
    </w:p>
    <w:tbl>
      <w:tblPr>
        <w:tblStyle w:val="14"/>
        <w:tblW w:w="4998" w:type="pct"/>
        <w:jc w:val="center"/>
        <w:tblLayout w:type="autofit"/>
        <w:tblCellMar>
          <w:top w:w="0" w:type="dxa"/>
          <w:left w:w="108" w:type="dxa"/>
          <w:bottom w:w="0" w:type="dxa"/>
          <w:right w:w="108" w:type="dxa"/>
        </w:tblCellMar>
      </w:tblPr>
      <w:tblGrid>
        <w:gridCol w:w="1116"/>
        <w:gridCol w:w="3684"/>
        <w:gridCol w:w="2284"/>
        <w:gridCol w:w="1435"/>
      </w:tblGrid>
      <w:tr>
        <w:tblPrEx>
          <w:tblCellMar>
            <w:top w:w="0" w:type="dxa"/>
            <w:left w:w="108" w:type="dxa"/>
            <w:bottom w:w="0" w:type="dxa"/>
            <w:right w:w="108" w:type="dxa"/>
          </w:tblCellMar>
        </w:tblPrEx>
        <w:trPr>
          <w:trHeight w:val="340" w:hRule="atLeast"/>
          <w:jc w:val="center"/>
        </w:trPr>
        <w:tc>
          <w:tcPr>
            <w:tcW w:w="655" w:type="pct"/>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62" w:type="pct"/>
            <w:tcBorders>
              <w:top w:val="single" w:color="auto" w:sz="8" w:space="0"/>
              <w:left w:val="nil"/>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40"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42"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655"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162"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外观检查</w:t>
            </w:r>
          </w:p>
        </w:tc>
        <w:tc>
          <w:tcPr>
            <w:tcW w:w="1340"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162"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绝缘电阻测量</w:t>
            </w:r>
          </w:p>
        </w:tc>
        <w:tc>
          <w:tcPr>
            <w:tcW w:w="1340"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162"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绕组直流电阻测量</w:t>
            </w:r>
          </w:p>
        </w:tc>
        <w:tc>
          <w:tcPr>
            <w:tcW w:w="1340"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nil"/>
              <w:left w:val="single" w:color="auto" w:sz="8" w:space="0"/>
              <w:bottom w:val="single" w:color="auto" w:sz="4"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162" w:type="pct"/>
            <w:tcBorders>
              <w:top w:val="nil"/>
              <w:left w:val="nil"/>
              <w:bottom w:val="single" w:color="auto" w:sz="4" w:space="0"/>
              <w:right w:val="single" w:color="auto" w:sz="8"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电压比测量和联结组标号检定</w:t>
            </w:r>
          </w:p>
        </w:tc>
        <w:tc>
          <w:tcPr>
            <w:tcW w:w="1340" w:type="pct"/>
            <w:tcBorders>
              <w:top w:val="nil"/>
              <w:left w:val="nil"/>
              <w:bottom w:val="single" w:color="auto" w:sz="4"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nil"/>
              <w:left w:val="nil"/>
              <w:bottom w:val="single" w:color="auto" w:sz="4"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1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外施耐压试验</w:t>
            </w:r>
          </w:p>
        </w:tc>
        <w:tc>
          <w:tcPr>
            <w:tcW w:w="134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1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空载电流和空载损耗测量</w:t>
            </w:r>
          </w:p>
        </w:tc>
        <w:tc>
          <w:tcPr>
            <w:tcW w:w="134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21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短路阻抗和负载损耗测量</w:t>
            </w:r>
          </w:p>
        </w:tc>
        <w:tc>
          <w:tcPr>
            <w:tcW w:w="134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21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感应电压试验</w:t>
            </w:r>
          </w:p>
        </w:tc>
        <w:tc>
          <w:tcPr>
            <w:tcW w:w="134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2817"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82"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340" w:hRule="atLeast"/>
          <w:jc w:val="center"/>
        </w:trPr>
        <w:tc>
          <w:tcPr>
            <w:tcW w:w="2817"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182"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spacing w:line="360" w:lineRule="auto"/>
        <w:ind w:firstLine="235" w:firstLineChars="98"/>
        <w:rPr>
          <w:rFonts w:hint="eastAsia" w:ascii="宋体" w:hAnsi="宋体" w:cs="宋体"/>
          <w:bCs/>
          <w:color w:val="auto"/>
          <w:sz w:val="24"/>
          <w:highlight w:val="none"/>
        </w:rPr>
      </w:pPr>
    </w:p>
    <w:p>
      <w:pPr>
        <w:spacing w:line="360" w:lineRule="auto"/>
        <w:ind w:firstLine="235" w:firstLineChars="98"/>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）20kV干式变压器质量检测项目价格</w:t>
      </w:r>
    </w:p>
    <w:tbl>
      <w:tblPr>
        <w:tblStyle w:val="14"/>
        <w:tblW w:w="4998" w:type="pct"/>
        <w:jc w:val="center"/>
        <w:tblLayout w:type="autofit"/>
        <w:tblCellMar>
          <w:top w:w="0" w:type="dxa"/>
          <w:left w:w="108" w:type="dxa"/>
          <w:bottom w:w="0" w:type="dxa"/>
          <w:right w:w="108" w:type="dxa"/>
        </w:tblCellMar>
      </w:tblPr>
      <w:tblGrid>
        <w:gridCol w:w="1145"/>
        <w:gridCol w:w="3633"/>
        <w:gridCol w:w="2309"/>
        <w:gridCol w:w="1432"/>
      </w:tblGrid>
      <w:tr>
        <w:tblPrEx>
          <w:tblCellMar>
            <w:top w:w="0" w:type="dxa"/>
            <w:left w:w="108" w:type="dxa"/>
            <w:bottom w:w="0" w:type="dxa"/>
            <w:right w:w="108" w:type="dxa"/>
          </w:tblCellMar>
        </w:tblPrEx>
        <w:trPr>
          <w:trHeight w:val="340" w:hRule="atLeast"/>
          <w:jc w:val="center"/>
        </w:trPr>
        <w:tc>
          <w:tcPr>
            <w:tcW w:w="672" w:type="pct"/>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31" w:type="pct"/>
            <w:tcBorders>
              <w:top w:val="single" w:color="auto" w:sz="8" w:space="0"/>
              <w:left w:val="nil"/>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55"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39"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672"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13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外观检查</w:t>
            </w:r>
          </w:p>
        </w:tc>
        <w:tc>
          <w:tcPr>
            <w:tcW w:w="1355"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9"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72"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13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通电检查</w:t>
            </w:r>
          </w:p>
        </w:tc>
        <w:tc>
          <w:tcPr>
            <w:tcW w:w="1355"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9"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72"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13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关键材料检测</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绕组</w:t>
            </w:r>
          </w:p>
        </w:tc>
        <w:tc>
          <w:tcPr>
            <w:tcW w:w="1355"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9"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72"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13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绝缘电阻测量</w:t>
            </w:r>
          </w:p>
        </w:tc>
        <w:tc>
          <w:tcPr>
            <w:tcW w:w="1355"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9"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72" w:type="pct"/>
            <w:tcBorders>
              <w:top w:val="nil"/>
              <w:left w:val="single" w:color="auto" w:sz="8" w:space="0"/>
              <w:bottom w:val="single" w:color="auto" w:sz="4"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131"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绕组直流电阻测量</w:t>
            </w:r>
          </w:p>
        </w:tc>
        <w:tc>
          <w:tcPr>
            <w:tcW w:w="1355"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9"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72"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1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电压比测量和联结组标号检定</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804"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95"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804"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195"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spacing w:line="360" w:lineRule="auto"/>
        <w:ind w:firstLine="235" w:firstLineChars="98"/>
        <w:rPr>
          <w:rFonts w:hint="eastAsia" w:ascii="宋体" w:hAnsi="宋体" w:cs="宋体"/>
          <w:bCs/>
          <w:color w:val="auto"/>
          <w:sz w:val="24"/>
          <w:highlight w:val="none"/>
        </w:rPr>
      </w:pPr>
    </w:p>
    <w:p>
      <w:pPr>
        <w:spacing w:line="360" w:lineRule="auto"/>
        <w:ind w:firstLine="235" w:firstLineChars="98"/>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）10kV高压开关柜质量检测项目</w:t>
      </w:r>
    </w:p>
    <w:tbl>
      <w:tblPr>
        <w:tblStyle w:val="14"/>
        <w:tblW w:w="4998" w:type="pct"/>
        <w:tblInd w:w="0" w:type="dxa"/>
        <w:tblLayout w:type="autofit"/>
        <w:tblCellMar>
          <w:top w:w="0" w:type="dxa"/>
          <w:left w:w="108" w:type="dxa"/>
          <w:bottom w:w="0" w:type="dxa"/>
          <w:right w:w="108" w:type="dxa"/>
        </w:tblCellMar>
      </w:tblPr>
      <w:tblGrid>
        <w:gridCol w:w="1101"/>
        <w:gridCol w:w="3686"/>
        <w:gridCol w:w="2282"/>
        <w:gridCol w:w="1450"/>
      </w:tblGrid>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163"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3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51"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主回路电阻测量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机械操作试验</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机械特性试验</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“五防”试验</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接地金属部件的接地连续性试验</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7</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防护等级验证</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8</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辅助和控制回路工频耐压试验</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9</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主回路工频耐压试验</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10</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触头镀银层厚度检查</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80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9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80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19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spacing w:line="360" w:lineRule="auto"/>
        <w:ind w:firstLine="235" w:firstLineChars="98"/>
        <w:rPr>
          <w:rFonts w:hint="eastAsia" w:ascii="宋体" w:hAnsi="宋体" w:cs="宋体"/>
          <w:bCs/>
          <w:color w:val="auto"/>
          <w:sz w:val="24"/>
          <w:highlight w:val="none"/>
        </w:rPr>
      </w:pPr>
    </w:p>
    <w:p>
      <w:pPr>
        <w:spacing w:line="360" w:lineRule="auto"/>
        <w:ind w:firstLine="235" w:firstLineChars="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）20kV移开式开关柜质量检测项目</w:t>
      </w:r>
    </w:p>
    <w:tbl>
      <w:tblPr>
        <w:tblStyle w:val="14"/>
        <w:tblW w:w="4998" w:type="pct"/>
        <w:jc w:val="center"/>
        <w:tblLayout w:type="autofit"/>
        <w:tblCellMar>
          <w:top w:w="0" w:type="dxa"/>
          <w:left w:w="108" w:type="dxa"/>
          <w:bottom w:w="0" w:type="dxa"/>
          <w:right w:w="108" w:type="dxa"/>
        </w:tblCellMar>
      </w:tblPr>
      <w:tblGrid>
        <w:gridCol w:w="1083"/>
        <w:gridCol w:w="3695"/>
        <w:gridCol w:w="2294"/>
        <w:gridCol w:w="1447"/>
      </w:tblGrid>
      <w:tr>
        <w:tblPrEx>
          <w:tblCellMar>
            <w:top w:w="0" w:type="dxa"/>
            <w:left w:w="108" w:type="dxa"/>
            <w:bottom w:w="0" w:type="dxa"/>
            <w:right w:w="108" w:type="dxa"/>
          </w:tblCellMar>
        </w:tblPrEx>
        <w:trPr>
          <w:trHeight w:val="340" w:hRule="atLeast"/>
          <w:jc w:val="center"/>
        </w:trPr>
        <w:tc>
          <w:tcPr>
            <w:tcW w:w="636" w:type="pct"/>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67" w:type="pct"/>
            <w:tcBorders>
              <w:top w:val="single" w:color="auto" w:sz="8" w:space="0"/>
              <w:left w:val="nil"/>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46"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48"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636"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167"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外观检查</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167"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主回路电阻测量</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167"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机械操作试验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167"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机械特性试验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nil"/>
              <w:left w:val="single" w:color="auto" w:sz="8" w:space="0"/>
              <w:bottom w:val="single" w:color="auto" w:sz="4"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167"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五防</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试验</w:t>
            </w:r>
          </w:p>
        </w:tc>
        <w:tc>
          <w:tcPr>
            <w:tcW w:w="1346"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848"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167"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接地金属部件的接地连续性试验</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2167"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防护等级验证</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2167"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辅助和控制回路工频耐压试验</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9</w:t>
            </w:r>
          </w:p>
        </w:tc>
        <w:tc>
          <w:tcPr>
            <w:tcW w:w="2167"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主回路工频耐压试验</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804"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95"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804"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195"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）10kV组合式变电站（美式）</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18"/>
        <w:gridCol w:w="3669"/>
        <w:gridCol w:w="2282"/>
        <w:gridCol w:w="1450"/>
      </w:tblGrid>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153"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3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51"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绕组对地绝缘电阻测量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直流电阻不平衡率测量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电压比测量和联结组标号检定</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外施耐压试验</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空载电流和空载损耗测量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7</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短路阻抗和负载损耗测量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8</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机械操作试验</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9</w:t>
            </w:r>
          </w:p>
        </w:tc>
        <w:tc>
          <w:tcPr>
            <w:tcW w:w="21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防护等级检查</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80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9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80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19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7</w:t>
      </w:r>
      <w:r>
        <w:rPr>
          <w:rFonts w:hint="eastAsia" w:ascii="宋体" w:hAnsi="宋体" w:eastAsia="宋体" w:cs="宋体"/>
          <w:bCs/>
          <w:color w:val="auto"/>
          <w:sz w:val="24"/>
          <w:highlight w:val="none"/>
        </w:rPr>
        <w:t>）10kV预装式变电站（欧式、紧凑式)</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18"/>
        <w:gridCol w:w="3669"/>
        <w:gridCol w:w="2299"/>
        <w:gridCol w:w="1433"/>
      </w:tblGrid>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153"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4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41"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功能试验</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绕组对地绝缘电阻测量</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直流电阻不平衡率测量</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电压比测量和联接组标号检定</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外施耐压试验</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7</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空载电流和空载损耗测量</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8</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短路阻抗和负载损耗测量</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9</w:t>
            </w:r>
          </w:p>
        </w:tc>
        <w:tc>
          <w:tcPr>
            <w:tcW w:w="21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相位及接线正确性检查</w:t>
            </w:r>
          </w:p>
        </w:tc>
        <w:tc>
          <w:tcPr>
            <w:tcW w:w="134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10</w:t>
            </w:r>
          </w:p>
        </w:tc>
        <w:tc>
          <w:tcPr>
            <w:tcW w:w="21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接地连续性试验</w:t>
            </w:r>
          </w:p>
        </w:tc>
        <w:tc>
          <w:tcPr>
            <w:tcW w:w="134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11</w:t>
            </w:r>
          </w:p>
        </w:tc>
        <w:tc>
          <w:tcPr>
            <w:tcW w:w="21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辅助和控制回路的绝缘试验</w:t>
            </w:r>
          </w:p>
        </w:tc>
        <w:tc>
          <w:tcPr>
            <w:tcW w:w="134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12</w:t>
            </w:r>
          </w:p>
        </w:tc>
        <w:tc>
          <w:tcPr>
            <w:tcW w:w="21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IP</w:t>
            </w:r>
            <w:r>
              <w:rPr>
                <w:rStyle w:val="21"/>
                <w:rFonts w:hint="default"/>
                <w:color w:val="auto"/>
                <w:highlight w:val="none"/>
                <w:lang w:bidi="ar"/>
              </w:rPr>
              <w:t>防护等级检验</w:t>
            </w:r>
          </w:p>
        </w:tc>
        <w:tc>
          <w:tcPr>
            <w:tcW w:w="134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13</w:t>
            </w:r>
          </w:p>
        </w:tc>
        <w:tc>
          <w:tcPr>
            <w:tcW w:w="21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主回路的绝缘试验</w:t>
            </w:r>
          </w:p>
        </w:tc>
        <w:tc>
          <w:tcPr>
            <w:tcW w:w="134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80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9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80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19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8</w:t>
      </w:r>
      <w:r>
        <w:rPr>
          <w:rFonts w:hint="eastAsia" w:ascii="宋体" w:hAnsi="宋体" w:eastAsia="宋体" w:cs="宋体"/>
          <w:bCs/>
          <w:color w:val="auto"/>
          <w:sz w:val="24"/>
          <w:highlight w:val="none"/>
        </w:rPr>
        <w:t>）20kV预装式变电站</w:t>
      </w:r>
      <w:r>
        <w:rPr>
          <w:rFonts w:hint="eastAsia" w:ascii="宋体" w:hAnsi="宋体" w:cs="宋体"/>
          <w:bCs/>
          <w:color w:val="auto"/>
          <w:sz w:val="24"/>
          <w:highlight w:val="none"/>
        </w:rPr>
        <w:t>质量检测项目</w:t>
      </w:r>
    </w:p>
    <w:tbl>
      <w:tblPr>
        <w:tblStyle w:val="14"/>
        <w:tblW w:w="4998" w:type="pct"/>
        <w:jc w:val="center"/>
        <w:tblLayout w:type="autofit"/>
        <w:tblCellMar>
          <w:top w:w="0" w:type="dxa"/>
          <w:left w:w="108" w:type="dxa"/>
          <w:bottom w:w="0" w:type="dxa"/>
          <w:right w:w="108" w:type="dxa"/>
        </w:tblCellMar>
      </w:tblPr>
      <w:tblGrid>
        <w:gridCol w:w="869"/>
        <w:gridCol w:w="3925"/>
        <w:gridCol w:w="2309"/>
        <w:gridCol w:w="1416"/>
      </w:tblGrid>
      <w:tr>
        <w:tblPrEx>
          <w:tblCellMar>
            <w:top w:w="0" w:type="dxa"/>
            <w:left w:w="108" w:type="dxa"/>
            <w:bottom w:w="0" w:type="dxa"/>
            <w:right w:w="108" w:type="dxa"/>
          </w:tblCellMar>
        </w:tblPrEx>
        <w:trPr>
          <w:trHeight w:val="340" w:hRule="atLeast"/>
          <w:jc w:val="center"/>
        </w:trPr>
        <w:tc>
          <w:tcPr>
            <w:tcW w:w="510" w:type="pct"/>
            <w:tcBorders>
              <w:top w:val="single" w:color="auto" w:sz="8" w:space="0"/>
              <w:left w:val="single" w:color="auto" w:sz="8" w:space="0"/>
              <w:bottom w:val="single" w:color="auto" w:sz="4"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303" w:type="pct"/>
            <w:tcBorders>
              <w:top w:val="single" w:color="auto" w:sz="8" w:space="0"/>
              <w:left w:val="nil"/>
              <w:bottom w:val="single" w:color="auto" w:sz="4"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55" w:type="pct"/>
            <w:tcBorders>
              <w:top w:val="single" w:color="auto" w:sz="8" w:space="0"/>
              <w:left w:val="nil"/>
              <w:bottom w:val="single" w:color="auto" w:sz="4" w:space="0"/>
              <w:right w:val="single" w:color="auto" w:sz="8" w:space="0"/>
            </w:tcBorders>
            <w:vAlign w:val="center"/>
          </w:tcPr>
          <w:p>
            <w:pPr>
              <w:widowControl/>
              <w:jc w:val="center"/>
              <w:rPr>
                <w:rFonts w:hint="eastAsia" w:ascii="宋体" w:hAnsi="宋体" w:cs="宋体"/>
                <w:bCs/>
                <w:color w:val="auto"/>
                <w:sz w:val="24"/>
                <w:highlight w:val="none"/>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31" w:type="pct"/>
            <w:tcBorders>
              <w:top w:val="single" w:color="auto" w:sz="8" w:space="0"/>
              <w:left w:val="nil"/>
              <w:bottom w:val="single" w:color="auto" w:sz="4" w:space="0"/>
              <w:right w:val="single" w:color="auto" w:sz="8" w:space="0"/>
            </w:tcBorders>
            <w:vAlign w:val="center"/>
          </w:tcPr>
          <w:p>
            <w:pPr>
              <w:widowControl/>
              <w:jc w:val="center"/>
              <w:rPr>
                <w:rFonts w:hint="eastAsia" w:ascii="宋体" w:hAnsi="宋体" w:cs="宋体"/>
                <w:bCs/>
                <w:color w:val="auto"/>
                <w:sz w:val="24"/>
                <w:highlight w:val="none"/>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功能试验</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接地连续性试验</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IP</w:t>
            </w:r>
            <w:r>
              <w:rPr>
                <w:rFonts w:hint="eastAsia" w:ascii="宋体" w:hAnsi="宋体" w:eastAsia="宋体" w:cs="宋体"/>
                <w:i w:val="0"/>
                <w:iCs w:val="0"/>
                <w:color w:val="auto"/>
                <w:kern w:val="0"/>
                <w:sz w:val="24"/>
                <w:szCs w:val="24"/>
                <w:highlight w:val="none"/>
                <w:u w:val="none"/>
                <w:lang w:val="en-US" w:eastAsia="zh-CN" w:bidi="ar"/>
              </w:rPr>
              <w:t>防护等级检验</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高压开关主回路工频耐压试验</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外观检查</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绕组对地绝缘电阻测量</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关键材料检测</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绕组（针对干变）</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关键材料检测</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油箱（针对油变）</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直流电阻不平衡率测量</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电压比测量和联结组标号检定</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外施耐压试验</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空载电流和空载损耗测量</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短路阻抗和负载损耗测量</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感应电压试验</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813"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86"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813"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186"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（9）10kV避雷器</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34"/>
        <w:gridCol w:w="3465"/>
        <w:gridCol w:w="2279"/>
        <w:gridCol w:w="1641"/>
      </w:tblGrid>
      <w:tr>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033"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37"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62"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03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直流参考电压试验</w:t>
            </w:r>
          </w:p>
        </w:tc>
        <w:tc>
          <w:tcPr>
            <w:tcW w:w="1337"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03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0.75倍直流参考电压下泄漏电流试验</w:t>
            </w:r>
          </w:p>
        </w:tc>
        <w:tc>
          <w:tcPr>
            <w:tcW w:w="1337"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03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统一爬电比距检查</w:t>
            </w:r>
          </w:p>
        </w:tc>
        <w:tc>
          <w:tcPr>
            <w:tcW w:w="1337"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03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37"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03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持续电流试验</w:t>
            </w:r>
          </w:p>
        </w:tc>
        <w:tc>
          <w:tcPr>
            <w:tcW w:w="1337"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highlight w:val="none"/>
              </w:rPr>
              <w:t>6</w:t>
            </w:r>
          </w:p>
        </w:tc>
        <w:tc>
          <w:tcPr>
            <w:tcW w:w="203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工频参考电压试验</w:t>
            </w:r>
          </w:p>
        </w:tc>
        <w:tc>
          <w:tcPr>
            <w:tcW w:w="1337"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7</w:t>
            </w:r>
          </w:p>
        </w:tc>
        <w:tc>
          <w:tcPr>
            <w:tcW w:w="203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密封试验</w:t>
            </w:r>
          </w:p>
        </w:tc>
        <w:tc>
          <w:tcPr>
            <w:tcW w:w="1337"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69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69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numPr>
          <w:ilvl w:val="0"/>
          <w:numId w:val="0"/>
        </w:numP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10</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线路避雷器</w:t>
      </w:r>
      <w:r>
        <w:rPr>
          <w:rFonts w:hint="eastAsia" w:ascii="宋体" w:hAnsi="宋体" w:cs="宋体"/>
          <w:bCs/>
          <w:color w:val="auto"/>
          <w:sz w:val="24"/>
          <w:highlight w:val="none"/>
        </w:rPr>
        <w:t>质量检测项目</w:t>
      </w:r>
    </w:p>
    <w:tbl>
      <w:tblPr>
        <w:tblStyle w:val="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8"/>
        <w:gridCol w:w="3466"/>
        <w:gridCol w:w="2294"/>
        <w:gridCol w:w="1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56" w:type="pct"/>
            <w:vAlign w:val="center"/>
          </w:tcPr>
          <w:p>
            <w:pPr>
              <w:widowControl/>
              <w:spacing w:line="240" w:lineRule="exact"/>
              <w:jc w:val="center"/>
              <w:rPr>
                <w:bCs/>
                <w:color w:val="auto"/>
                <w:kern w:val="0"/>
                <w:sz w:val="24"/>
                <w:highlight w:val="none"/>
              </w:rPr>
            </w:pPr>
            <w:r>
              <w:rPr>
                <w:bCs/>
                <w:color w:val="auto"/>
                <w:kern w:val="0"/>
                <w:sz w:val="24"/>
                <w:highlight w:val="none"/>
              </w:rPr>
              <w:t>序号</w:t>
            </w:r>
          </w:p>
        </w:tc>
        <w:tc>
          <w:tcPr>
            <w:tcW w:w="2034" w:type="pct"/>
            <w:vAlign w:val="center"/>
          </w:tcPr>
          <w:p>
            <w:pPr>
              <w:widowControl/>
              <w:spacing w:line="240" w:lineRule="exact"/>
              <w:jc w:val="center"/>
              <w:rPr>
                <w:bCs/>
                <w:color w:val="auto"/>
                <w:kern w:val="0"/>
                <w:sz w:val="24"/>
                <w:highlight w:val="none"/>
              </w:rPr>
            </w:pPr>
            <w:r>
              <w:rPr>
                <w:rFonts w:hint="eastAsia" w:ascii="宋体" w:hAnsi="宋体" w:cs="宋体"/>
                <w:bCs/>
                <w:color w:val="auto"/>
                <w:kern w:val="0"/>
                <w:sz w:val="24"/>
                <w:highlight w:val="none"/>
              </w:rPr>
              <w:t>试验项目</w:t>
            </w:r>
          </w:p>
        </w:tc>
        <w:tc>
          <w:tcPr>
            <w:tcW w:w="1346"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62"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ascii="Times New Roman" w:hAnsi="Times New Roman" w:cs="Times New Roman"/>
                <w:b w:val="0"/>
                <w:color w:val="auto"/>
                <w:sz w:val="24"/>
                <w:szCs w:val="24"/>
                <w:highlight w:val="none"/>
              </w:rPr>
              <w:t>1</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外观检查</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ascii="Times New Roman" w:hAnsi="Times New Roman" w:cs="Times New Roman"/>
                <w:b w:val="0"/>
                <w:color w:val="auto"/>
                <w:sz w:val="24"/>
                <w:szCs w:val="24"/>
                <w:highlight w:val="none"/>
              </w:rPr>
              <w:t>2</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工频参考电压试验</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ascii="Times New Roman" w:hAnsi="Times New Roman" w:cs="Times New Roman"/>
                <w:b w:val="0"/>
                <w:color w:val="auto"/>
                <w:sz w:val="24"/>
                <w:szCs w:val="24"/>
                <w:highlight w:val="none"/>
              </w:rPr>
              <w:t>3</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绝缘电阻测量</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ascii="Times New Roman" w:hAnsi="Times New Roman" w:cs="Times New Roman"/>
                <w:b w:val="0"/>
                <w:color w:val="auto"/>
                <w:sz w:val="24"/>
                <w:szCs w:val="24"/>
                <w:highlight w:val="none"/>
              </w:rPr>
              <w:t>4</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直流参考电压试验</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ascii="Times New Roman" w:hAnsi="Times New Roman" w:cs="Times New Roman"/>
                <w:b w:val="0"/>
                <w:color w:val="auto"/>
                <w:sz w:val="24"/>
                <w:szCs w:val="24"/>
                <w:highlight w:val="none"/>
              </w:rPr>
              <w:t>5</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0.75倍直流参考电压下漏电流试验</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hint="eastAsia" w:ascii="Times New Roman" w:hAnsi="Times New Roman" w:cs="Times New Roman"/>
                <w:b w:val="0"/>
                <w:color w:val="auto"/>
                <w:sz w:val="24"/>
                <w:szCs w:val="24"/>
                <w:highlight w:val="none"/>
              </w:rPr>
              <w:t>6</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持续电流试验</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hint="eastAsia" w:ascii="Times New Roman" w:hAnsi="Times New Roman" w:cs="Times New Roman"/>
                <w:b w:val="0"/>
                <w:color w:val="auto"/>
                <w:sz w:val="24"/>
                <w:szCs w:val="24"/>
                <w:highlight w:val="none"/>
              </w:rPr>
              <w:t>7</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间隙距离测量</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2690"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9"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2690"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9"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numPr>
          <w:ilvl w:val="0"/>
          <w:numId w:val="0"/>
        </w:numPr>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11</w:t>
      </w:r>
      <w:r>
        <w:rPr>
          <w:rFonts w:hint="eastAsia" w:ascii="宋体" w:hAnsi="宋体" w:eastAsia="宋体" w:cs="宋体"/>
          <w:bCs/>
          <w:color w:val="auto"/>
          <w:sz w:val="24"/>
          <w:highlight w:val="none"/>
        </w:rPr>
        <w:t>）10kV跌落式熔断器</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86"/>
        <w:gridCol w:w="3400"/>
        <w:gridCol w:w="2299"/>
        <w:gridCol w:w="1634"/>
      </w:tblGrid>
      <w:tr>
        <w:tblPrEx>
          <w:tblCellMar>
            <w:top w:w="0" w:type="dxa"/>
            <w:left w:w="108" w:type="dxa"/>
            <w:bottom w:w="0" w:type="dxa"/>
            <w:right w:w="108" w:type="dxa"/>
          </w:tblCellMar>
        </w:tblPrEx>
        <w:trPr>
          <w:trHeight w:val="454" w:hRule="atLeast"/>
        </w:trPr>
        <w:tc>
          <w:tcPr>
            <w:tcW w:w="69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1995"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34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5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9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1995"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外观及尺寸检查</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5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9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1995"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主回路电阻测试</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5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9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1995"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主回路1min工频耐压试验</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5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9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1995"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载熔件的跌落试验</w:t>
            </w:r>
          </w:p>
        </w:tc>
        <w:tc>
          <w:tcPr>
            <w:tcW w:w="134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5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69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69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12</w:t>
      </w:r>
      <w:r>
        <w:rPr>
          <w:rFonts w:hint="eastAsia" w:ascii="宋体" w:hAnsi="宋体" w:eastAsia="宋体" w:cs="宋体"/>
          <w:bCs/>
          <w:color w:val="auto"/>
          <w:sz w:val="24"/>
          <w:highlight w:val="none"/>
        </w:rPr>
        <w:t>）10kV户外隔离开关</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61"/>
        <w:gridCol w:w="3441"/>
        <w:gridCol w:w="2267"/>
        <w:gridCol w:w="1650"/>
      </w:tblGrid>
      <w:tr>
        <w:tblPrEx>
          <w:tblCellMar>
            <w:top w:w="0" w:type="dxa"/>
            <w:left w:w="108" w:type="dxa"/>
            <w:bottom w:w="0" w:type="dxa"/>
            <w:right w:w="108" w:type="dxa"/>
          </w:tblCellMar>
        </w:tblPrEx>
        <w:trPr>
          <w:trHeight w:val="454" w:hRule="atLeast"/>
        </w:trPr>
        <w:tc>
          <w:tcPr>
            <w:tcW w:w="68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1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330"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6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82"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外观检查</w:t>
            </w:r>
          </w:p>
        </w:tc>
        <w:tc>
          <w:tcPr>
            <w:tcW w:w="133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82"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主回路电阻测量</w:t>
            </w:r>
          </w:p>
        </w:tc>
        <w:tc>
          <w:tcPr>
            <w:tcW w:w="133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8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01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工频耐压试验</w:t>
            </w:r>
          </w:p>
        </w:tc>
        <w:tc>
          <w:tcPr>
            <w:tcW w:w="133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70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29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70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29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default"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13</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20kV隔离开关</w:t>
      </w:r>
      <w:r>
        <w:rPr>
          <w:rFonts w:hint="eastAsia" w:ascii="宋体" w:hAnsi="宋体" w:cs="宋体"/>
          <w:bCs/>
          <w:color w:val="auto"/>
          <w:sz w:val="24"/>
          <w:highlight w:val="none"/>
        </w:rPr>
        <w:t>质量检测项目</w:t>
      </w:r>
    </w:p>
    <w:tbl>
      <w:tblPr>
        <w:tblStyle w:val="14"/>
        <w:tblW w:w="4998" w:type="pct"/>
        <w:jc w:val="center"/>
        <w:tblLayout w:type="autofit"/>
        <w:tblCellMar>
          <w:top w:w="0" w:type="dxa"/>
          <w:left w:w="108" w:type="dxa"/>
          <w:bottom w:w="0" w:type="dxa"/>
          <w:right w:w="108" w:type="dxa"/>
        </w:tblCellMar>
      </w:tblPr>
      <w:tblGrid>
        <w:gridCol w:w="869"/>
        <w:gridCol w:w="3729"/>
        <w:gridCol w:w="2234"/>
        <w:gridCol w:w="1687"/>
      </w:tblGrid>
      <w:tr>
        <w:tblPrEx>
          <w:tblCellMar>
            <w:top w:w="0" w:type="dxa"/>
            <w:left w:w="108" w:type="dxa"/>
            <w:bottom w:w="0" w:type="dxa"/>
            <w:right w:w="108" w:type="dxa"/>
          </w:tblCellMar>
        </w:tblPrEx>
        <w:trPr>
          <w:trHeight w:val="340" w:hRule="atLeast"/>
          <w:jc w:val="center"/>
        </w:trPr>
        <w:tc>
          <w:tcPr>
            <w:tcW w:w="510" w:type="pct"/>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88" w:type="pct"/>
            <w:tcBorders>
              <w:top w:val="single" w:color="auto" w:sz="8" w:space="0"/>
              <w:left w:val="nil"/>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11"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cs="宋体"/>
                <w:bCs/>
                <w:color w:val="auto"/>
                <w:sz w:val="24"/>
                <w:highlight w:val="none"/>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89"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cs="宋体"/>
                <w:bCs/>
                <w:color w:val="auto"/>
                <w:sz w:val="24"/>
                <w:highlight w:val="none"/>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188"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外观检查</w:t>
            </w:r>
          </w:p>
        </w:tc>
        <w:tc>
          <w:tcPr>
            <w:tcW w:w="131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9"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4"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188"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主回路电阻测量</w:t>
            </w:r>
          </w:p>
        </w:tc>
        <w:tc>
          <w:tcPr>
            <w:tcW w:w="1311"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9"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工频耐压试验</w:t>
            </w:r>
          </w:p>
        </w:tc>
        <w:tc>
          <w:tcPr>
            <w:tcW w:w="131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9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1"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9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301"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lang w:val="en-US" w:eastAsia="zh-CN"/>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14</w:t>
      </w:r>
      <w:r>
        <w:rPr>
          <w:rFonts w:hint="eastAsia" w:ascii="宋体" w:hAnsi="宋体" w:eastAsia="宋体" w:cs="宋体"/>
          <w:bCs/>
          <w:color w:val="auto"/>
          <w:sz w:val="24"/>
          <w:highlight w:val="none"/>
        </w:rPr>
        <w:t>）10kV电缆分接箱</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61"/>
        <w:gridCol w:w="3441"/>
        <w:gridCol w:w="2267"/>
        <w:gridCol w:w="1650"/>
      </w:tblGrid>
      <w:tr>
        <w:tblPrEx>
          <w:tblCellMar>
            <w:top w:w="0" w:type="dxa"/>
            <w:left w:w="108" w:type="dxa"/>
            <w:bottom w:w="0" w:type="dxa"/>
            <w:right w:w="108" w:type="dxa"/>
          </w:tblCellMar>
        </w:tblPrEx>
        <w:trPr>
          <w:trHeight w:val="486" w:hRule="atLeast"/>
        </w:trPr>
        <w:tc>
          <w:tcPr>
            <w:tcW w:w="68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1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330"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6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86" w:hRule="atLeast"/>
        </w:trPr>
        <w:tc>
          <w:tcPr>
            <w:tcW w:w="682"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外观检查</w:t>
            </w:r>
          </w:p>
        </w:tc>
        <w:tc>
          <w:tcPr>
            <w:tcW w:w="133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86" w:hRule="atLeast"/>
        </w:trPr>
        <w:tc>
          <w:tcPr>
            <w:tcW w:w="682"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防护等级验证</w:t>
            </w:r>
          </w:p>
        </w:tc>
        <w:tc>
          <w:tcPr>
            <w:tcW w:w="133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86" w:hRule="atLeast"/>
        </w:trPr>
        <w:tc>
          <w:tcPr>
            <w:tcW w:w="682"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回路电阻测量</w:t>
            </w:r>
          </w:p>
        </w:tc>
        <w:tc>
          <w:tcPr>
            <w:tcW w:w="133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86" w:hRule="atLeast"/>
        </w:trPr>
        <w:tc>
          <w:tcPr>
            <w:tcW w:w="682"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工频耐压试验</w:t>
            </w:r>
          </w:p>
        </w:tc>
        <w:tc>
          <w:tcPr>
            <w:tcW w:w="133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86" w:hRule="atLeast"/>
        </w:trPr>
        <w:tc>
          <w:tcPr>
            <w:tcW w:w="6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01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接地金属部件的电气连续性试验</w:t>
            </w:r>
          </w:p>
        </w:tc>
        <w:tc>
          <w:tcPr>
            <w:tcW w:w="133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86" w:hRule="atLeast"/>
        </w:trPr>
        <w:tc>
          <w:tcPr>
            <w:tcW w:w="270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29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86" w:hRule="atLeast"/>
        </w:trPr>
        <w:tc>
          <w:tcPr>
            <w:tcW w:w="270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29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numPr>
          <w:ilvl w:val="0"/>
          <w:numId w:val="0"/>
        </w:numP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端子箱</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61"/>
        <w:gridCol w:w="3441"/>
        <w:gridCol w:w="2250"/>
        <w:gridCol w:w="1667"/>
      </w:tblGrid>
      <w:tr>
        <w:tblPrEx>
          <w:tblCellMar>
            <w:top w:w="0" w:type="dxa"/>
            <w:left w:w="108" w:type="dxa"/>
            <w:bottom w:w="0" w:type="dxa"/>
            <w:right w:w="108" w:type="dxa"/>
          </w:tblCellMar>
        </w:tblPrEx>
        <w:trPr>
          <w:trHeight w:val="464" w:hRule="atLeast"/>
        </w:trPr>
        <w:tc>
          <w:tcPr>
            <w:tcW w:w="68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1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项目</w:t>
            </w:r>
          </w:p>
        </w:tc>
        <w:tc>
          <w:tcPr>
            <w:tcW w:w="1320"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7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64" w:hRule="atLeast"/>
        </w:trPr>
        <w:tc>
          <w:tcPr>
            <w:tcW w:w="682" w:type="pct"/>
            <w:tcBorders>
              <w:top w:val="nil"/>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外观检查</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682" w:type="pct"/>
            <w:tcBorders>
              <w:top w:val="nil"/>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设计和结构检查</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682" w:type="pct"/>
            <w:tcBorders>
              <w:top w:val="nil"/>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材质检查</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682" w:type="pct"/>
            <w:tcBorders>
              <w:top w:val="nil"/>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介电性能验证</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682" w:type="pct"/>
            <w:tcBorders>
              <w:top w:val="nil"/>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电气间隙测量</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682" w:type="pct"/>
            <w:tcBorders>
              <w:top w:val="nil"/>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爬电距离测量</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6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201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外壳的防护等级（仅第一位数字）</w:t>
            </w:r>
          </w:p>
        </w:tc>
        <w:tc>
          <w:tcPr>
            <w:tcW w:w="132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270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29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64" w:hRule="atLeast"/>
        </w:trPr>
        <w:tc>
          <w:tcPr>
            <w:tcW w:w="270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29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numPr>
          <w:ilvl w:val="0"/>
          <w:numId w:val="0"/>
        </w:numPr>
        <w:rPr>
          <w:rFonts w:hint="eastAsia"/>
        </w:rPr>
      </w:pPr>
    </w:p>
    <w:p>
      <w:pPr>
        <w:numPr>
          <w:ilvl w:val="0"/>
          <w:numId w:val="1"/>
        </w:num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配电箱</w:t>
      </w:r>
      <w:r>
        <w:rPr>
          <w:rFonts w:hint="eastAsia" w:ascii="宋体" w:hAnsi="宋体" w:cs="宋体"/>
          <w:bCs/>
          <w:color w:val="auto"/>
          <w:sz w:val="24"/>
          <w:highlight w:val="none"/>
        </w:rPr>
        <w:t>质量检测项目</w:t>
      </w:r>
    </w:p>
    <w:tbl>
      <w:tblPr>
        <w:tblStyle w:val="14"/>
        <w:tblpPr w:leftFromText="180" w:rightFromText="180" w:vertAnchor="text" w:horzAnchor="margin" w:tblpXSpec="center" w:tblpY="160"/>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6"/>
        <w:gridCol w:w="3434"/>
        <w:gridCol w:w="2234"/>
        <w:gridCol w:w="1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684" w:type="pct"/>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15" w:type="pct"/>
            <w:vAlign w:val="center"/>
          </w:tcPr>
          <w:p>
            <w:pPr>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311"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88"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外观检查</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关键零部件检查</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设计和结构检查</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介电性能验证（绝缘电阻测量）</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介电性能验证（工频耐受电压试验）</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电气间隙测量</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爬电距离测量</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机械操作</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highlight w:val="none"/>
              </w:rPr>
              <w:t>9</w:t>
            </w:r>
          </w:p>
        </w:tc>
        <w:tc>
          <w:tcPr>
            <w:tcW w:w="2015" w:type="pct"/>
            <w:vAlign w:val="center"/>
          </w:tcPr>
          <w:p>
            <w:pPr>
              <w:widowControl/>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IP防护等级试验（仅第一位数字）</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1166" w:type="dxa"/>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10</w:t>
            </w:r>
          </w:p>
        </w:tc>
        <w:tc>
          <w:tcPr>
            <w:tcW w:w="3434" w:type="dxa"/>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通电操作试验</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1166" w:type="dxa"/>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11</w:t>
            </w:r>
          </w:p>
        </w:tc>
        <w:tc>
          <w:tcPr>
            <w:tcW w:w="3434" w:type="dxa"/>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电击防护和保护电路完整性</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69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69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numPr>
          <w:ilvl w:val="0"/>
          <w:numId w:val="0"/>
        </w:numPr>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17</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低压开关柜</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35"/>
        <w:gridCol w:w="3449"/>
        <w:gridCol w:w="2265"/>
        <w:gridCol w:w="1670"/>
      </w:tblGrid>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024"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2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80"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绝缘电阻测量</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工频耐受电压试验</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电气间隙与爬电距离</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机械操作</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防护等级验证</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highlight w:val="none"/>
              </w:rPr>
              <w:t>7</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通电操作试验</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8</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电击防护和保护电路完整性</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690"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9"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690"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9"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numPr>
          <w:ilvl w:val="0"/>
          <w:numId w:val="0"/>
        </w:numPr>
        <w:spacing w:line="360" w:lineRule="auto"/>
        <w:ind w:left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18</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控制电缆</w:t>
      </w:r>
      <w:r>
        <w:rPr>
          <w:rFonts w:hint="eastAsia" w:ascii="宋体" w:hAnsi="宋体" w:cs="宋体"/>
          <w:bCs/>
          <w:color w:val="auto"/>
          <w:sz w:val="24"/>
          <w:highlight w:val="none"/>
        </w:rPr>
        <w:t>质量检测项目</w:t>
      </w:r>
    </w:p>
    <w:tbl>
      <w:tblPr>
        <w:tblStyle w:val="14"/>
        <w:tblpPr w:leftFromText="180" w:rightFromText="180" w:vertAnchor="text" w:horzAnchor="margin" w:tblpXSpec="center" w:tblpY="160"/>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6"/>
        <w:gridCol w:w="3434"/>
        <w:gridCol w:w="2234"/>
        <w:gridCol w:w="1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684" w:type="pct"/>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15" w:type="pct"/>
            <w:vAlign w:val="center"/>
          </w:tcPr>
          <w:p>
            <w:pPr>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311"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val="en-US" w:eastAsia="zh-CN"/>
              </w:rPr>
              <w:t>根</w:t>
            </w:r>
            <w:r>
              <w:rPr>
                <w:rFonts w:hint="eastAsia" w:ascii="宋体" w:hAnsi="宋体" w:cs="宋体"/>
                <w:b w:val="0"/>
                <w:bCs/>
                <w:color w:val="auto"/>
                <w:sz w:val="24"/>
                <w:szCs w:val="24"/>
                <w:highlight w:val="none"/>
              </w:rPr>
              <w:t>）</w:t>
            </w:r>
          </w:p>
        </w:tc>
        <w:tc>
          <w:tcPr>
            <w:tcW w:w="988"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导体结构和尺寸检查</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金属屏蔽尺寸测量</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内衬层厚度测量</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铠装金属丝和金属带尺寸测量</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外形尺寸</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标志检查</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69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69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numPr>
          <w:ilvl w:val="0"/>
          <w:numId w:val="0"/>
        </w:numPr>
        <w:rPr>
          <w:rFonts w:hint="eastAsia"/>
        </w:rPr>
      </w:pPr>
    </w:p>
    <w:p>
      <w:pPr>
        <w:numPr>
          <w:ilvl w:val="0"/>
          <w:numId w:val="0"/>
        </w:numPr>
        <w:spacing w:line="360" w:lineRule="auto"/>
        <w:ind w:left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19</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架空绝缘导线</w:t>
      </w:r>
      <w:r>
        <w:rPr>
          <w:rFonts w:hint="eastAsia" w:ascii="宋体" w:hAnsi="宋体" w:cs="宋体"/>
          <w:bCs/>
          <w:color w:val="auto"/>
          <w:sz w:val="24"/>
          <w:highlight w:val="none"/>
        </w:rPr>
        <w:t>质量检测项目</w:t>
      </w:r>
    </w:p>
    <w:tbl>
      <w:tblPr>
        <w:tblStyle w:val="14"/>
        <w:tblpPr w:leftFromText="180" w:rightFromText="180" w:vertAnchor="text" w:horzAnchor="margin" w:tblpXSpec="center" w:tblpY="160"/>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9"/>
        <w:gridCol w:w="3451"/>
        <w:gridCol w:w="2217"/>
        <w:gridCol w:w="1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674" w:type="pct"/>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25" w:type="pct"/>
            <w:vAlign w:val="center"/>
          </w:tcPr>
          <w:p>
            <w:pPr>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301"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val="en-US" w:eastAsia="zh-CN"/>
              </w:rPr>
              <w:t>根</w:t>
            </w:r>
            <w:r>
              <w:rPr>
                <w:rFonts w:hint="eastAsia" w:ascii="宋体" w:hAnsi="宋体" w:cs="宋体"/>
                <w:b w:val="0"/>
                <w:bCs/>
                <w:color w:val="auto"/>
                <w:sz w:val="24"/>
                <w:szCs w:val="24"/>
                <w:highlight w:val="none"/>
              </w:rPr>
              <w:t>）</w:t>
            </w:r>
          </w:p>
        </w:tc>
        <w:tc>
          <w:tcPr>
            <w:tcW w:w="998"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7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25"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导体结构尺寸</w:t>
            </w:r>
          </w:p>
        </w:tc>
        <w:tc>
          <w:tcPr>
            <w:tcW w:w="1301" w:type="pct"/>
            <w:vAlign w:val="center"/>
          </w:tcPr>
          <w:p>
            <w:pPr>
              <w:widowControl/>
              <w:jc w:val="center"/>
              <w:textAlignment w:val="center"/>
              <w:rPr>
                <w:rFonts w:hint="eastAsia" w:ascii="宋体" w:hAnsi="宋体" w:cs="宋体"/>
                <w:color w:val="auto"/>
                <w:kern w:val="0"/>
                <w:sz w:val="24"/>
                <w:highlight w:val="none"/>
                <w:lang w:bidi="ar"/>
              </w:rPr>
            </w:pPr>
          </w:p>
        </w:tc>
        <w:tc>
          <w:tcPr>
            <w:tcW w:w="99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7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25"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电缆外径</w:t>
            </w:r>
          </w:p>
        </w:tc>
        <w:tc>
          <w:tcPr>
            <w:tcW w:w="1301" w:type="pct"/>
            <w:vAlign w:val="center"/>
          </w:tcPr>
          <w:p>
            <w:pPr>
              <w:widowControl/>
              <w:jc w:val="center"/>
              <w:textAlignment w:val="center"/>
              <w:rPr>
                <w:rFonts w:hint="eastAsia" w:ascii="宋体" w:hAnsi="宋体" w:cs="宋体"/>
                <w:color w:val="auto"/>
                <w:kern w:val="0"/>
                <w:sz w:val="24"/>
                <w:highlight w:val="none"/>
                <w:lang w:bidi="ar"/>
              </w:rPr>
            </w:pPr>
          </w:p>
        </w:tc>
        <w:tc>
          <w:tcPr>
            <w:tcW w:w="99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69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69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numPr>
          <w:ilvl w:val="0"/>
          <w:numId w:val="0"/>
        </w:numPr>
        <w:ind w:leftChars="98"/>
        <w:rPr>
          <w:rFonts w:hint="eastAsia"/>
        </w:rPr>
      </w:pPr>
    </w:p>
    <w:p>
      <w:pPr>
        <w:numPr>
          <w:ilvl w:val="0"/>
          <w:numId w:val="0"/>
        </w:numPr>
        <w:spacing w:line="360" w:lineRule="auto"/>
        <w:ind w:left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20</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低压电线</w:t>
      </w:r>
      <w:r>
        <w:rPr>
          <w:rFonts w:hint="eastAsia" w:ascii="宋体" w:hAnsi="宋体" w:cs="宋体"/>
          <w:bCs/>
          <w:color w:val="auto"/>
          <w:sz w:val="24"/>
          <w:highlight w:val="none"/>
        </w:rPr>
        <w:t>质量检测项目</w:t>
      </w:r>
    </w:p>
    <w:tbl>
      <w:tblPr>
        <w:tblStyle w:val="14"/>
        <w:tblpPr w:leftFromText="180" w:rightFromText="180" w:vertAnchor="text" w:horzAnchor="margin" w:tblpXSpec="center" w:tblpY="160"/>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9"/>
        <w:gridCol w:w="3468"/>
        <w:gridCol w:w="2200"/>
        <w:gridCol w:w="1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674" w:type="pct"/>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35" w:type="pct"/>
            <w:vAlign w:val="center"/>
          </w:tcPr>
          <w:p>
            <w:pPr>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291"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val="en-US" w:eastAsia="zh-CN"/>
              </w:rPr>
              <w:t>根</w:t>
            </w:r>
            <w:r>
              <w:rPr>
                <w:rFonts w:hint="eastAsia" w:ascii="宋体" w:hAnsi="宋体" w:cs="宋体"/>
                <w:b w:val="0"/>
                <w:bCs/>
                <w:color w:val="auto"/>
                <w:sz w:val="24"/>
                <w:szCs w:val="24"/>
                <w:highlight w:val="none"/>
              </w:rPr>
              <w:t>）</w:t>
            </w:r>
          </w:p>
        </w:tc>
        <w:tc>
          <w:tcPr>
            <w:tcW w:w="998"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7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35"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导体单丝根数</w:t>
            </w:r>
          </w:p>
        </w:tc>
        <w:tc>
          <w:tcPr>
            <w:tcW w:w="1291" w:type="pct"/>
            <w:vAlign w:val="center"/>
          </w:tcPr>
          <w:p>
            <w:pPr>
              <w:widowControl/>
              <w:jc w:val="center"/>
              <w:textAlignment w:val="center"/>
              <w:rPr>
                <w:rFonts w:hint="eastAsia" w:ascii="宋体" w:hAnsi="宋体" w:cs="宋体"/>
                <w:color w:val="auto"/>
                <w:kern w:val="0"/>
                <w:sz w:val="24"/>
                <w:highlight w:val="none"/>
                <w:lang w:bidi="ar"/>
              </w:rPr>
            </w:pPr>
          </w:p>
        </w:tc>
        <w:tc>
          <w:tcPr>
            <w:tcW w:w="99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7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35"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平均外径</w:t>
            </w:r>
          </w:p>
        </w:tc>
        <w:tc>
          <w:tcPr>
            <w:tcW w:w="1291" w:type="pct"/>
            <w:vAlign w:val="center"/>
          </w:tcPr>
          <w:p>
            <w:pPr>
              <w:widowControl/>
              <w:jc w:val="center"/>
              <w:textAlignment w:val="center"/>
              <w:rPr>
                <w:rFonts w:hint="eastAsia" w:ascii="宋体" w:hAnsi="宋体" w:cs="宋体"/>
                <w:color w:val="auto"/>
                <w:kern w:val="0"/>
                <w:sz w:val="24"/>
                <w:highlight w:val="none"/>
                <w:lang w:bidi="ar"/>
              </w:rPr>
            </w:pPr>
          </w:p>
        </w:tc>
        <w:tc>
          <w:tcPr>
            <w:tcW w:w="99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7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035"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椭圆度</w:t>
            </w:r>
          </w:p>
        </w:tc>
        <w:tc>
          <w:tcPr>
            <w:tcW w:w="1291" w:type="pct"/>
            <w:vAlign w:val="center"/>
          </w:tcPr>
          <w:p>
            <w:pPr>
              <w:widowControl/>
              <w:jc w:val="center"/>
              <w:textAlignment w:val="center"/>
              <w:rPr>
                <w:rFonts w:hint="eastAsia" w:ascii="宋体" w:hAnsi="宋体" w:cs="宋体"/>
                <w:color w:val="auto"/>
                <w:kern w:val="0"/>
                <w:sz w:val="24"/>
                <w:highlight w:val="none"/>
                <w:lang w:bidi="ar"/>
              </w:rPr>
            </w:pPr>
          </w:p>
        </w:tc>
        <w:tc>
          <w:tcPr>
            <w:tcW w:w="99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70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29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70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29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numPr>
          <w:ilvl w:val="0"/>
          <w:numId w:val="0"/>
        </w:numPr>
        <w:ind w:leftChars="98"/>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21</w:t>
      </w:r>
      <w:r>
        <w:rPr>
          <w:rFonts w:hint="eastAsia" w:ascii="宋体" w:hAnsi="宋体" w:eastAsia="宋体" w:cs="宋体"/>
          <w:bCs/>
          <w:color w:val="auto"/>
          <w:sz w:val="24"/>
          <w:highlight w:val="none"/>
        </w:rPr>
        <w:t>）10kV电流互感器</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18"/>
        <w:gridCol w:w="3497"/>
        <w:gridCol w:w="2188"/>
        <w:gridCol w:w="1716"/>
      </w:tblGrid>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052"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284"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1006"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一次绕组工频耐压试验</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二次绕组工频耐压试验</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匝间过电压试验</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绝缘电阻测量</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二次绕组直流电阻测量</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7</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各分接头的变比检查</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8</w:t>
            </w:r>
          </w:p>
        </w:tc>
        <w:tc>
          <w:tcPr>
            <w:tcW w:w="205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校核励磁特性曲线</w:t>
            </w:r>
          </w:p>
        </w:tc>
        <w:tc>
          <w:tcPr>
            <w:tcW w:w="128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70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291"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70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291"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22</w:t>
      </w:r>
      <w:r>
        <w:rPr>
          <w:rFonts w:hint="eastAsia" w:ascii="宋体" w:hAnsi="宋体" w:eastAsia="宋体" w:cs="宋体"/>
          <w:bCs/>
          <w:color w:val="auto"/>
          <w:sz w:val="24"/>
          <w:highlight w:val="none"/>
        </w:rPr>
        <w:t>）10kV电压互感器</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00"/>
        <w:gridCol w:w="3514"/>
        <w:gridCol w:w="2204"/>
        <w:gridCol w:w="1701"/>
      </w:tblGrid>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061"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293"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9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06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29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9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06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一次端工频耐压试验</w:t>
            </w:r>
          </w:p>
        </w:tc>
        <w:tc>
          <w:tcPr>
            <w:tcW w:w="129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9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06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一次端感应耐压试验</w:t>
            </w:r>
          </w:p>
        </w:tc>
        <w:tc>
          <w:tcPr>
            <w:tcW w:w="129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9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06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二次绕组对地工频耐压试验</w:t>
            </w:r>
          </w:p>
        </w:tc>
        <w:tc>
          <w:tcPr>
            <w:tcW w:w="129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9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06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绝缘电阻测量</w:t>
            </w:r>
          </w:p>
        </w:tc>
        <w:tc>
          <w:tcPr>
            <w:tcW w:w="129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9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06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准确度试验</w:t>
            </w:r>
          </w:p>
        </w:tc>
        <w:tc>
          <w:tcPr>
            <w:tcW w:w="129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9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70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291"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70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291"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23</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20kV户外开关箱</w:t>
      </w:r>
      <w:r>
        <w:rPr>
          <w:rFonts w:hint="eastAsia" w:ascii="宋体" w:hAnsi="宋体" w:cs="宋体"/>
          <w:bCs/>
          <w:color w:val="auto"/>
          <w:sz w:val="24"/>
          <w:highlight w:val="none"/>
        </w:rPr>
        <w:t>质量检测项目</w:t>
      </w:r>
    </w:p>
    <w:tbl>
      <w:tblPr>
        <w:tblStyle w:val="14"/>
        <w:tblW w:w="4998" w:type="pct"/>
        <w:jc w:val="center"/>
        <w:tblLayout w:type="autofit"/>
        <w:tblCellMar>
          <w:top w:w="0" w:type="dxa"/>
          <w:left w:w="108" w:type="dxa"/>
          <w:bottom w:w="0" w:type="dxa"/>
          <w:right w:w="108" w:type="dxa"/>
        </w:tblCellMar>
      </w:tblPr>
      <w:tblGrid>
        <w:gridCol w:w="869"/>
        <w:gridCol w:w="3729"/>
        <w:gridCol w:w="2219"/>
        <w:gridCol w:w="1702"/>
      </w:tblGrid>
      <w:tr>
        <w:tblPrEx>
          <w:tblCellMar>
            <w:top w:w="0" w:type="dxa"/>
            <w:left w:w="108" w:type="dxa"/>
            <w:bottom w:w="0" w:type="dxa"/>
            <w:right w:w="108" w:type="dxa"/>
          </w:tblCellMar>
        </w:tblPrEx>
        <w:trPr>
          <w:trHeight w:val="340" w:hRule="atLeast"/>
          <w:jc w:val="center"/>
        </w:trPr>
        <w:tc>
          <w:tcPr>
            <w:tcW w:w="510" w:type="pct"/>
            <w:tcBorders>
              <w:top w:val="single" w:color="auto" w:sz="8" w:space="0"/>
              <w:left w:val="single" w:color="auto" w:sz="8" w:space="0"/>
              <w:bottom w:val="single" w:color="auto" w:sz="4"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88" w:type="pct"/>
            <w:tcBorders>
              <w:top w:val="single" w:color="auto" w:sz="8" w:space="0"/>
              <w:left w:val="nil"/>
              <w:bottom w:val="single" w:color="auto" w:sz="4"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02" w:type="pct"/>
            <w:tcBorders>
              <w:top w:val="single" w:color="auto" w:sz="8" w:space="0"/>
              <w:left w:val="nil"/>
              <w:bottom w:val="single" w:color="auto" w:sz="4" w:space="0"/>
              <w:right w:val="single" w:color="auto" w:sz="8" w:space="0"/>
            </w:tcBorders>
            <w:vAlign w:val="center"/>
          </w:tcPr>
          <w:p>
            <w:pPr>
              <w:widowControl/>
              <w:jc w:val="center"/>
              <w:rPr>
                <w:rFonts w:hint="eastAsia" w:ascii="宋体" w:hAnsi="宋体" w:cs="宋体"/>
                <w:bCs/>
                <w:color w:val="auto"/>
                <w:sz w:val="24"/>
                <w:highlight w:val="none"/>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98" w:type="pct"/>
            <w:tcBorders>
              <w:top w:val="single" w:color="auto" w:sz="8" w:space="0"/>
              <w:left w:val="nil"/>
              <w:bottom w:val="single" w:color="auto" w:sz="4" w:space="0"/>
              <w:right w:val="single" w:color="auto" w:sz="8" w:space="0"/>
            </w:tcBorders>
            <w:vAlign w:val="center"/>
          </w:tcPr>
          <w:p>
            <w:pPr>
              <w:widowControl/>
              <w:jc w:val="center"/>
              <w:rPr>
                <w:rFonts w:hint="eastAsia" w:ascii="宋体" w:hAnsi="宋体" w:cs="宋体"/>
                <w:bCs/>
                <w:color w:val="auto"/>
                <w:sz w:val="24"/>
                <w:highlight w:val="none"/>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外观检查</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2</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防护等级验证</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3</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回路电阻测量</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4</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接地金属部件的电气连续性试验</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5</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五防</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试验</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6</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机械操作试验</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7</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机械特性试验</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8</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主回路工频耐压试验</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9</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辅助和控制回路的绝缘试验</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9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130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9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301"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lang w:val="en-US" w:eastAsia="zh-CN"/>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24</w:t>
      </w:r>
      <w:r>
        <w:rPr>
          <w:rFonts w:hint="eastAsia" w:ascii="宋体" w:hAnsi="宋体" w:eastAsia="宋体" w:cs="宋体"/>
          <w:bCs/>
          <w:color w:val="auto"/>
          <w:sz w:val="24"/>
          <w:highlight w:val="none"/>
        </w:rPr>
        <w:t>）10kV环网柜</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35"/>
        <w:gridCol w:w="3449"/>
        <w:gridCol w:w="2250"/>
        <w:gridCol w:w="1685"/>
      </w:tblGrid>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024"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20"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8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关键零部件检查</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主回路电阻测量</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机械操作试验</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接地金属部件的接地连续性试验</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机械特性试验</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7</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“五防”试验</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8</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辅助和控制回路工频耐压试验</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9</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主回路工频耐压试验</w:t>
            </w:r>
          </w:p>
        </w:tc>
        <w:tc>
          <w:tcPr>
            <w:tcW w:w="132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10</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防护等级验证</w:t>
            </w:r>
          </w:p>
        </w:tc>
        <w:tc>
          <w:tcPr>
            <w:tcW w:w="132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690"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9"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690"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9"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25</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20kV SF6环网柜</w:t>
      </w:r>
      <w:r>
        <w:rPr>
          <w:rFonts w:hint="eastAsia" w:ascii="宋体" w:hAnsi="宋体" w:cs="宋体"/>
          <w:bCs/>
          <w:color w:val="auto"/>
          <w:sz w:val="24"/>
          <w:highlight w:val="none"/>
        </w:rPr>
        <w:t>质量检测项目</w:t>
      </w:r>
    </w:p>
    <w:tbl>
      <w:tblPr>
        <w:tblStyle w:val="14"/>
        <w:tblW w:w="4998" w:type="pct"/>
        <w:jc w:val="center"/>
        <w:tblLayout w:type="autofit"/>
        <w:tblCellMar>
          <w:top w:w="0" w:type="dxa"/>
          <w:left w:w="108" w:type="dxa"/>
          <w:bottom w:w="0" w:type="dxa"/>
          <w:right w:w="108" w:type="dxa"/>
        </w:tblCellMar>
      </w:tblPr>
      <w:tblGrid>
        <w:gridCol w:w="869"/>
        <w:gridCol w:w="3684"/>
        <w:gridCol w:w="2294"/>
        <w:gridCol w:w="1672"/>
      </w:tblGrid>
      <w:tr>
        <w:tblPrEx>
          <w:tblCellMar>
            <w:top w:w="0" w:type="dxa"/>
            <w:left w:w="108" w:type="dxa"/>
            <w:bottom w:w="0" w:type="dxa"/>
            <w:right w:w="108" w:type="dxa"/>
          </w:tblCellMar>
        </w:tblPrEx>
        <w:trPr>
          <w:trHeight w:val="340" w:hRule="atLeast"/>
          <w:jc w:val="center"/>
        </w:trPr>
        <w:tc>
          <w:tcPr>
            <w:tcW w:w="510" w:type="pct"/>
            <w:tcBorders>
              <w:top w:val="single" w:color="auto" w:sz="8" w:space="0"/>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62" w:type="pct"/>
            <w:tcBorders>
              <w:top w:val="single" w:color="auto" w:sz="8" w:space="0"/>
              <w:left w:val="nil"/>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46"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80"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设计和外观检查</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关键零部件检查</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主回路电阻测量</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机械操作试验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机械特性试验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接地金属部件的接地连续性试验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4"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2162"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五防</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试验</w:t>
            </w:r>
          </w:p>
        </w:tc>
        <w:tc>
          <w:tcPr>
            <w:tcW w:w="1346"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980"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216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防护等级验证</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9</w:t>
            </w:r>
          </w:p>
        </w:tc>
        <w:tc>
          <w:tcPr>
            <w:tcW w:w="216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辅助和控制回路的绝缘试验</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72"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27"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72"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327"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26</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10kV柱上断路器自动化成套设备</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869"/>
        <w:gridCol w:w="1050"/>
        <w:gridCol w:w="3083"/>
        <w:gridCol w:w="2067"/>
        <w:gridCol w:w="1450"/>
      </w:tblGrid>
      <w:tr>
        <w:tblPrEx>
          <w:tblCellMar>
            <w:top w:w="0" w:type="dxa"/>
            <w:left w:w="108" w:type="dxa"/>
            <w:bottom w:w="0" w:type="dxa"/>
            <w:right w:w="108" w:type="dxa"/>
          </w:tblCellMar>
        </w:tblPrEx>
        <w:trPr>
          <w:trHeight w:val="241" w:hRule="atLeast"/>
        </w:trPr>
        <w:tc>
          <w:tcPr>
            <w:tcW w:w="510" w:type="pct"/>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616" w:type="pct"/>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部位</w:t>
            </w:r>
          </w:p>
        </w:tc>
        <w:tc>
          <w:tcPr>
            <w:tcW w:w="1809" w:type="pct"/>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616" w:type="pct"/>
            <w:vMerge w:val="restart"/>
            <w:tcBorders>
              <w:top w:val="single" w:color="auto" w:sz="4" w:space="0"/>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bCs/>
                <w:color w:val="auto"/>
                <w:kern w:val="0"/>
                <w:sz w:val="24"/>
                <w:highlight w:val="none"/>
              </w:rPr>
              <w:t>本体</w:t>
            </w: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设计和外观检查</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外绝缘爬电比距检查</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主回路电阻测量</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机械操作试验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机械特性测量</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主回路工频耐压试验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7</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辅助和控制回路的绝缘试验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8</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电压互感器外观检查</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9</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电压互感器工频耐压试验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10</w:t>
            </w:r>
          </w:p>
        </w:tc>
        <w:tc>
          <w:tcPr>
            <w:tcW w:w="616" w:type="pct"/>
            <w:vMerge w:val="continue"/>
            <w:tcBorders>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电压互感器感应耐压试验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11</w:t>
            </w:r>
          </w:p>
        </w:tc>
        <w:tc>
          <w:tcPr>
            <w:tcW w:w="616" w:type="pct"/>
            <w:vMerge w:val="restart"/>
            <w:tcBorders>
              <w:top w:val="single" w:color="auto" w:sz="4" w:space="0"/>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bCs/>
                <w:color w:val="auto"/>
                <w:kern w:val="0"/>
                <w:sz w:val="24"/>
                <w:highlight w:val="none"/>
              </w:rPr>
              <w:t>控制器</w:t>
            </w: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外观与结构检查</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12</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电源要求试验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13</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功耗试验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14</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交直流输入量基本误差试验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15</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故障电流试验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16</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交流工频电量允许过量输入能力试验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17</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遥测功能试验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18</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状态量（遥信）输入试验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19</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SOE分辨率试验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20</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开关量防抖动功能试验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21</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遥控功能试验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22</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遥控功能保持时间功能试验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23</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遥控异常自诊断功能试验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24</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远程运维功能试验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25</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对时功能检测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26</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无线通信模块检测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27</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通信功能试验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28</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数据处理与传送功能检测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29</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维护和调试功能检测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30</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自诊断及自恢复功能检测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31</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过电流保护功能检测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32</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零序电流保护功能试验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33</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零序过电压保护功能试验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34</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后加速保护功能试验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35</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涌流闭锁功能试验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36</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重合闸功能检测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37</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同期合闸功能检测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38</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自动解列功能检测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39</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小电流接地保护功能</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40</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线路断线告警功能试验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41</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就地馈线自动化功能检测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42</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雪崩处理能力检测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43</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信息安全防护设备检查</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44</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绝缘电阻试验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45</w:t>
            </w:r>
          </w:p>
        </w:tc>
        <w:tc>
          <w:tcPr>
            <w:tcW w:w="616" w:type="pct"/>
            <w:vMerge w:val="continue"/>
            <w:tcBorders>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绝缘强度试验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935" w:type="pct"/>
            <w:gridSpan w:val="3"/>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eastAsia="zh-CN"/>
              </w:rPr>
              <w:t>合 计（项目单价之和应等于该品类单项报价）</w:t>
            </w:r>
          </w:p>
        </w:tc>
        <w:tc>
          <w:tcPr>
            <w:tcW w:w="2064"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935" w:type="pct"/>
            <w:gridSpan w:val="3"/>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val="en-US" w:eastAsia="zh-CN"/>
              </w:rPr>
              <w:t>(大写)</w:t>
            </w:r>
          </w:p>
        </w:tc>
        <w:tc>
          <w:tcPr>
            <w:tcW w:w="2064"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27</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10kV 自动化成套设备</w:t>
      </w:r>
      <w:r>
        <w:rPr>
          <w:rFonts w:hint="eastAsia" w:ascii="宋体" w:hAnsi="宋体" w:cs="宋体"/>
          <w:bCs/>
          <w:color w:val="auto"/>
          <w:sz w:val="24"/>
          <w:highlight w:val="none"/>
        </w:rPr>
        <w:t>（10kV SF6全绝缘断路器柜自动化成套设备、10kV 常压密封断路器柜自动化成套设备、10kV 真空断路器柜自动化成套设备、10kV SF6 全绝缘负荷开关自动化成套设备）质量检测项目</w:t>
      </w:r>
    </w:p>
    <w:tbl>
      <w:tblPr>
        <w:tblStyle w:val="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1067"/>
        <w:gridCol w:w="3083"/>
        <w:gridCol w:w="2101"/>
        <w:gridCol w:w="1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500" w:type="pct"/>
            <w:vAlign w:val="center"/>
          </w:tcPr>
          <w:p>
            <w:pPr>
              <w:widowControl/>
              <w:spacing w:line="560" w:lineRule="exact"/>
              <w:jc w:val="center"/>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626" w:type="pct"/>
            <w:vAlign w:val="center"/>
          </w:tcPr>
          <w:p>
            <w:pPr>
              <w:widowControl/>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color w:val="auto"/>
                <w:kern w:val="0"/>
                <w:sz w:val="24"/>
                <w:highlight w:val="none"/>
              </w:rPr>
              <w:t>部位</w:t>
            </w:r>
          </w:p>
        </w:tc>
        <w:tc>
          <w:tcPr>
            <w:tcW w:w="1809" w:type="pct"/>
            <w:vAlign w:val="center"/>
          </w:tcPr>
          <w:p>
            <w:pPr>
              <w:widowControl/>
              <w:spacing w:line="560" w:lineRule="exact"/>
              <w:jc w:val="center"/>
              <w:textAlignment w:val="baseline"/>
              <w:rPr>
                <w:rFonts w:hint="eastAsia" w:ascii="宋体" w:hAnsi="宋体" w:cs="宋体"/>
                <w:color w:val="auto"/>
                <w:kern w:val="0"/>
                <w:sz w:val="24"/>
                <w:highlight w:val="none"/>
              </w:rPr>
            </w:pPr>
            <w:r>
              <w:rPr>
                <w:rFonts w:hint="eastAsia" w:ascii="宋体" w:hAnsi="宋体" w:cs="宋体"/>
                <w:bCs/>
                <w:color w:val="auto"/>
                <w:kern w:val="0"/>
                <w:sz w:val="24"/>
                <w:highlight w:val="none"/>
              </w:rPr>
              <w:t>试验</w:t>
            </w:r>
            <w:r>
              <w:rPr>
                <w:rFonts w:hint="eastAsia" w:ascii="宋体" w:hAnsi="宋体" w:cs="宋体"/>
                <w:color w:val="auto"/>
                <w:kern w:val="0"/>
                <w:sz w:val="24"/>
                <w:highlight w:val="none"/>
              </w:rPr>
              <w:t>项目</w:t>
            </w:r>
          </w:p>
        </w:tc>
        <w:tc>
          <w:tcPr>
            <w:tcW w:w="1233" w:type="pct"/>
            <w:vAlign w:val="center"/>
          </w:tcPr>
          <w:p>
            <w:pPr>
              <w:widowControl/>
              <w:jc w:val="center"/>
              <w:rPr>
                <w:rFonts w:hint="eastAsia" w:ascii="宋体" w:hAnsi="宋体" w:cs="宋体"/>
                <w:bCs/>
                <w:color w:val="auto"/>
                <w:kern w:val="0"/>
                <w:sz w:val="24"/>
                <w:highlight w:val="none"/>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30" w:type="pct"/>
            <w:vAlign w:val="center"/>
          </w:tcPr>
          <w:p>
            <w:pPr>
              <w:widowControl/>
              <w:jc w:val="center"/>
              <w:rPr>
                <w:rFonts w:hint="eastAsia" w:ascii="宋体" w:hAnsi="宋体" w:cs="宋体"/>
                <w:bCs/>
                <w:color w:val="auto"/>
                <w:kern w:val="0"/>
                <w:sz w:val="24"/>
                <w:highlight w:val="none"/>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626" w:type="pct"/>
            <w:vMerge w:val="restar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rPr>
              <w:t>本体</w:t>
            </w: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设计和外观检查</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关键零部件检查</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主回路电阻测量</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机械操作试验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机械特性试验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接地金属部件的电气连续性试验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7</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“五防”试验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8</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防护等级验证</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9</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主回路工频耐压试验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10</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辅助和控制回路的绝缘试验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11</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电压互感器外观检查</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12</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电压互感器工频耐压试验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13</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电压互感器感应耐压试验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14</w:t>
            </w:r>
          </w:p>
        </w:tc>
        <w:tc>
          <w:tcPr>
            <w:tcW w:w="626" w:type="pct"/>
            <w:vMerge w:val="restar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rPr>
              <w:t>控制器</w:t>
            </w: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外观与结构检查</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15</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电源要求试验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16</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功耗试验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17</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交直流输入量基本误差试验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18</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故障电流试验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19</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交流工频电量允许过量输入能力试验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20</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遥测功能试验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21</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状态量（遥信）输入试验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22</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SOE分辨率试验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23</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开关量防抖动功能试验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24</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遥控功能试验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25</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遥控功能保持时间功能试验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26</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遥控异常自诊断功能试验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27</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远程运维功能试验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28</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对时功能检测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29</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无线通信模块检测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30</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通信功能试验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31</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数据处理与传送功能检测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32</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维护和调试功能检测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33</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自诊断及自恢复功能检测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34</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过电流保护功能检测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35</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零序电流保护功能试验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36</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零序过电压保护功能试验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37</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后加速保护功能试验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38</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涌流闭锁功能试验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39</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重合闸功能检测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40</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同期合闸功能检测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41</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自动解列功能检测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42</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小电流接地保护功能</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43</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线路断线告警功能试验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44</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就地馈线自动化功能检测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45</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雪崩处理能力检测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46</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信息安全防护设备检查</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47</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绝缘电阻试验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48</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绝缘强度试验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35" w:type="pct"/>
            <w:gridSpan w:val="3"/>
            <w:vAlign w:val="center"/>
          </w:tcPr>
          <w:p>
            <w:pPr>
              <w:jc w:val="center"/>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eastAsia="zh-CN"/>
              </w:rPr>
              <w:t>合 计（项目单价之和应等于该品类单项报价）</w:t>
            </w:r>
          </w:p>
        </w:tc>
        <w:tc>
          <w:tcPr>
            <w:tcW w:w="2064" w:type="pct"/>
            <w:gridSpan w:val="2"/>
            <w:vAlign w:val="center"/>
          </w:tcPr>
          <w:p>
            <w:pPr>
              <w:widowControl/>
              <w:jc w:val="center"/>
              <w:textAlignment w:val="top"/>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35" w:type="pct"/>
            <w:gridSpan w:val="3"/>
            <w:vAlign w:val="center"/>
          </w:tcPr>
          <w:p>
            <w:pPr>
              <w:jc w:val="center"/>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val="en-US" w:eastAsia="zh-CN"/>
              </w:rPr>
              <w:t>(大写)</w:t>
            </w:r>
          </w:p>
        </w:tc>
        <w:tc>
          <w:tcPr>
            <w:tcW w:w="2064" w:type="pct"/>
            <w:gridSpan w:val="2"/>
            <w:vAlign w:val="center"/>
          </w:tcPr>
          <w:p>
            <w:pPr>
              <w:widowControl/>
              <w:jc w:val="center"/>
              <w:textAlignment w:val="top"/>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28</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20kV SF6全绝缘真空断路器柜自动化成套设备</w:t>
      </w:r>
      <w:r>
        <w:rPr>
          <w:rFonts w:hint="eastAsia" w:ascii="宋体" w:hAnsi="宋体" w:cs="宋体"/>
          <w:bCs/>
          <w:color w:val="auto"/>
          <w:sz w:val="24"/>
          <w:highlight w:val="none"/>
        </w:rPr>
        <w:t>质量检测项目</w:t>
      </w:r>
    </w:p>
    <w:tbl>
      <w:tblPr>
        <w:tblStyle w:val="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1065"/>
        <w:gridCol w:w="3076"/>
        <w:gridCol w:w="2115"/>
        <w:gridCol w:w="1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505" w:type="pct"/>
            <w:vAlign w:val="center"/>
          </w:tcPr>
          <w:p>
            <w:pPr>
              <w:widowControl/>
              <w:spacing w:line="560" w:lineRule="exact"/>
              <w:jc w:val="center"/>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625" w:type="pct"/>
            <w:vAlign w:val="center"/>
          </w:tcPr>
          <w:p>
            <w:pPr>
              <w:widowControl/>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color w:val="auto"/>
                <w:kern w:val="0"/>
                <w:sz w:val="24"/>
                <w:highlight w:val="none"/>
              </w:rPr>
              <w:t>部位</w:t>
            </w:r>
          </w:p>
        </w:tc>
        <w:tc>
          <w:tcPr>
            <w:tcW w:w="1804" w:type="pct"/>
            <w:vAlign w:val="center"/>
          </w:tcPr>
          <w:p>
            <w:pPr>
              <w:widowControl/>
              <w:spacing w:line="560" w:lineRule="exact"/>
              <w:jc w:val="center"/>
              <w:textAlignment w:val="baseline"/>
              <w:rPr>
                <w:rFonts w:hint="eastAsia" w:ascii="宋体" w:hAnsi="宋体" w:cs="宋体"/>
                <w:color w:val="auto"/>
                <w:kern w:val="0"/>
                <w:sz w:val="24"/>
                <w:highlight w:val="none"/>
              </w:rPr>
            </w:pPr>
            <w:r>
              <w:rPr>
                <w:rFonts w:hint="eastAsia" w:ascii="宋体" w:hAnsi="宋体" w:cs="宋体"/>
                <w:bCs/>
                <w:color w:val="auto"/>
                <w:kern w:val="0"/>
                <w:sz w:val="24"/>
                <w:highlight w:val="none"/>
              </w:rPr>
              <w:t>试验</w:t>
            </w:r>
            <w:r>
              <w:rPr>
                <w:rFonts w:hint="eastAsia" w:ascii="宋体" w:hAnsi="宋体" w:cs="宋体"/>
                <w:color w:val="auto"/>
                <w:kern w:val="0"/>
                <w:sz w:val="24"/>
                <w:highlight w:val="none"/>
              </w:rPr>
              <w:t>项目</w:t>
            </w:r>
          </w:p>
        </w:tc>
        <w:tc>
          <w:tcPr>
            <w:tcW w:w="1241" w:type="pct"/>
            <w:vAlign w:val="center"/>
          </w:tcPr>
          <w:p>
            <w:pPr>
              <w:widowControl/>
              <w:jc w:val="center"/>
              <w:rPr>
                <w:rFonts w:hint="eastAsia" w:ascii="宋体" w:hAnsi="宋体" w:cs="宋体"/>
                <w:bCs/>
                <w:color w:val="auto"/>
                <w:kern w:val="0"/>
                <w:sz w:val="24"/>
                <w:highlight w:val="none"/>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23" w:type="pct"/>
            <w:vAlign w:val="center"/>
          </w:tcPr>
          <w:p>
            <w:pPr>
              <w:widowControl/>
              <w:jc w:val="center"/>
              <w:rPr>
                <w:rFonts w:hint="eastAsia" w:ascii="宋体" w:hAnsi="宋体" w:cs="宋体"/>
                <w:bCs/>
                <w:color w:val="auto"/>
                <w:kern w:val="0"/>
                <w:sz w:val="24"/>
                <w:highlight w:val="none"/>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1</w:t>
            </w:r>
          </w:p>
        </w:tc>
        <w:tc>
          <w:tcPr>
            <w:tcW w:w="625" w:type="pct"/>
            <w:vMerge w:val="restar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Cs/>
                <w:color w:val="auto"/>
                <w:kern w:val="0"/>
                <w:sz w:val="24"/>
                <w:highlight w:val="none"/>
              </w:rPr>
              <w:t>本体</w:t>
            </w: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设计和外观检查</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2</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关键零部件检查</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3</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主回路电阻测量</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4</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机械操作试验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5</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机械特性试验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6</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接地金属部件的接地连续性试验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7</w:t>
            </w:r>
          </w:p>
        </w:tc>
        <w:tc>
          <w:tcPr>
            <w:tcW w:w="625" w:type="pct"/>
            <w:vMerge w:val="continue"/>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五防</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试验</w:t>
            </w:r>
          </w:p>
        </w:tc>
        <w:tc>
          <w:tcPr>
            <w:tcW w:w="1241" w:type="pct"/>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8</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防护等级验证</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9</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辅助和控制回路的绝缘试验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10</w:t>
            </w:r>
          </w:p>
        </w:tc>
        <w:tc>
          <w:tcPr>
            <w:tcW w:w="625" w:type="pct"/>
            <w:vMerge w:val="restar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控制器</w:t>
            </w: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外观与结构检查</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11</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电源要求试验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12</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功耗试验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13</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交直流输入量基本误差试验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14</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故障电流试验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15</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交流工频电量允许过量输入能力试验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16</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遥测功能试验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17</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状态量（遥信）输入试验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18</w:t>
            </w:r>
          </w:p>
        </w:tc>
        <w:tc>
          <w:tcPr>
            <w:tcW w:w="625" w:type="pct"/>
            <w:vMerge w:val="continue"/>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SOE</w:t>
            </w:r>
            <w:r>
              <w:rPr>
                <w:rFonts w:hint="eastAsia" w:ascii="宋体" w:hAnsi="宋体" w:eastAsia="宋体" w:cs="宋体"/>
                <w:i w:val="0"/>
                <w:iCs w:val="0"/>
                <w:color w:val="auto"/>
                <w:kern w:val="0"/>
                <w:sz w:val="24"/>
                <w:szCs w:val="24"/>
                <w:highlight w:val="none"/>
                <w:u w:val="none"/>
                <w:lang w:val="en-US" w:eastAsia="zh-CN" w:bidi="ar"/>
              </w:rPr>
              <w:t>分辨率试验</w:t>
            </w:r>
          </w:p>
        </w:tc>
        <w:tc>
          <w:tcPr>
            <w:tcW w:w="1241" w:type="pct"/>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19</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开关量防抖动功能试验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20</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遥控功能试验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21</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遥控功能保持时间功能试验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22</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遥控异常自诊断功能试验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23</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远程运维功能试验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24</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对时功能检测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25</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无线通信模块检测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26</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通信功能试验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27</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数据处理与传送功能检测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28</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维护和调试功能检测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29</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自诊断及自恢复功能检测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30</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过电流保护功能检测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31</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零序电流保护功能试验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32</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零序过电压保护功能试验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33</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后加速保护功能试验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34</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涌流闭锁功能试验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35</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重合闸功能检测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36</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同期合闸功能检测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37</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自动解列功能检测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38</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小电流接地保护功能</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39</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线路断线告警功能试验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40</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就地馈线自动化功能检测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41</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雪崩处理能力检测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42</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信息安全防护设备检查</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43</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绝缘电阻试验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44</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绝缘强度试验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35" w:type="pct"/>
            <w:gridSpan w:val="3"/>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064" w:type="pct"/>
            <w:gridSpan w:val="2"/>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35" w:type="pct"/>
            <w:gridSpan w:val="3"/>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064" w:type="pct"/>
            <w:gridSpan w:val="2"/>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spacing w:line="360" w:lineRule="auto"/>
        <w:ind w:firstLine="235" w:firstLineChars="98"/>
        <w:rPr>
          <w:rFonts w:hint="eastAsia" w:ascii="宋体" w:hAnsi="宋体" w:eastAsia="宋体" w:cs="宋体"/>
          <w:bCs/>
          <w:color w:val="auto"/>
          <w:sz w:val="24"/>
          <w:highlight w:val="none"/>
          <w:lang w:eastAsia="zh-CN"/>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380V熔断器式隔离开关</w:t>
      </w:r>
      <w:r>
        <w:rPr>
          <w:rFonts w:hint="eastAsia" w:ascii="宋体" w:hAnsi="宋体" w:cs="宋体"/>
          <w:bCs/>
          <w:color w:val="auto"/>
          <w:sz w:val="24"/>
          <w:highlight w:val="none"/>
        </w:rPr>
        <w:t>质量检测项目</w:t>
      </w:r>
    </w:p>
    <w:tbl>
      <w:tblPr>
        <w:tblStyle w:val="14"/>
        <w:tblW w:w="4998" w:type="pct"/>
        <w:jc w:val="center"/>
        <w:tblLayout w:type="autofit"/>
        <w:tblCellMar>
          <w:top w:w="0" w:type="dxa"/>
          <w:left w:w="108" w:type="dxa"/>
          <w:bottom w:w="0" w:type="dxa"/>
          <w:right w:w="108" w:type="dxa"/>
        </w:tblCellMar>
      </w:tblPr>
      <w:tblGrid>
        <w:gridCol w:w="869"/>
        <w:gridCol w:w="3684"/>
        <w:gridCol w:w="2294"/>
        <w:gridCol w:w="1672"/>
      </w:tblGrid>
      <w:tr>
        <w:tblPrEx>
          <w:tblCellMar>
            <w:top w:w="0" w:type="dxa"/>
            <w:left w:w="108" w:type="dxa"/>
            <w:bottom w:w="0" w:type="dxa"/>
            <w:right w:w="108" w:type="dxa"/>
          </w:tblCellMar>
        </w:tblPrEx>
        <w:trPr>
          <w:trHeight w:val="340" w:hRule="atLeast"/>
          <w:jc w:val="center"/>
        </w:trPr>
        <w:tc>
          <w:tcPr>
            <w:tcW w:w="510" w:type="pct"/>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62" w:type="pct"/>
            <w:tcBorders>
              <w:top w:val="single" w:color="auto" w:sz="8" w:space="0"/>
              <w:left w:val="nil"/>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46"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81"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外观检查</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绝缘电阻测试</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工频耐压试验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温升试验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熔断器熔断特性验证</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机械操作试验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4"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2162"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机械寿命测试</w:t>
            </w:r>
          </w:p>
        </w:tc>
        <w:tc>
          <w:tcPr>
            <w:tcW w:w="1346"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981"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216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熔断器指示功能验证</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72"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27"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72"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327"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bidi w:val="0"/>
        <w:rPr>
          <w:rFonts w:hint="eastAsia"/>
          <w:color w:val="auto"/>
          <w:sz w:val="24"/>
          <w:szCs w:val="24"/>
          <w:lang w:val="en-US" w:eastAsia="zh-CN"/>
        </w:rPr>
      </w:pPr>
    </w:p>
    <w:p>
      <w:pPr>
        <w:bidi w:val="0"/>
        <w:rPr>
          <w:rFonts w:hint="eastAsia"/>
          <w:color w:val="auto"/>
          <w:sz w:val="24"/>
          <w:szCs w:val="24"/>
          <w:lang w:val="en-US" w:eastAsia="zh-CN"/>
        </w:rPr>
      </w:pPr>
      <w:r>
        <w:rPr>
          <w:rFonts w:hint="eastAsia"/>
          <w:color w:val="auto"/>
          <w:sz w:val="24"/>
          <w:szCs w:val="24"/>
          <w:lang w:val="en-US" w:eastAsia="zh-CN"/>
        </w:rPr>
        <w:t>注:①投标人必须对所有项目单价进行填报。</w:t>
      </w:r>
    </w:p>
    <w:p>
      <w:pPr>
        <w:bidi w:val="0"/>
        <w:rPr>
          <w:rFonts w:hint="default"/>
          <w:color w:val="auto"/>
          <w:sz w:val="24"/>
          <w:szCs w:val="24"/>
          <w:lang w:val="en-US" w:eastAsia="zh-CN"/>
        </w:rPr>
      </w:pPr>
      <w:r>
        <w:rPr>
          <w:rFonts w:hint="eastAsia"/>
          <w:color w:val="auto"/>
          <w:sz w:val="24"/>
          <w:szCs w:val="24"/>
          <w:lang w:val="en-US" w:eastAsia="zh-CN"/>
        </w:rPr>
        <w:t>②各物资品类单项报价必须与分项报价表中各物资品类质量检测项目单价之和保持一致</w:t>
      </w:r>
      <w:bookmarkStart w:id="0" w:name="_GoBack"/>
      <w:bookmarkEnd w:id="0"/>
      <w:r>
        <w:rPr>
          <w:rFonts w:hint="eastAsia"/>
          <w:color w:val="auto"/>
          <w:sz w:val="24"/>
          <w:szCs w:val="24"/>
          <w:lang w:val="en-US" w:eastAsia="zh-CN"/>
        </w:rPr>
        <w:t>。</w:t>
      </w:r>
    </w:p>
    <w:p>
      <w:pPr>
        <w:bidi w:val="0"/>
        <w:rPr>
          <w:rFonts w:hint="eastAsia"/>
          <w:color w:val="auto"/>
          <w:sz w:val="24"/>
          <w:szCs w:val="24"/>
          <w:lang w:val="en-US" w:eastAsia="zh-CN"/>
        </w:rPr>
      </w:pPr>
      <w:r>
        <w:rPr>
          <w:rFonts w:hint="eastAsia"/>
          <w:color w:val="auto"/>
          <w:sz w:val="24"/>
          <w:szCs w:val="24"/>
          <w:lang w:val="en-US" w:eastAsia="zh-CN"/>
        </w:rPr>
        <w:t>③本标包的检测地点包含：广东电网有限责任公司区域仓。此外还包含不多于10次的省外到货抽检工作安排，检测地点江苏省南通市，中标方必须配合招标方，按要求完成相关工作。投标人在报价时应综合考虑完成规定检测项目发生的相关费用，包含人工费、材料费、技术咨询服务费、税费、利润、差旅费等，不含运输费。</w:t>
      </w:r>
    </w:p>
    <w:p>
      <w:pPr>
        <w:bidi w:val="0"/>
        <w:rPr>
          <w:rFonts w:hint="eastAsia"/>
          <w:color w:val="auto"/>
          <w:sz w:val="24"/>
          <w:szCs w:val="24"/>
          <w:lang w:val="en-US" w:eastAsia="zh-CN"/>
        </w:rPr>
      </w:pPr>
      <w:r>
        <w:rPr>
          <w:rFonts w:hint="eastAsia"/>
          <w:color w:val="auto"/>
          <w:sz w:val="24"/>
          <w:szCs w:val="24"/>
          <w:lang w:val="en-US" w:eastAsia="zh-CN"/>
        </w:rPr>
        <w:t>④报价包含因网、省公司检测标准中新增项目的试验费用（不超过该设备合同内单台检测总费用的10%，新增项目的试验费用为双方认可的市场价）。</w:t>
      </w:r>
    </w:p>
    <w:p>
      <w:pPr>
        <w:numPr>
          <w:ilvl w:val="0"/>
          <w:numId w:val="0"/>
        </w:numPr>
        <w:snapToGrid w:val="0"/>
        <w:spacing w:line="300" w:lineRule="auto"/>
        <w:rPr>
          <w:rFonts w:hint="eastAsia" w:asciiTheme="minorEastAsia" w:hAnsiTheme="minorEastAsia" w:eastAsiaTheme="minorEastAsia" w:cstheme="minorEastAsia"/>
          <w:b w:val="0"/>
          <w:bCs/>
          <w:color w:val="auto"/>
          <w:sz w:val="24"/>
          <w:szCs w:val="24"/>
          <w:highlight w:val="none"/>
        </w:rPr>
      </w:pPr>
      <w:r>
        <w:rPr>
          <w:rFonts w:hint="eastAsia" w:ascii="仿宋" w:hAnsi="仿宋" w:eastAsia="仿宋"/>
          <w:b w:val="0"/>
          <w:bCs/>
          <w:color w:val="auto"/>
          <w:sz w:val="24"/>
          <w:szCs w:val="24"/>
          <w:highlight w:val="none"/>
          <w:lang w:val="en-US" w:eastAsia="zh-CN"/>
        </w:rPr>
        <w:br w:type="textWrapping"/>
      </w:r>
    </w:p>
    <w:p>
      <w:pPr>
        <w:pStyle w:val="9"/>
        <w:ind w:firstLine="3240" w:firstLineChars="1350"/>
        <w:rPr>
          <w:rFonts w:hint="eastAsia" w:asciiTheme="minorEastAsia" w:hAnsiTheme="minorEastAsia" w:eastAsiaTheme="minorEastAsia" w:cstheme="minorEastAsia"/>
          <w:b w:val="0"/>
          <w:bCs/>
          <w:color w:val="auto"/>
          <w:kern w:val="0"/>
          <w:sz w:val="24"/>
          <w:szCs w:val="24"/>
          <w:highlight w:val="none"/>
        </w:rPr>
      </w:pPr>
    </w:p>
    <w:p>
      <w:pPr>
        <w:keepNext w:val="0"/>
        <w:keepLines w:val="0"/>
        <w:pageBreakBefore w:val="0"/>
        <w:widowControl w:val="0"/>
        <w:kinsoku/>
        <w:overflowPunct/>
        <w:topLinePunct w:val="0"/>
        <w:autoSpaceDE/>
        <w:autoSpaceDN/>
        <w:bidi w:val="0"/>
        <w:adjustRightInd/>
        <w:snapToGrid/>
        <w:spacing w:line="432" w:lineRule="auto"/>
        <w:jc w:val="center"/>
        <w:textAlignment w:val="auto"/>
        <w:rPr>
          <w:rFonts w:hint="eastAsia" w:eastAsia="宋体"/>
          <w:color w:val="auto"/>
          <w:lang w:eastAsia="zh-CN"/>
        </w:rPr>
      </w:pPr>
      <w:r>
        <w:rPr>
          <w:rFonts w:hint="eastAsia"/>
          <w:color w:val="auto"/>
          <w:lang w:val="en-US" w:eastAsia="zh-CN"/>
        </w:rPr>
        <w:t xml:space="preserve">                 </w:t>
      </w:r>
      <w:r>
        <w:rPr>
          <w:rFonts w:hint="eastAsia"/>
          <w:color w:val="auto"/>
        </w:rPr>
        <w:t>投标单位全称：</w:t>
      </w:r>
      <w:r>
        <w:rPr>
          <w:rFonts w:hint="eastAsia"/>
          <w:color w:val="auto"/>
          <w:u w:val="single"/>
          <w:lang w:val="en-US" w:eastAsia="zh-CN"/>
        </w:rPr>
        <w:t xml:space="preserve">                        </w:t>
      </w:r>
      <w:r>
        <w:rPr>
          <w:rFonts w:hint="eastAsia"/>
          <w:color w:val="auto"/>
          <w:lang w:eastAsia="zh-CN"/>
        </w:rPr>
        <w:t>（</w:t>
      </w:r>
      <w:r>
        <w:rPr>
          <w:rFonts w:hint="eastAsia"/>
          <w:color w:val="auto"/>
        </w:rPr>
        <w:t>盖章</w:t>
      </w:r>
      <w:r>
        <w:rPr>
          <w:rFonts w:hint="eastAsia"/>
          <w:color w:val="auto"/>
          <w:lang w:eastAsia="zh-CN"/>
        </w:rPr>
        <w:t>）</w:t>
      </w:r>
    </w:p>
    <w:p>
      <w:pPr>
        <w:keepNext w:val="0"/>
        <w:keepLines w:val="0"/>
        <w:pageBreakBefore w:val="0"/>
        <w:widowControl w:val="0"/>
        <w:kinsoku/>
        <w:wordWrap w:val="0"/>
        <w:overflowPunct/>
        <w:topLinePunct w:val="0"/>
        <w:autoSpaceDE/>
        <w:autoSpaceDN/>
        <w:bidi w:val="0"/>
        <w:adjustRightInd/>
        <w:snapToGrid/>
        <w:spacing w:line="432" w:lineRule="auto"/>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color w:val="auto"/>
        </w:rPr>
        <w:t>法定代表人或授权代理人：</w:t>
      </w:r>
      <w:r>
        <w:rPr>
          <w:rFonts w:hint="eastAsia"/>
          <w:color w:val="auto"/>
          <w:u w:val="single"/>
          <w:lang w:val="en-US" w:eastAsia="zh-CN"/>
        </w:rPr>
        <w:t xml:space="preserve">                         </w:t>
      </w:r>
    </w:p>
    <w:p>
      <w:pPr>
        <w:snapToGrid w:val="0"/>
        <w:spacing w:line="300" w:lineRule="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                                        </w:t>
      </w:r>
      <w:r>
        <w:rPr>
          <w:rFonts w:hint="eastAsia" w:asciiTheme="minorEastAsia" w:hAnsiTheme="minorEastAsia" w:eastAsiaTheme="minorEastAsia" w:cstheme="minorEastAsia"/>
          <w:b w:val="0"/>
          <w:bCs/>
          <w:color w:val="auto"/>
          <w:sz w:val="24"/>
          <w:szCs w:val="24"/>
          <w:highlight w:val="none"/>
          <w:lang w:val="en-US" w:eastAsia="zh-CN"/>
        </w:rPr>
        <w:t xml:space="preserve">    </w:t>
      </w:r>
      <w:r>
        <w:rPr>
          <w:rFonts w:hint="eastAsia" w:asciiTheme="minorEastAsia" w:hAnsiTheme="minorEastAsia" w:eastAsiaTheme="minorEastAsia" w:cstheme="minorEastAsia"/>
          <w:b w:val="0"/>
          <w:bCs/>
          <w:color w:val="auto"/>
          <w:sz w:val="24"/>
          <w:szCs w:val="24"/>
          <w:highlight w:val="none"/>
        </w:rPr>
        <w:t xml:space="preserve">  </w:t>
      </w:r>
    </w:p>
    <w:p>
      <w:pPr>
        <w:snapToGrid w:val="0"/>
        <w:spacing w:line="300" w:lineRule="auto"/>
        <w:ind w:firstLine="6240" w:firstLineChars="2600"/>
        <w:rPr>
          <w:b w:val="0"/>
          <w:bCs/>
          <w:color w:val="auto"/>
          <w:highlight w:val="none"/>
        </w:rPr>
      </w:pPr>
      <w:r>
        <w:rPr>
          <w:rFonts w:hint="eastAsia" w:asciiTheme="minorEastAsia" w:hAnsiTheme="minorEastAsia" w:eastAsiaTheme="minorEastAsia" w:cstheme="minorEastAsia"/>
          <w:b w:val="0"/>
          <w:bCs/>
          <w:color w:val="auto"/>
          <w:sz w:val="24"/>
          <w:szCs w:val="24"/>
          <w:highlight w:val="none"/>
        </w:rPr>
        <w:t>年   月   日</w:t>
      </w:r>
    </w:p>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18D745"/>
    <w:multiLevelType w:val="singleLevel"/>
    <w:tmpl w:val="DD18D745"/>
    <w:lvl w:ilvl="0" w:tentative="0">
      <w:start w:val="16"/>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BA5B6B"/>
    <w:rsid w:val="00C30D4B"/>
    <w:rsid w:val="00EF4B78"/>
    <w:rsid w:val="014176E5"/>
    <w:rsid w:val="01C81600"/>
    <w:rsid w:val="029F1ACF"/>
    <w:rsid w:val="02B663F1"/>
    <w:rsid w:val="0337054E"/>
    <w:rsid w:val="03DC6164"/>
    <w:rsid w:val="04B72994"/>
    <w:rsid w:val="04F57C2A"/>
    <w:rsid w:val="056C59E4"/>
    <w:rsid w:val="057601FE"/>
    <w:rsid w:val="05C63C7A"/>
    <w:rsid w:val="05DB6CCA"/>
    <w:rsid w:val="05F76307"/>
    <w:rsid w:val="060020CD"/>
    <w:rsid w:val="06FE4282"/>
    <w:rsid w:val="072028B8"/>
    <w:rsid w:val="0845376A"/>
    <w:rsid w:val="08511F68"/>
    <w:rsid w:val="08B276FF"/>
    <w:rsid w:val="08EB1C1E"/>
    <w:rsid w:val="09492DCB"/>
    <w:rsid w:val="094C2293"/>
    <w:rsid w:val="098F4E89"/>
    <w:rsid w:val="0BCB2517"/>
    <w:rsid w:val="0BD76E10"/>
    <w:rsid w:val="0CB83B81"/>
    <w:rsid w:val="0D2F12CA"/>
    <w:rsid w:val="0D883BFA"/>
    <w:rsid w:val="0E9623E7"/>
    <w:rsid w:val="0EE43A21"/>
    <w:rsid w:val="0F735280"/>
    <w:rsid w:val="10AD0EAE"/>
    <w:rsid w:val="10F260B0"/>
    <w:rsid w:val="11AD3516"/>
    <w:rsid w:val="126D390F"/>
    <w:rsid w:val="12753089"/>
    <w:rsid w:val="1290671A"/>
    <w:rsid w:val="14B44D5D"/>
    <w:rsid w:val="150C2EC8"/>
    <w:rsid w:val="16B81C77"/>
    <w:rsid w:val="16CC6FF5"/>
    <w:rsid w:val="173D3505"/>
    <w:rsid w:val="175238D8"/>
    <w:rsid w:val="17A45919"/>
    <w:rsid w:val="17BA5BB9"/>
    <w:rsid w:val="17DB4756"/>
    <w:rsid w:val="181A0740"/>
    <w:rsid w:val="194756CC"/>
    <w:rsid w:val="196D6F46"/>
    <w:rsid w:val="19FF4602"/>
    <w:rsid w:val="1A06418C"/>
    <w:rsid w:val="1AE26AD5"/>
    <w:rsid w:val="1BF73D40"/>
    <w:rsid w:val="1C132E52"/>
    <w:rsid w:val="1C264AFA"/>
    <w:rsid w:val="1DBC2469"/>
    <w:rsid w:val="1E0E63DB"/>
    <w:rsid w:val="1E97554E"/>
    <w:rsid w:val="1F3242EC"/>
    <w:rsid w:val="1F386A36"/>
    <w:rsid w:val="202E544F"/>
    <w:rsid w:val="206C2FEC"/>
    <w:rsid w:val="20753BC2"/>
    <w:rsid w:val="20B02BA3"/>
    <w:rsid w:val="21647D68"/>
    <w:rsid w:val="21C02B60"/>
    <w:rsid w:val="221E6D97"/>
    <w:rsid w:val="22402C7E"/>
    <w:rsid w:val="22AB024C"/>
    <w:rsid w:val="22FE21B0"/>
    <w:rsid w:val="231B168D"/>
    <w:rsid w:val="231F53DF"/>
    <w:rsid w:val="237F47FB"/>
    <w:rsid w:val="24045D50"/>
    <w:rsid w:val="24D44F64"/>
    <w:rsid w:val="24DC1E75"/>
    <w:rsid w:val="24E91E1B"/>
    <w:rsid w:val="27332CD1"/>
    <w:rsid w:val="27603BA1"/>
    <w:rsid w:val="27A74232"/>
    <w:rsid w:val="27A85BB1"/>
    <w:rsid w:val="27DB3A5A"/>
    <w:rsid w:val="27FD49D3"/>
    <w:rsid w:val="280E3C73"/>
    <w:rsid w:val="28764D4E"/>
    <w:rsid w:val="28EE19B5"/>
    <w:rsid w:val="292C7334"/>
    <w:rsid w:val="2A40182A"/>
    <w:rsid w:val="2AAC5791"/>
    <w:rsid w:val="2B22242D"/>
    <w:rsid w:val="2B4F7CF5"/>
    <w:rsid w:val="2B5143E8"/>
    <w:rsid w:val="2B794CB0"/>
    <w:rsid w:val="2BE81BAF"/>
    <w:rsid w:val="2C083C69"/>
    <w:rsid w:val="2C0B25BF"/>
    <w:rsid w:val="2C9C3F1B"/>
    <w:rsid w:val="2CEE2465"/>
    <w:rsid w:val="2E1225BE"/>
    <w:rsid w:val="2EF531C7"/>
    <w:rsid w:val="2F6D4F9A"/>
    <w:rsid w:val="30062BA0"/>
    <w:rsid w:val="30F24F8C"/>
    <w:rsid w:val="31356A29"/>
    <w:rsid w:val="318915B9"/>
    <w:rsid w:val="32220AC4"/>
    <w:rsid w:val="32A0200E"/>
    <w:rsid w:val="32A12DCD"/>
    <w:rsid w:val="33AE2307"/>
    <w:rsid w:val="33D55EE2"/>
    <w:rsid w:val="342C23E2"/>
    <w:rsid w:val="352B7DC6"/>
    <w:rsid w:val="3561055E"/>
    <w:rsid w:val="35A97D10"/>
    <w:rsid w:val="36303E6B"/>
    <w:rsid w:val="365E7A79"/>
    <w:rsid w:val="36811D9C"/>
    <w:rsid w:val="36EE09BE"/>
    <w:rsid w:val="37380133"/>
    <w:rsid w:val="37611DD4"/>
    <w:rsid w:val="37980946"/>
    <w:rsid w:val="37B34EDF"/>
    <w:rsid w:val="37F248BC"/>
    <w:rsid w:val="380564C0"/>
    <w:rsid w:val="390E2EDB"/>
    <w:rsid w:val="39306202"/>
    <w:rsid w:val="396E572C"/>
    <w:rsid w:val="39EE5E2D"/>
    <w:rsid w:val="3A10641A"/>
    <w:rsid w:val="3B254E1B"/>
    <w:rsid w:val="3B366FA3"/>
    <w:rsid w:val="3BDB3370"/>
    <w:rsid w:val="3CCF590E"/>
    <w:rsid w:val="3CFA2485"/>
    <w:rsid w:val="3EBD3664"/>
    <w:rsid w:val="3F210E90"/>
    <w:rsid w:val="3F2C2410"/>
    <w:rsid w:val="3FAB3F47"/>
    <w:rsid w:val="3FFD1F3E"/>
    <w:rsid w:val="407F40C0"/>
    <w:rsid w:val="40D737F2"/>
    <w:rsid w:val="40EC53AB"/>
    <w:rsid w:val="414E6A34"/>
    <w:rsid w:val="416C6CB2"/>
    <w:rsid w:val="41B80C5C"/>
    <w:rsid w:val="41CE4591"/>
    <w:rsid w:val="4227363A"/>
    <w:rsid w:val="424458C5"/>
    <w:rsid w:val="42460454"/>
    <w:rsid w:val="42747AA0"/>
    <w:rsid w:val="42F37FC3"/>
    <w:rsid w:val="434E39AD"/>
    <w:rsid w:val="435E5FFE"/>
    <w:rsid w:val="445E2BB3"/>
    <w:rsid w:val="44AA1AAB"/>
    <w:rsid w:val="44D609CA"/>
    <w:rsid w:val="462B00DA"/>
    <w:rsid w:val="463F0768"/>
    <w:rsid w:val="46F3228A"/>
    <w:rsid w:val="48BC0F0E"/>
    <w:rsid w:val="48D70632"/>
    <w:rsid w:val="4A9216F7"/>
    <w:rsid w:val="4B2B5C4F"/>
    <w:rsid w:val="4B7B58D0"/>
    <w:rsid w:val="4B8C217B"/>
    <w:rsid w:val="4B9239F4"/>
    <w:rsid w:val="4BB601EC"/>
    <w:rsid w:val="4C2047D5"/>
    <w:rsid w:val="4C456BA3"/>
    <w:rsid w:val="4EEB55F4"/>
    <w:rsid w:val="4F1122B2"/>
    <w:rsid w:val="4F605C65"/>
    <w:rsid w:val="4F721A64"/>
    <w:rsid w:val="4F8B71C2"/>
    <w:rsid w:val="50DB6FE7"/>
    <w:rsid w:val="512A0911"/>
    <w:rsid w:val="513609C8"/>
    <w:rsid w:val="51484738"/>
    <w:rsid w:val="53035D8F"/>
    <w:rsid w:val="53CE0635"/>
    <w:rsid w:val="54DF4E68"/>
    <w:rsid w:val="55BB0687"/>
    <w:rsid w:val="564F7A6D"/>
    <w:rsid w:val="56F714B6"/>
    <w:rsid w:val="57C8229E"/>
    <w:rsid w:val="581D6C1D"/>
    <w:rsid w:val="58E41B62"/>
    <w:rsid w:val="59185883"/>
    <w:rsid w:val="592456CE"/>
    <w:rsid w:val="592B70C0"/>
    <w:rsid w:val="598450EC"/>
    <w:rsid w:val="5992168D"/>
    <w:rsid w:val="5A6217F1"/>
    <w:rsid w:val="5AD57A33"/>
    <w:rsid w:val="5B4A5B54"/>
    <w:rsid w:val="5B630C7D"/>
    <w:rsid w:val="5D0D74E0"/>
    <w:rsid w:val="5D4F08B5"/>
    <w:rsid w:val="5D9C076B"/>
    <w:rsid w:val="5DF149B3"/>
    <w:rsid w:val="5F983842"/>
    <w:rsid w:val="5F9C1E0E"/>
    <w:rsid w:val="60AE0F5A"/>
    <w:rsid w:val="62580C31"/>
    <w:rsid w:val="62835212"/>
    <w:rsid w:val="62836F9D"/>
    <w:rsid w:val="633A5816"/>
    <w:rsid w:val="63CC53CC"/>
    <w:rsid w:val="64331D6A"/>
    <w:rsid w:val="64616C82"/>
    <w:rsid w:val="64820F14"/>
    <w:rsid w:val="64944005"/>
    <w:rsid w:val="64B607B4"/>
    <w:rsid w:val="64E8143E"/>
    <w:rsid w:val="659663B0"/>
    <w:rsid w:val="65F357BB"/>
    <w:rsid w:val="66644208"/>
    <w:rsid w:val="66AB66EE"/>
    <w:rsid w:val="68206754"/>
    <w:rsid w:val="684203B7"/>
    <w:rsid w:val="69A65858"/>
    <w:rsid w:val="6A5B7000"/>
    <w:rsid w:val="6A734E45"/>
    <w:rsid w:val="6B5C1143"/>
    <w:rsid w:val="6C6500DC"/>
    <w:rsid w:val="6CB26A59"/>
    <w:rsid w:val="6E6C7980"/>
    <w:rsid w:val="6ED25664"/>
    <w:rsid w:val="6F125A8A"/>
    <w:rsid w:val="6F7422B9"/>
    <w:rsid w:val="6FC55DE2"/>
    <w:rsid w:val="7007197D"/>
    <w:rsid w:val="70CF436A"/>
    <w:rsid w:val="71392FB7"/>
    <w:rsid w:val="720677D0"/>
    <w:rsid w:val="72421599"/>
    <w:rsid w:val="72BA6B60"/>
    <w:rsid w:val="72C736D6"/>
    <w:rsid w:val="72E86173"/>
    <w:rsid w:val="734D545F"/>
    <w:rsid w:val="74467560"/>
    <w:rsid w:val="75DC4D42"/>
    <w:rsid w:val="76587ED0"/>
    <w:rsid w:val="76717189"/>
    <w:rsid w:val="76A62636"/>
    <w:rsid w:val="76BF489D"/>
    <w:rsid w:val="76C00B08"/>
    <w:rsid w:val="777F73E4"/>
    <w:rsid w:val="778E79A4"/>
    <w:rsid w:val="77B04EEF"/>
    <w:rsid w:val="77BF5FFA"/>
    <w:rsid w:val="77C76E7A"/>
    <w:rsid w:val="78980732"/>
    <w:rsid w:val="78EA30AC"/>
    <w:rsid w:val="7A446928"/>
    <w:rsid w:val="7A665696"/>
    <w:rsid w:val="7ACA5EC5"/>
    <w:rsid w:val="7ACF0EA0"/>
    <w:rsid w:val="7B626CA6"/>
    <w:rsid w:val="7B7654D2"/>
    <w:rsid w:val="7C1C6420"/>
    <w:rsid w:val="7C5924B2"/>
    <w:rsid w:val="7C785695"/>
    <w:rsid w:val="7CBF0705"/>
    <w:rsid w:val="7CE3027D"/>
    <w:rsid w:val="7CEA67B7"/>
    <w:rsid w:val="7CEE5FAC"/>
    <w:rsid w:val="7D142945"/>
    <w:rsid w:val="7D2B7D7F"/>
    <w:rsid w:val="7D4A3FE6"/>
    <w:rsid w:val="7D5F4848"/>
    <w:rsid w:val="7E0340C8"/>
    <w:rsid w:val="7E0C54E7"/>
    <w:rsid w:val="7E1045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hint="default" w:ascii="Cambria" w:hAnsi="Cambria" w:eastAsia="宋体"/>
      <w:sz w:val="24"/>
    </w:rPr>
  </w:style>
  <w:style w:type="paragraph" w:styleId="4">
    <w:name w:val="annotation text"/>
    <w:basedOn w:val="1"/>
    <w:qFormat/>
    <w:uiPriority w:val="0"/>
    <w:pPr>
      <w:jc w:val="left"/>
    </w:pPr>
  </w:style>
  <w:style w:type="paragraph" w:styleId="5">
    <w:name w:val="Body Text"/>
    <w:basedOn w:val="6"/>
    <w:next w:val="6"/>
    <w:unhideWhenUsed/>
    <w:qFormat/>
    <w:uiPriority w:val="99"/>
    <w:pPr>
      <w:spacing w:after="120"/>
    </w:pPr>
  </w:style>
  <w:style w:type="paragraph" w:styleId="6">
    <w:name w:val="Title"/>
    <w:basedOn w:val="1"/>
    <w:next w:val="1"/>
    <w:qFormat/>
    <w:uiPriority w:val="99"/>
    <w:pPr>
      <w:adjustRightInd w:val="0"/>
      <w:spacing w:before="240" w:after="60" w:line="312" w:lineRule="atLeast"/>
      <w:jc w:val="center"/>
      <w:textAlignment w:val="baseline"/>
      <w:outlineLvl w:val="0"/>
    </w:pPr>
    <w:rPr>
      <w:rFonts w:ascii="Cambria" w:hAnsi="Cambria" w:cs="Cambria"/>
      <w:b/>
      <w:bCs/>
      <w:kern w:val="0"/>
      <w:sz w:val="32"/>
      <w:szCs w:val="32"/>
    </w:rPr>
  </w:style>
  <w:style w:type="paragraph" w:styleId="7">
    <w:name w:val="Body Text Indent"/>
    <w:basedOn w:val="1"/>
    <w:next w:val="8"/>
    <w:qFormat/>
    <w:uiPriority w:val="0"/>
    <w:pPr>
      <w:spacing w:after="120" w:afterLines="0" w:afterAutospacing="0"/>
      <w:ind w:left="420" w:leftChars="200"/>
    </w:pPr>
  </w:style>
  <w:style w:type="paragraph" w:styleId="8">
    <w:name w:val="envelope return"/>
    <w:basedOn w:val="1"/>
    <w:unhideWhenUsed/>
    <w:qFormat/>
    <w:uiPriority w:val="99"/>
    <w:pPr>
      <w:snapToGrid w:val="0"/>
    </w:pPr>
    <w:rPr>
      <w:rFonts w:ascii="Calibri Light" w:hAnsi="Calibri Light" w:eastAsia="宋体" w:cs="Times New Roman"/>
    </w:rPr>
  </w:style>
  <w:style w:type="paragraph" w:styleId="9">
    <w:name w:val="Plain Text"/>
    <w:basedOn w:val="1"/>
    <w:qFormat/>
    <w:uiPriority w:val="0"/>
    <w:pPr>
      <w:adjustRightInd/>
      <w:spacing w:line="240" w:lineRule="auto"/>
      <w:textAlignment w:val="auto"/>
    </w:pPr>
    <w:rPr>
      <w:rFonts w:ascii="宋体" w:hAnsi="Courier New" w:eastAsia="宋体"/>
      <w:kern w:val="2"/>
      <w:sz w:val="21"/>
    </w:rPr>
  </w:style>
  <w:style w:type="paragraph" w:styleId="10">
    <w:name w:val="Date"/>
    <w:basedOn w:val="1"/>
    <w:next w:val="1"/>
    <w:qFormat/>
    <w:uiPriority w:val="0"/>
    <w:pPr>
      <w:adjustRightInd/>
      <w:snapToGrid/>
    </w:pPr>
    <w:rPr>
      <w:rFonts w:ascii="宋体"/>
      <w:sz w:val="24"/>
      <w:lang w:eastAsia="zh-CN"/>
    </w:rPr>
  </w:style>
  <w:style w:type="paragraph" w:styleId="11">
    <w:name w:val="Body Text Indent 3"/>
    <w:basedOn w:val="1"/>
    <w:qFormat/>
    <w:uiPriority w:val="0"/>
    <w:pPr>
      <w:spacing w:after="120"/>
      <w:ind w:left="420" w:leftChars="200"/>
    </w:pPr>
    <w:rPr>
      <w:rFonts w:ascii="Times New Roman" w:hAnsi="Times New Roman"/>
      <w:sz w:val="16"/>
      <w:szCs w:val="16"/>
    </w:rPr>
  </w:style>
  <w:style w:type="paragraph" w:styleId="12">
    <w:name w:val="Body Text First Indent"/>
    <w:basedOn w:val="1"/>
    <w:qFormat/>
    <w:uiPriority w:val="0"/>
    <w:pPr>
      <w:spacing w:beforeLines="50" w:line="360" w:lineRule="auto"/>
      <w:ind w:firstLine="200" w:firstLineChars="200"/>
    </w:pPr>
    <w:rPr>
      <w:sz w:val="24"/>
    </w:rPr>
  </w:style>
  <w:style w:type="paragraph" w:styleId="13">
    <w:name w:val="Body Text First Indent 2"/>
    <w:basedOn w:val="7"/>
    <w:next w:val="1"/>
    <w:qFormat/>
    <w:uiPriority w:val="0"/>
    <w:pPr>
      <w:ind w:firstLine="420" w:firstLine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Fließtext"/>
    <w:basedOn w:val="1"/>
    <w:qFormat/>
    <w:uiPriority w:val="99"/>
    <w:pPr>
      <w:overflowPunct w:val="0"/>
      <w:autoSpaceDE w:val="0"/>
      <w:autoSpaceDN w:val="0"/>
      <w:adjustRightInd w:val="0"/>
      <w:textAlignment w:val="baseline"/>
    </w:pPr>
    <w:rPr>
      <w:kern w:val="28"/>
    </w:rPr>
  </w:style>
  <w:style w:type="paragraph" w:customStyle="1" w:styleId="18">
    <w:name w:val="Default"/>
    <w:qFormat/>
    <w:uiPriority w:val="0"/>
    <w:pPr>
      <w:widowControl w:val="0"/>
      <w:autoSpaceDE w:val="0"/>
      <w:autoSpaceDN w:val="0"/>
      <w:adjustRightInd w:val="0"/>
    </w:pPr>
    <w:rPr>
      <w:rFonts w:ascii="Times New Roman" w:hAnsi="Times New Roman" w:eastAsia="宋体" w:cs="Times New Roman"/>
      <w:color w:val="000000"/>
      <w:kern w:val="2"/>
      <w:sz w:val="24"/>
      <w:szCs w:val="24"/>
      <w:lang w:val="en-US" w:eastAsia="zh-CN" w:bidi="ar-SA"/>
    </w:rPr>
  </w:style>
  <w:style w:type="paragraph" w:customStyle="1" w:styleId="19">
    <w:name w:val="纯文本1"/>
    <w:basedOn w:val="1"/>
    <w:unhideWhenUsed/>
    <w:qFormat/>
    <w:uiPriority w:val="99"/>
    <w:pPr>
      <w:adjustRightInd/>
      <w:snapToGrid/>
    </w:pPr>
    <w:rPr>
      <w:rFonts w:ascii="宋体" w:hAnsi="Courier New" w:eastAsia="宋体" w:cs="Times New Roman"/>
      <w:szCs w:val="22"/>
      <w:lang w:eastAsia="zh-CN"/>
    </w:rPr>
  </w:style>
  <w:style w:type="character" w:customStyle="1" w:styleId="20">
    <w:name w:val="font11"/>
    <w:basedOn w:val="16"/>
    <w:qFormat/>
    <w:uiPriority w:val="0"/>
    <w:rPr>
      <w:rFonts w:hint="eastAsia" w:ascii="宋体" w:hAnsi="宋体" w:eastAsia="宋体" w:cs="宋体"/>
      <w:color w:val="000000"/>
      <w:sz w:val="18"/>
      <w:szCs w:val="18"/>
      <w:u w:val="none"/>
    </w:rPr>
  </w:style>
  <w:style w:type="character" w:customStyle="1" w:styleId="21">
    <w:name w:val="font21"/>
    <w:basedOn w:val="1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10211</Words>
  <Characters>11166</Characters>
  <Lines>0</Lines>
  <Paragraphs>0</Paragraphs>
  <TotalTime>3</TotalTime>
  <ScaleCrop>false</ScaleCrop>
  <LinksUpToDate>false</LinksUpToDate>
  <CharactersWithSpaces>12176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2019-07-12T02:06:00Z</dcterms:created>
  <dc:creator>lixiaojun</dc:creator>
  <cp:lastModifiedBy>魏俊涛</cp:lastModifiedBy>
  <dcterms:modified xsi:type="dcterms:W3CDTF">2026-02-09T03:27:48Z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2694FB7070ED4AC8A5B5067F0D117F96</vt:lpwstr>
  </property>
</Properties>
</file>