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2026年南方电网数字电网集团有限公司</w:t>
      </w:r>
    </w:p>
    <w:p>
      <w:pPr>
        <w:jc w:val="center"/>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深圳分公司网约车框架采购项目</w:t>
      </w:r>
    </w:p>
    <w:p>
      <w:pPr>
        <w:jc w:val="center"/>
        <w:rPr>
          <w:rFonts w:hint="eastAsia"/>
          <w:sz w:val="44"/>
          <w:szCs w:val="44"/>
        </w:rPr>
      </w:pPr>
      <w:r>
        <w:rPr>
          <w:rFonts w:hint="eastAsia" w:ascii="方正小标宋_GBK" w:hAnsi="方正小标宋_GBK" w:eastAsia="方正小标宋_GBK" w:cs="方正小标宋_GBK"/>
          <w:sz w:val="44"/>
          <w:szCs w:val="44"/>
          <w:lang w:val="en-US" w:eastAsia="zh-CN"/>
        </w:rPr>
        <w:t>技术规范书</w:t>
      </w:r>
    </w:p>
    <w:p>
      <w:pPr>
        <w:spacing w:line="560" w:lineRule="exact"/>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一、采购项目概况</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楷体_GB2312" w:hAnsi="楷体_GB2312" w:eastAsia="楷体_GB2312" w:cs="楷体_GB2312"/>
          <w:b w:val="0"/>
          <w:bCs w:val="0"/>
          <w:kern w:val="2"/>
          <w:sz w:val="32"/>
          <w:szCs w:val="40"/>
          <w:lang w:val="en-US" w:eastAsia="zh-CN" w:bidi="ar-SA"/>
        </w:rPr>
      </w:pPr>
      <w:r>
        <w:rPr>
          <w:rFonts w:hint="eastAsia" w:ascii="楷体_GB2312" w:hAnsi="楷体_GB2312" w:eastAsia="楷体_GB2312" w:cs="楷体_GB2312"/>
          <w:b w:val="0"/>
          <w:bCs w:val="0"/>
          <w:kern w:val="2"/>
          <w:sz w:val="32"/>
          <w:szCs w:val="40"/>
          <w:lang w:val="en-US" w:eastAsia="zh-CN" w:bidi="ar-SA"/>
        </w:rPr>
        <w:t>项目名称：2026年南方电网数字电网集团有限公司深圳分公司网约车框架采购项目。</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楷体_GB2312" w:hAnsi="楷体_GB2312" w:eastAsia="楷体_GB2312" w:cs="楷体_GB2312"/>
          <w:b w:val="0"/>
          <w:bCs w:val="0"/>
          <w:kern w:val="2"/>
          <w:sz w:val="32"/>
          <w:szCs w:val="40"/>
          <w:lang w:val="en-US" w:eastAsia="zh-CN" w:bidi="ar-SA"/>
        </w:rPr>
      </w:pPr>
      <w:r>
        <w:rPr>
          <w:rFonts w:hint="eastAsia" w:ascii="楷体_GB2312" w:hAnsi="楷体_GB2312" w:eastAsia="楷体_GB2312" w:cs="楷体_GB2312"/>
          <w:b w:val="0"/>
          <w:bCs w:val="0"/>
          <w:kern w:val="2"/>
          <w:sz w:val="32"/>
          <w:szCs w:val="40"/>
          <w:lang w:val="en-US" w:eastAsia="zh-CN" w:bidi="ar-SA"/>
        </w:rPr>
        <w:t>本规范书提出的是最低限度的技术要求，报价人应提供满足本规范书和国家、行业相关标准要求的服务，若报价人方案优于本规范要求，可按更优方案响应。</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kern w:val="2"/>
          <w:sz w:val="32"/>
          <w:szCs w:val="40"/>
          <w:lang w:val="en-US" w:eastAsia="zh-CN" w:bidi="ar-SA"/>
        </w:rPr>
      </w:pPr>
      <w:r>
        <w:rPr>
          <w:rFonts w:hint="eastAsia" w:ascii="仿宋_GB2312" w:hAnsi="仿宋_GB2312" w:eastAsia="仿宋_GB2312" w:cs="仿宋_GB2312"/>
          <w:b w:val="0"/>
          <w:bCs w:val="0"/>
          <w:kern w:val="2"/>
          <w:sz w:val="32"/>
          <w:szCs w:val="40"/>
          <w:lang w:val="en-US" w:eastAsia="zh-CN" w:bidi="ar-SA"/>
        </w:rPr>
        <w:t> </w:t>
      </w:r>
      <w:r>
        <w:rPr>
          <w:rFonts w:hint="eastAsia" w:ascii="楷体_GB2312" w:hAnsi="楷体_GB2312" w:eastAsia="楷体_GB2312" w:cs="楷体_GB2312"/>
          <w:b w:val="0"/>
          <w:bCs w:val="0"/>
          <w:kern w:val="2"/>
          <w:sz w:val="32"/>
          <w:szCs w:val="40"/>
          <w:lang w:val="en-US" w:eastAsia="zh-CN" w:bidi="ar-SA"/>
        </w:rPr>
        <w:t>报价人须承诺所提供的服务符合《中华人民共和国道路交通安全法》《网络预约出租汽车经营服务管理暂行办法》等国家及地方相关法律法规要求。</w:t>
      </w:r>
    </w:p>
    <w:p>
      <w:pPr>
        <w:spacing w:line="560" w:lineRule="exact"/>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二、采购规模及服务周期</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该项目为框架采购，采购预估金额为</w:t>
      </w:r>
      <w:r>
        <w:rPr>
          <w:rFonts w:hint="eastAsia" w:ascii="仿宋_GB2312" w:hAnsi="仿宋_GB2312" w:eastAsia="仿宋_GB2312" w:cs="仿宋_GB2312"/>
          <w:sz w:val="32"/>
          <w:szCs w:val="32"/>
          <w:u w:val="single"/>
          <w:lang w:val="en-US" w:eastAsia="zh-CN"/>
        </w:rPr>
        <w:t>4.8万元</w:t>
      </w:r>
      <w:r>
        <w:rPr>
          <w:rFonts w:hint="eastAsia" w:ascii="仿宋_GB2312" w:hAnsi="仿宋_GB2312" w:eastAsia="仿宋_GB2312" w:cs="仿宋_GB2312"/>
          <w:sz w:val="32"/>
          <w:szCs w:val="32"/>
          <w:lang w:val="en-US" w:eastAsia="zh-CN"/>
        </w:rPr>
        <w:t>，实际发生金额上限不超过预计采购金额120%（且应遵循零星采购金额规定，实际发生金额上限不得超过5万元），下限不低于预计采购金额80%。框架协议有效期为自合同签订之日起1年。有效期届满时，供应商实际供应量达到框架规模80%的，框架协议自动终止。否则，按以下原则之一变更有效期：①有效期自动延长至供应商实际供应量达到该下限之时，框架协议至此自动终止。②有效期延长1年，在延长期内供应商实际供应量达到该下限之时，框架协议至此自动终止；延长期届满仍未达到该下限的，框架协议自动终止。有效期未满时，供应商实际供应量达到框架规模120%（且应遵循零星采购金额规定，实际发生金额上限不得超过5万元），框架协议自动提前终止。</w:t>
      </w:r>
    </w:p>
    <w:p>
      <w:pPr>
        <w:spacing w:line="560" w:lineRule="exact"/>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三、服务范围及要求</w:t>
      </w: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val="0"/>
          <w:bCs w:val="0"/>
          <w:kern w:val="2"/>
          <w:sz w:val="32"/>
          <w:szCs w:val="40"/>
          <w:lang w:val="en-US" w:eastAsia="zh-CN" w:bidi="ar-SA"/>
        </w:rPr>
        <w:t>服务范围：为采购人员工提供深圳市内公务出行网约车服务，涵盖但不限于：日常办公通勤、商务会议接送、公务办事出行、应急突发事务出行等场景。</w:t>
      </w: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firstLine="640" w:firstLineChars="200"/>
        <w:textAlignment w:val="auto"/>
        <w:rPr>
          <w:rFonts w:hint="eastAsia" w:ascii="楷体_GB2312" w:hAnsi="楷体_GB2312" w:eastAsia="楷体_GB2312" w:cs="楷体_GB2312"/>
          <w:b w:val="0"/>
          <w:bCs w:val="0"/>
          <w:kern w:val="2"/>
          <w:sz w:val="32"/>
          <w:szCs w:val="40"/>
          <w:lang w:val="en-US" w:eastAsia="zh-CN" w:bidi="ar-SA"/>
        </w:rPr>
      </w:pPr>
      <w:r>
        <w:rPr>
          <w:rFonts w:hint="eastAsia" w:ascii="楷体_GB2312" w:hAnsi="楷体_GB2312" w:eastAsia="楷体_GB2312" w:cs="楷体_GB2312"/>
          <w:b w:val="0"/>
          <w:bCs w:val="0"/>
          <w:kern w:val="2"/>
          <w:sz w:val="32"/>
          <w:szCs w:val="40"/>
          <w:lang w:val="en-US" w:eastAsia="zh-CN" w:bidi="ar-SA"/>
        </w:rPr>
        <w:t>车型要求</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 基础车型：须为5座及以上</w:t>
      </w:r>
      <w:r>
        <w:rPr>
          <w:rFonts w:hint="eastAsia" w:ascii="仿宋_GB2312" w:hAnsi="仿宋_GB2312" w:eastAsia="仿宋_GB2312" w:cs="仿宋_GB2312"/>
          <w:sz w:val="32"/>
          <w:szCs w:val="32"/>
          <w:lang w:val="en-US" w:eastAsia="zh-CN"/>
        </w:rPr>
        <w:t>车型</w:t>
      </w:r>
      <w:r>
        <w:rPr>
          <w:rFonts w:hint="eastAsia" w:ascii="仿宋_GB2312" w:hAnsi="仿宋_GB2312" w:eastAsia="仿宋_GB2312" w:cs="仿宋_GB2312"/>
          <w:sz w:val="32"/>
          <w:szCs w:val="32"/>
        </w:rPr>
        <w:t>，车身干净整洁，无异味、无破损，车辆使用年限不超过</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年，行驶里程不超过</w:t>
      </w:r>
      <w:r>
        <w:rPr>
          <w:rFonts w:hint="eastAsia" w:ascii="仿宋_GB2312" w:hAnsi="仿宋_GB2312" w:eastAsia="仿宋_GB2312" w:cs="仿宋_GB2312"/>
          <w:sz w:val="32"/>
          <w:szCs w:val="32"/>
          <w:lang w:val="en-US" w:eastAsia="zh-CN"/>
        </w:rPr>
        <w:t>20</w:t>
      </w:r>
      <w:r>
        <w:rPr>
          <w:rFonts w:hint="eastAsia" w:ascii="仿宋_GB2312" w:hAnsi="仿宋_GB2312" w:eastAsia="仿宋_GB2312" w:cs="仿宋_GB2312"/>
          <w:sz w:val="32"/>
          <w:szCs w:val="32"/>
        </w:rPr>
        <w:t>万公里。</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 舒适型/商务型</w:t>
      </w:r>
      <w:r>
        <w:rPr>
          <w:rFonts w:hint="eastAsia" w:ascii="仿宋_GB2312" w:hAnsi="仿宋_GB2312" w:eastAsia="仿宋_GB2312" w:cs="仿宋_GB2312"/>
          <w:sz w:val="32"/>
          <w:szCs w:val="32"/>
          <w:lang w:val="en-US" w:eastAsia="zh-CN"/>
        </w:rPr>
        <w:t>等</w:t>
      </w:r>
      <w:r>
        <w:rPr>
          <w:rFonts w:hint="eastAsia" w:ascii="仿宋_GB2312" w:hAnsi="仿宋_GB2312" w:eastAsia="仿宋_GB2312" w:cs="仿宋_GB2312"/>
          <w:sz w:val="32"/>
          <w:szCs w:val="32"/>
        </w:rPr>
        <w:t>（可选）：针对重要商务接待需求，</w:t>
      </w:r>
      <w:r>
        <w:rPr>
          <w:rFonts w:hint="eastAsia" w:ascii="仿宋_GB2312" w:hAnsi="仿宋_GB2312" w:eastAsia="仿宋_GB2312" w:cs="仿宋_GB2312"/>
          <w:sz w:val="32"/>
          <w:szCs w:val="32"/>
          <w:lang w:val="en-US" w:eastAsia="zh-CN"/>
        </w:rPr>
        <w:t>报价人</w:t>
      </w:r>
      <w:r>
        <w:rPr>
          <w:rFonts w:hint="eastAsia" w:ascii="仿宋_GB2312" w:hAnsi="仿宋_GB2312" w:eastAsia="仿宋_GB2312" w:cs="仿宋_GB2312"/>
          <w:sz w:val="32"/>
          <w:szCs w:val="32"/>
        </w:rPr>
        <w:t>提供舒适型或商务型车辆，具备空调、倒车影像、蓝牙通话等功能，商务型车辆须为7座及以上车型，空间宽敞，满足多人出行需求。</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 车辆资质：所有服务车辆须具备合法有效的行驶证、道路运输证，车辆已按规定购买交强险、商业险（第三者责任险保额不低于200万元）。</w:t>
      </w: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firstLine="640" w:firstLineChars="200"/>
        <w:textAlignment w:val="auto"/>
        <w:rPr>
          <w:rFonts w:hint="eastAsia" w:ascii="楷体_GB2312" w:hAnsi="楷体_GB2312" w:eastAsia="楷体_GB2312" w:cs="楷体_GB2312"/>
          <w:b w:val="0"/>
          <w:bCs w:val="0"/>
          <w:kern w:val="2"/>
          <w:sz w:val="32"/>
          <w:szCs w:val="40"/>
          <w:lang w:val="en-US" w:eastAsia="zh-CN" w:bidi="ar-SA"/>
        </w:rPr>
      </w:pPr>
      <w:r>
        <w:rPr>
          <w:rFonts w:hint="eastAsia" w:ascii="楷体_GB2312" w:hAnsi="楷体_GB2312" w:eastAsia="楷体_GB2312" w:cs="楷体_GB2312"/>
          <w:b w:val="0"/>
          <w:bCs w:val="0"/>
          <w:kern w:val="2"/>
          <w:sz w:val="32"/>
          <w:szCs w:val="40"/>
          <w:lang w:val="en-US" w:eastAsia="zh-CN" w:bidi="ar-SA"/>
        </w:rPr>
        <w:t>服务时效要求</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1. </w:t>
      </w:r>
      <w:r>
        <w:rPr>
          <w:rFonts w:hint="eastAsia" w:ascii="仿宋_GB2312" w:hAnsi="仿宋_GB2312" w:eastAsia="仿宋_GB2312" w:cs="仿宋_GB2312"/>
          <w:sz w:val="32"/>
          <w:szCs w:val="32"/>
          <w:lang w:val="en-US" w:eastAsia="zh-CN"/>
        </w:rPr>
        <w:t>采购人</w:t>
      </w:r>
      <w:r>
        <w:rPr>
          <w:rFonts w:hint="eastAsia" w:ascii="仿宋_GB2312" w:hAnsi="仿宋_GB2312" w:eastAsia="仿宋_GB2312" w:cs="仿宋_GB2312"/>
          <w:sz w:val="32"/>
          <w:szCs w:val="32"/>
        </w:rPr>
        <w:t>员工通过网约车平台预约后，</w:t>
      </w:r>
      <w:r>
        <w:rPr>
          <w:rFonts w:hint="eastAsia" w:ascii="仿宋_GB2312" w:hAnsi="仿宋_GB2312" w:eastAsia="仿宋_GB2312" w:cs="仿宋_GB2312"/>
          <w:kern w:val="2"/>
          <w:sz w:val="32"/>
          <w:szCs w:val="32"/>
          <w:lang w:val="en-US" w:eastAsia="zh-CN" w:bidi="ar-SA"/>
        </w:rPr>
        <w:t>报价人</w:t>
      </w:r>
      <w:r>
        <w:rPr>
          <w:rFonts w:hint="eastAsia" w:ascii="仿宋_GB2312" w:hAnsi="仿宋_GB2312" w:eastAsia="仿宋_GB2312" w:cs="仿宋_GB2312"/>
          <w:sz w:val="32"/>
          <w:szCs w:val="32"/>
        </w:rPr>
        <w:t>须在</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分钟内响应订单，确认接单信息及预计到达时间。</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 行程过程中，驾驶员须按</w:t>
      </w:r>
      <w:r>
        <w:rPr>
          <w:rFonts w:hint="eastAsia" w:ascii="仿宋_GB2312" w:hAnsi="仿宋_GB2312" w:eastAsia="仿宋_GB2312" w:cs="仿宋_GB2312"/>
          <w:sz w:val="32"/>
          <w:szCs w:val="32"/>
          <w:lang w:eastAsia="zh-CN"/>
        </w:rPr>
        <w:t>采购</w:t>
      </w:r>
      <w:r>
        <w:rPr>
          <w:rFonts w:hint="eastAsia" w:ascii="仿宋_GB2312" w:hAnsi="仿宋_GB2312" w:eastAsia="仿宋_GB2312" w:cs="仿宋_GB2312"/>
          <w:sz w:val="32"/>
          <w:szCs w:val="32"/>
          <w:lang w:val="en-US" w:eastAsia="zh-CN"/>
        </w:rPr>
        <w:t>人</w:t>
      </w:r>
      <w:r>
        <w:rPr>
          <w:rFonts w:hint="eastAsia" w:ascii="仿宋_GB2312" w:hAnsi="仿宋_GB2312" w:eastAsia="仿宋_GB2312" w:cs="仿宋_GB2312"/>
          <w:sz w:val="32"/>
          <w:szCs w:val="32"/>
        </w:rPr>
        <w:t>指定路线行驶，无特殊情况不得擅自更改路线；如需调整，须提前征得乘客同意。</w:t>
      </w:r>
    </w:p>
    <w:p>
      <w:pPr>
        <w:spacing w:line="560" w:lineRule="exact"/>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三、技术要求</w:t>
      </w:r>
    </w:p>
    <w:p>
      <w:pPr>
        <w:spacing w:line="560" w:lineRule="exact"/>
        <w:ind w:firstLine="640" w:firstLineChars="200"/>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报价人须有全国范围内可使用的网约车服务平台手机APP（需支持安卓、IOS系统）及企业端后台管理系统，根据采购人要求定制结算费用归口（例如部门名称、规则、用途、时间等，并且下单后可以保留当前订单所输入的历史痕迹等），企业端后台管理系统可支持：用车审批流程功能、部门设置功能、人员用车权限设置、订单详情查询功能、分部门用车数据导出功能、用车费用及预算管控功能等。</w:t>
      </w:r>
    </w:p>
    <w:p>
      <w:pPr>
        <w:keepNext w:val="0"/>
        <w:keepLines w:val="0"/>
        <w:pageBreakBefore w:val="0"/>
        <w:widowControl w:val="0"/>
        <w:numPr>
          <w:ilvl w:val="0"/>
          <w:numId w:val="4"/>
        </w:numPr>
        <w:tabs>
          <w:tab w:val="left" w:pos="3570"/>
        </w:tabs>
        <w:kinsoku/>
        <w:wordWrap/>
        <w:overflowPunct/>
        <w:topLinePunct w:val="0"/>
        <w:autoSpaceDE/>
        <w:autoSpaceDN/>
        <w:bidi w:val="0"/>
        <w:adjustRightInd/>
        <w:snapToGrid/>
        <w:spacing w:line="560" w:lineRule="atLeast"/>
        <w:ind w:left="0" w:leftChars="0" w:right="0" w:rightChars="0" w:firstLine="640" w:firstLineChars="200"/>
        <w:jc w:val="both"/>
        <w:textAlignment w:val="auto"/>
        <w:outlineLvl w:val="9"/>
        <w:rPr>
          <w:rFonts w:hint="eastAsia" w:ascii="楷体_GB2312" w:hAnsi="楷体_GB2312" w:eastAsia="楷体_GB2312" w:cs="楷体_GB2312"/>
          <w:b w:val="0"/>
          <w:bCs w:val="0"/>
          <w:color w:val="auto"/>
          <w:sz w:val="32"/>
          <w:szCs w:val="32"/>
          <w:highlight w:val="none"/>
          <w:lang w:val="en-US" w:eastAsia="zh-CN"/>
        </w:rPr>
      </w:pPr>
      <w:r>
        <w:rPr>
          <w:rFonts w:hint="eastAsia" w:ascii="楷体_GB2312" w:hAnsi="楷体_GB2312" w:eastAsia="楷体_GB2312" w:cs="楷体_GB2312"/>
          <w:b w:val="0"/>
          <w:bCs w:val="0"/>
          <w:color w:val="auto"/>
          <w:sz w:val="32"/>
          <w:szCs w:val="32"/>
          <w:highlight w:val="none"/>
          <w:lang w:val="en-US" w:eastAsia="zh-CN"/>
        </w:rPr>
        <w:t>财务限额：能够对不同角色进行多样化财务设置</w:t>
      </w:r>
    </w:p>
    <w:p>
      <w:pPr>
        <w:keepNext w:val="0"/>
        <w:keepLines w:val="0"/>
        <w:pageBreakBefore w:val="0"/>
        <w:widowControl w:val="0"/>
        <w:tabs>
          <w:tab w:val="left" w:pos="3570"/>
        </w:tabs>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1.单笔订单限额：能够限制单笔订单的费用上限。</w:t>
      </w:r>
    </w:p>
    <w:p>
      <w:pPr>
        <w:keepNext w:val="0"/>
        <w:keepLines w:val="0"/>
        <w:pageBreakBefore w:val="0"/>
        <w:widowControl w:val="0"/>
        <w:tabs>
          <w:tab w:val="left" w:pos="3570"/>
        </w:tabs>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2.部门限额：能够按周、月、季度、年等周期设置部门的用车额度。</w:t>
      </w:r>
    </w:p>
    <w:p>
      <w:pPr>
        <w:keepNext w:val="0"/>
        <w:keepLines w:val="0"/>
        <w:pageBreakBefore w:val="0"/>
        <w:widowControl w:val="0"/>
        <w:tabs>
          <w:tab w:val="left" w:pos="3570"/>
        </w:tabs>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3.员工个人用车</w:t>
      </w:r>
      <w:r>
        <w:rPr>
          <w:rFonts w:hint="eastAsia" w:ascii="仿宋_GB2312" w:hAnsi="仿宋_GB2312" w:eastAsia="仿宋_GB2312" w:cs="仿宋_GB2312"/>
          <w:kern w:val="2"/>
          <w:sz w:val="32"/>
          <w:szCs w:val="32"/>
          <w:lang w:val="en-US" w:eastAsia="zh-CN" w:bidi="ar-SA"/>
        </w:rPr>
        <w:t>额度限</w:t>
      </w:r>
      <w:r>
        <w:rPr>
          <w:rFonts w:hint="eastAsia" w:ascii="仿宋_GB2312" w:hAnsi="仿宋_GB2312" w:eastAsia="仿宋_GB2312" w:cs="仿宋_GB2312"/>
          <w:color w:val="auto"/>
          <w:sz w:val="32"/>
          <w:szCs w:val="32"/>
          <w:highlight w:val="none"/>
          <w:lang w:val="en-US" w:eastAsia="zh-CN"/>
        </w:rPr>
        <w:t>额：能够按周、月、季度、年等周期设置员工的用车额度。</w:t>
      </w:r>
    </w:p>
    <w:p>
      <w:pPr>
        <w:keepNext w:val="0"/>
        <w:keepLines w:val="0"/>
        <w:pageBreakBefore w:val="0"/>
        <w:widowControl w:val="0"/>
        <w:numPr>
          <w:ilvl w:val="0"/>
          <w:numId w:val="4"/>
        </w:numPr>
        <w:tabs>
          <w:tab w:val="left" w:pos="3570"/>
        </w:tabs>
        <w:kinsoku/>
        <w:wordWrap/>
        <w:overflowPunct/>
        <w:topLinePunct w:val="0"/>
        <w:autoSpaceDE/>
        <w:autoSpaceDN/>
        <w:bidi w:val="0"/>
        <w:adjustRightInd/>
        <w:snapToGrid/>
        <w:spacing w:line="560" w:lineRule="atLeast"/>
        <w:ind w:left="0" w:leftChars="0" w:right="0" w:rightChars="0" w:firstLine="420" w:firstLineChars="0"/>
        <w:jc w:val="both"/>
        <w:textAlignment w:val="auto"/>
        <w:outlineLvl w:val="9"/>
        <w:rPr>
          <w:rFonts w:hint="eastAsia" w:ascii="楷体_GB2312" w:hAnsi="楷体_GB2312" w:eastAsia="楷体_GB2312" w:cs="楷体_GB2312"/>
          <w:b w:val="0"/>
          <w:bCs w:val="0"/>
          <w:color w:val="auto"/>
          <w:sz w:val="32"/>
          <w:szCs w:val="32"/>
          <w:highlight w:val="none"/>
          <w:lang w:val="en-US" w:eastAsia="zh-CN"/>
        </w:rPr>
      </w:pPr>
      <w:r>
        <w:rPr>
          <w:rFonts w:hint="eastAsia" w:ascii="楷体_GB2312" w:hAnsi="楷体_GB2312" w:eastAsia="楷体_GB2312" w:cs="楷体_GB2312"/>
          <w:b w:val="0"/>
          <w:bCs w:val="0"/>
          <w:color w:val="auto"/>
          <w:sz w:val="32"/>
          <w:szCs w:val="32"/>
          <w:highlight w:val="none"/>
          <w:lang w:val="en-US" w:eastAsia="zh-CN"/>
        </w:rPr>
        <w:t>用车城市及用车地点限制，能够对用车地点进行多样化设置</w:t>
      </w:r>
    </w:p>
    <w:p>
      <w:pPr>
        <w:keepNext w:val="0"/>
        <w:keepLines w:val="0"/>
        <w:pageBreakBefore w:val="0"/>
        <w:widowControl w:val="0"/>
        <w:tabs>
          <w:tab w:val="left" w:pos="3570"/>
        </w:tabs>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1.用车城市限制：可以允许用户再指定行政区域用车。</w:t>
      </w:r>
    </w:p>
    <w:p>
      <w:pPr>
        <w:keepNext w:val="0"/>
        <w:keepLines w:val="0"/>
        <w:pageBreakBefore w:val="0"/>
        <w:widowControl w:val="0"/>
        <w:tabs>
          <w:tab w:val="left" w:pos="3570"/>
        </w:tabs>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2.用车地点限制：在指定时间段内，可以设置允许、禁止、警示员工从指定地点出发和到达指定地点。指定地点可以设置半径范围。</w:t>
      </w:r>
    </w:p>
    <w:p>
      <w:pPr>
        <w:keepNext w:val="0"/>
        <w:keepLines w:val="0"/>
        <w:pageBreakBefore w:val="0"/>
        <w:widowControl w:val="0"/>
        <w:numPr>
          <w:ilvl w:val="0"/>
          <w:numId w:val="4"/>
        </w:numPr>
        <w:tabs>
          <w:tab w:val="left" w:pos="3570"/>
        </w:tabs>
        <w:kinsoku/>
        <w:wordWrap/>
        <w:overflowPunct/>
        <w:topLinePunct w:val="0"/>
        <w:autoSpaceDE/>
        <w:autoSpaceDN/>
        <w:bidi w:val="0"/>
        <w:adjustRightInd/>
        <w:snapToGrid/>
        <w:spacing w:line="560" w:lineRule="atLeast"/>
        <w:ind w:left="0" w:leftChars="0" w:right="0" w:rightChars="0" w:firstLine="640" w:firstLineChars="200"/>
        <w:jc w:val="both"/>
        <w:textAlignment w:val="auto"/>
        <w:outlineLvl w:val="9"/>
        <w:rPr>
          <w:rFonts w:hint="eastAsia" w:ascii="楷体_GB2312" w:hAnsi="楷体_GB2312" w:eastAsia="楷体_GB2312" w:cs="楷体_GB2312"/>
          <w:b w:val="0"/>
          <w:bCs w:val="0"/>
          <w:color w:val="auto"/>
          <w:sz w:val="32"/>
          <w:szCs w:val="32"/>
          <w:highlight w:val="none"/>
          <w:lang w:val="en-US" w:eastAsia="zh-CN"/>
        </w:rPr>
      </w:pPr>
      <w:r>
        <w:rPr>
          <w:rFonts w:hint="eastAsia" w:ascii="楷体_GB2312" w:hAnsi="楷体_GB2312" w:eastAsia="楷体_GB2312" w:cs="楷体_GB2312"/>
          <w:b w:val="0"/>
          <w:bCs w:val="0"/>
          <w:color w:val="auto"/>
          <w:sz w:val="32"/>
          <w:szCs w:val="32"/>
          <w:highlight w:val="none"/>
          <w:lang w:val="en-US" w:eastAsia="zh-CN"/>
        </w:rPr>
        <w:t>用车事由配置：能够设置多种用车事由，方便用户根据不同的场景进行自主配置</w:t>
      </w:r>
    </w:p>
    <w:p>
      <w:pPr>
        <w:keepNext w:val="0"/>
        <w:keepLines w:val="0"/>
        <w:pageBreakBefore w:val="0"/>
        <w:widowControl w:val="0"/>
        <w:tabs>
          <w:tab w:val="left" w:pos="3570"/>
        </w:tabs>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1.指定时间展示：可以设置用车事由显示的指定时间，方便加班等事由在指定时间段出现。</w:t>
      </w:r>
    </w:p>
    <w:p>
      <w:pPr>
        <w:keepNext w:val="0"/>
        <w:keepLines w:val="0"/>
        <w:pageBreakBefore w:val="0"/>
        <w:widowControl w:val="0"/>
        <w:tabs>
          <w:tab w:val="left" w:pos="3570"/>
        </w:tabs>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2.加入统计：可以配置用车事由是否占用部门的使用费用，方便特殊用车事由不受部门限额限制。</w:t>
      </w:r>
    </w:p>
    <w:p>
      <w:pPr>
        <w:keepNext w:val="0"/>
        <w:keepLines w:val="0"/>
        <w:pageBreakBefore w:val="0"/>
        <w:widowControl w:val="0"/>
        <w:tabs>
          <w:tab w:val="left" w:pos="3570"/>
        </w:tabs>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3.审批流配置：可以为用车事由配置单独的审批流，方便用户在不同场景下采用不同的审批流程。</w:t>
      </w:r>
    </w:p>
    <w:p>
      <w:pPr>
        <w:keepNext w:val="0"/>
        <w:keepLines w:val="0"/>
        <w:pageBreakBefore w:val="0"/>
        <w:widowControl w:val="0"/>
        <w:tabs>
          <w:tab w:val="left" w:pos="3570"/>
        </w:tabs>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4.拆单规则：可以为用车事由配置多种拆单（订单分为公务支付和员工自费支付）规则，可以按比例拆单、按金额拆单、按公司出差报销限额拆单。</w:t>
      </w:r>
    </w:p>
    <w:p>
      <w:pPr>
        <w:keepNext w:val="0"/>
        <w:keepLines w:val="0"/>
        <w:pageBreakBefore w:val="0"/>
        <w:widowControl w:val="0"/>
        <w:tabs>
          <w:tab w:val="left" w:pos="3570"/>
        </w:tabs>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5.夜间用车目的地限制/常用地址限制：在夜间延时用车时，用户只能提交不超过2个常用地址作为目的地。修改常用地址时需经过审批。</w:t>
      </w:r>
    </w:p>
    <w:p>
      <w:pPr>
        <w:keepNext w:val="0"/>
        <w:keepLines w:val="0"/>
        <w:pageBreakBefore w:val="0"/>
        <w:widowControl w:val="0"/>
        <w:numPr>
          <w:ilvl w:val="0"/>
          <w:numId w:val="4"/>
        </w:numPr>
        <w:tabs>
          <w:tab w:val="left" w:pos="3570"/>
        </w:tabs>
        <w:kinsoku/>
        <w:wordWrap/>
        <w:overflowPunct/>
        <w:topLinePunct w:val="0"/>
        <w:autoSpaceDE/>
        <w:autoSpaceDN/>
        <w:bidi w:val="0"/>
        <w:adjustRightInd/>
        <w:snapToGrid/>
        <w:spacing w:line="560" w:lineRule="atLeast"/>
        <w:ind w:left="0" w:leftChars="0" w:right="0" w:rightChars="0" w:firstLine="640" w:firstLineChars="200"/>
        <w:jc w:val="both"/>
        <w:textAlignment w:val="auto"/>
        <w:outlineLvl w:val="9"/>
        <w:rPr>
          <w:rFonts w:hint="eastAsia" w:ascii="楷体_GB2312" w:hAnsi="楷体_GB2312" w:eastAsia="楷体_GB2312" w:cs="楷体_GB2312"/>
          <w:b w:val="0"/>
          <w:bCs w:val="0"/>
          <w:color w:val="auto"/>
          <w:sz w:val="32"/>
          <w:szCs w:val="32"/>
          <w:highlight w:val="none"/>
          <w:lang w:val="en-US" w:eastAsia="zh-CN"/>
        </w:rPr>
      </w:pPr>
      <w:r>
        <w:rPr>
          <w:rFonts w:hint="eastAsia" w:ascii="楷体_GB2312" w:hAnsi="楷体_GB2312" w:eastAsia="楷体_GB2312" w:cs="楷体_GB2312"/>
          <w:b w:val="0"/>
          <w:bCs w:val="0"/>
          <w:color w:val="auto"/>
          <w:sz w:val="32"/>
          <w:szCs w:val="32"/>
          <w:highlight w:val="none"/>
          <w:lang w:val="en-US" w:eastAsia="zh-CN"/>
        </w:rPr>
        <w:t>审批流：能够设置多样化的审批流程，方便用户根据公司要求进行自主配置</w:t>
      </w:r>
    </w:p>
    <w:p>
      <w:pPr>
        <w:keepNext w:val="0"/>
        <w:keepLines w:val="0"/>
        <w:pageBreakBefore w:val="0"/>
        <w:widowControl w:val="0"/>
        <w:tabs>
          <w:tab w:val="left" w:pos="3570"/>
        </w:tabs>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1.通知方式：申请提交、审批通过或驳回可以通过设置的通知方式通知审批人或申请人。</w:t>
      </w:r>
    </w:p>
    <w:p>
      <w:pPr>
        <w:keepNext w:val="0"/>
        <w:keepLines w:val="0"/>
        <w:pageBreakBefore w:val="0"/>
        <w:widowControl w:val="0"/>
        <w:tabs>
          <w:tab w:val="left" w:pos="3570"/>
        </w:tabs>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2.审批方式：可以进行多人的或签（任意一人通过即可）、会签（所有人通过才可）、顺序签（逐级审批）。</w:t>
      </w:r>
    </w:p>
    <w:p>
      <w:pPr>
        <w:keepNext w:val="0"/>
        <w:keepLines w:val="0"/>
        <w:pageBreakBefore w:val="0"/>
        <w:widowControl w:val="0"/>
        <w:tabs>
          <w:tab w:val="left" w:pos="3570"/>
        </w:tabs>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3.用车制度：能够配置多样化的用车规则，能够采用有审批用车和无审批用车，方便用户根据公司要求对员工用车进行自主配置。</w:t>
      </w:r>
    </w:p>
    <w:p>
      <w:pPr>
        <w:keepNext w:val="0"/>
        <w:keepLines w:val="0"/>
        <w:pageBreakBefore w:val="0"/>
        <w:widowControl w:val="0"/>
        <w:numPr>
          <w:ilvl w:val="0"/>
          <w:numId w:val="4"/>
        </w:numPr>
        <w:tabs>
          <w:tab w:val="left" w:pos="3570"/>
        </w:tabs>
        <w:kinsoku/>
        <w:wordWrap/>
        <w:overflowPunct/>
        <w:topLinePunct w:val="0"/>
        <w:autoSpaceDE/>
        <w:autoSpaceDN/>
        <w:bidi w:val="0"/>
        <w:adjustRightInd/>
        <w:snapToGrid/>
        <w:spacing w:line="560" w:lineRule="atLeast"/>
        <w:ind w:left="0" w:leftChars="0" w:right="0" w:rightChars="0" w:firstLine="640" w:firstLineChars="200"/>
        <w:jc w:val="both"/>
        <w:textAlignment w:val="auto"/>
        <w:outlineLvl w:val="9"/>
        <w:rPr>
          <w:rFonts w:hint="eastAsia" w:ascii="楷体_GB2312" w:hAnsi="楷体_GB2312" w:eastAsia="楷体_GB2312" w:cs="楷体_GB2312"/>
          <w:b w:val="0"/>
          <w:bCs w:val="0"/>
          <w:color w:val="auto"/>
          <w:sz w:val="32"/>
          <w:szCs w:val="32"/>
          <w:highlight w:val="none"/>
          <w:lang w:val="en-US" w:eastAsia="zh-CN"/>
        </w:rPr>
      </w:pPr>
      <w:r>
        <w:rPr>
          <w:rFonts w:hint="eastAsia" w:ascii="楷体_GB2312" w:hAnsi="楷体_GB2312" w:eastAsia="楷体_GB2312" w:cs="楷体_GB2312"/>
          <w:b w:val="0"/>
          <w:bCs w:val="0"/>
          <w:color w:val="auto"/>
          <w:sz w:val="32"/>
          <w:szCs w:val="32"/>
          <w:highlight w:val="none"/>
          <w:lang w:val="en-US" w:eastAsia="zh-CN"/>
        </w:rPr>
        <w:t>需用车审批</w:t>
      </w:r>
    </w:p>
    <w:p>
      <w:pPr>
        <w:keepNext w:val="0"/>
        <w:keepLines w:val="0"/>
        <w:pageBreakBefore w:val="0"/>
        <w:widowControl w:val="0"/>
        <w:tabs>
          <w:tab w:val="left" w:pos="3570"/>
        </w:tabs>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1.需用车审批时可以设置允许或禁止员工代叫。</w:t>
      </w:r>
    </w:p>
    <w:p>
      <w:pPr>
        <w:keepNext w:val="0"/>
        <w:keepLines w:val="0"/>
        <w:pageBreakBefore w:val="0"/>
        <w:widowControl w:val="0"/>
        <w:tabs>
          <w:tab w:val="left" w:pos="3570"/>
        </w:tabs>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2.需用车审批-运力类型：需用车审批时，可以设置允许的运力类型。</w:t>
      </w:r>
    </w:p>
    <w:p>
      <w:pPr>
        <w:keepNext w:val="0"/>
        <w:keepLines w:val="0"/>
        <w:pageBreakBefore w:val="0"/>
        <w:widowControl w:val="0"/>
        <w:tabs>
          <w:tab w:val="left" w:pos="3570"/>
        </w:tabs>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3.需用车审批-法定节假日用车：需用车审批时，可以设置允许或禁止员工在节假日用车。</w:t>
      </w:r>
    </w:p>
    <w:p>
      <w:pPr>
        <w:keepNext w:val="0"/>
        <w:keepLines w:val="0"/>
        <w:pageBreakBefore w:val="0"/>
        <w:widowControl w:val="0"/>
        <w:tabs>
          <w:tab w:val="left" w:pos="3570"/>
        </w:tabs>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4.需用车审批-出发地目的地：需用车审批时，可以设置员工在提交用车申请时是否附带出发地目的地，如果带出发地目的地，在通过后叫车时不能修改出发地目的地。</w:t>
      </w:r>
    </w:p>
    <w:p>
      <w:pPr>
        <w:keepNext w:val="0"/>
        <w:keepLines w:val="0"/>
        <w:pageBreakBefore w:val="0"/>
        <w:widowControl w:val="0"/>
        <w:tabs>
          <w:tab w:val="left" w:pos="3570"/>
        </w:tabs>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5.需用车审批-延时审批：需用车审批时，可以设置时间段，在时间段外员工提交用车时无需等待通过即可用车。超过设定天数未审批则不能提交新审批单。</w:t>
      </w:r>
    </w:p>
    <w:p>
      <w:pPr>
        <w:keepNext w:val="0"/>
        <w:keepLines w:val="0"/>
        <w:pageBreakBefore w:val="0"/>
        <w:widowControl w:val="0"/>
        <w:tabs>
          <w:tab w:val="left" w:pos="3570"/>
        </w:tabs>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6.无需用车审批-运力类型无需用车审批时：无需用车审批时，可以设置允许的运力类型。</w:t>
      </w:r>
    </w:p>
    <w:p>
      <w:pPr>
        <w:keepNext w:val="0"/>
        <w:keepLines w:val="0"/>
        <w:pageBreakBefore w:val="0"/>
        <w:widowControl w:val="0"/>
        <w:tabs>
          <w:tab w:val="left" w:pos="3570"/>
        </w:tabs>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7.无需用车审批-可用日期限制：无需用车审批时，可以设置使用的指定日期范围。</w:t>
      </w:r>
    </w:p>
    <w:p>
      <w:pPr>
        <w:keepNext w:val="0"/>
        <w:keepLines w:val="0"/>
        <w:pageBreakBefore w:val="0"/>
        <w:widowControl w:val="0"/>
        <w:tabs>
          <w:tab w:val="left" w:pos="3570"/>
        </w:tabs>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8.无需用车审批-可用时间段限制：无需用车审批时，可以设置使用的指定时间段。</w:t>
      </w:r>
    </w:p>
    <w:p>
      <w:pPr>
        <w:keepNext w:val="0"/>
        <w:keepLines w:val="0"/>
        <w:pageBreakBefore w:val="0"/>
        <w:widowControl w:val="0"/>
        <w:numPr>
          <w:ilvl w:val="0"/>
          <w:numId w:val="4"/>
        </w:numPr>
        <w:tabs>
          <w:tab w:val="left" w:pos="3570"/>
        </w:tabs>
        <w:kinsoku/>
        <w:wordWrap/>
        <w:overflowPunct/>
        <w:topLinePunct w:val="0"/>
        <w:autoSpaceDE/>
        <w:autoSpaceDN/>
        <w:bidi w:val="0"/>
        <w:adjustRightInd/>
        <w:snapToGrid/>
        <w:spacing w:line="560" w:lineRule="atLeast"/>
        <w:ind w:left="0" w:leftChars="0" w:right="0" w:rightChars="0" w:firstLine="640" w:firstLineChars="200"/>
        <w:jc w:val="both"/>
        <w:textAlignment w:val="auto"/>
        <w:outlineLvl w:val="9"/>
        <w:rPr>
          <w:rFonts w:hint="eastAsia" w:ascii="楷体_GB2312" w:hAnsi="楷体_GB2312" w:eastAsia="楷体_GB2312" w:cs="楷体_GB2312"/>
          <w:b w:val="0"/>
          <w:bCs w:val="0"/>
          <w:color w:val="auto"/>
          <w:sz w:val="32"/>
          <w:szCs w:val="32"/>
          <w:highlight w:val="none"/>
          <w:lang w:val="en-US" w:eastAsia="zh-CN"/>
        </w:rPr>
      </w:pPr>
      <w:r>
        <w:rPr>
          <w:rFonts w:hint="eastAsia" w:ascii="楷体_GB2312" w:hAnsi="楷体_GB2312" w:eastAsia="楷体_GB2312" w:cs="楷体_GB2312"/>
          <w:b w:val="0"/>
          <w:bCs w:val="0"/>
          <w:color w:val="auto"/>
          <w:sz w:val="32"/>
          <w:szCs w:val="32"/>
          <w:highlight w:val="none"/>
          <w:lang w:val="en-US" w:eastAsia="zh-CN"/>
        </w:rPr>
        <w:t>对账管理：可以在线上完成账单下载、账单确认流程，方便与平台快速对账</w:t>
      </w:r>
    </w:p>
    <w:p>
      <w:pPr>
        <w:keepNext w:val="0"/>
        <w:keepLines w:val="0"/>
        <w:pageBreakBefore w:val="0"/>
        <w:widowControl w:val="0"/>
        <w:tabs>
          <w:tab w:val="left" w:pos="3570"/>
        </w:tabs>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1.下载账单：能够对账单进行下载，下载的账单需带平台或公司的盖章。</w:t>
      </w:r>
    </w:p>
    <w:p>
      <w:pPr>
        <w:keepNext w:val="0"/>
        <w:keepLines w:val="0"/>
        <w:pageBreakBefore w:val="0"/>
        <w:widowControl w:val="0"/>
        <w:tabs>
          <w:tab w:val="left" w:pos="3570"/>
        </w:tabs>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2.确认账单：能够提交账单进行确认，并上传确认的附件。</w:t>
      </w:r>
    </w:p>
    <w:p>
      <w:pPr>
        <w:keepNext w:val="0"/>
        <w:keepLines w:val="0"/>
        <w:pageBreakBefore w:val="0"/>
        <w:widowControl w:val="0"/>
        <w:numPr>
          <w:ilvl w:val="0"/>
          <w:numId w:val="4"/>
        </w:numPr>
        <w:tabs>
          <w:tab w:val="left" w:pos="3570"/>
        </w:tabs>
        <w:kinsoku/>
        <w:wordWrap/>
        <w:overflowPunct/>
        <w:topLinePunct w:val="0"/>
        <w:autoSpaceDE/>
        <w:autoSpaceDN/>
        <w:bidi w:val="0"/>
        <w:adjustRightInd/>
        <w:snapToGrid/>
        <w:spacing w:line="560" w:lineRule="atLeast"/>
        <w:ind w:left="0" w:leftChars="0" w:right="0" w:rightChars="0" w:firstLine="640" w:firstLineChars="200"/>
        <w:jc w:val="both"/>
        <w:textAlignment w:val="auto"/>
        <w:outlineLvl w:val="9"/>
        <w:rPr>
          <w:rFonts w:hint="eastAsia" w:ascii="楷体_GB2312" w:hAnsi="楷体_GB2312" w:eastAsia="楷体_GB2312" w:cs="楷体_GB2312"/>
          <w:b w:val="0"/>
          <w:bCs w:val="0"/>
          <w:color w:val="auto"/>
          <w:sz w:val="32"/>
          <w:szCs w:val="32"/>
          <w:highlight w:val="none"/>
          <w:lang w:val="en-US" w:eastAsia="zh-CN"/>
        </w:rPr>
      </w:pPr>
      <w:r>
        <w:rPr>
          <w:rFonts w:hint="eastAsia" w:ascii="楷体_GB2312" w:hAnsi="楷体_GB2312" w:eastAsia="楷体_GB2312" w:cs="楷体_GB2312"/>
          <w:b w:val="0"/>
          <w:bCs w:val="0"/>
          <w:color w:val="auto"/>
          <w:sz w:val="32"/>
          <w:szCs w:val="32"/>
          <w:highlight w:val="none"/>
          <w:lang w:val="en-US" w:eastAsia="zh-CN"/>
        </w:rPr>
        <w:t>异常订单监控：能够监控异常用车订单，方便检查时候反查</w:t>
      </w:r>
    </w:p>
    <w:p>
      <w:pPr>
        <w:keepNext w:val="0"/>
        <w:keepLines w:val="0"/>
        <w:pageBreakBefore w:val="0"/>
        <w:widowControl w:val="0"/>
        <w:tabs>
          <w:tab w:val="left" w:pos="3570"/>
        </w:tabs>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1.超里程报警：超出预估里程指定距离或一定比例后报警，可以通过短信报警或异常订单列表展示等方式。</w:t>
      </w:r>
    </w:p>
    <w:p>
      <w:pPr>
        <w:keepNext w:val="0"/>
        <w:keepLines w:val="0"/>
        <w:pageBreakBefore w:val="0"/>
        <w:widowControl w:val="0"/>
        <w:tabs>
          <w:tab w:val="left" w:pos="3570"/>
        </w:tabs>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2.超费用报警：超出预估费用指定金额或一定比例后报警，可以通过短信报警或异常订单列表展示等方式。</w:t>
      </w:r>
    </w:p>
    <w:p>
      <w:pPr>
        <w:keepNext w:val="0"/>
        <w:keepLines w:val="0"/>
        <w:pageBreakBefore w:val="0"/>
        <w:widowControl w:val="0"/>
        <w:tabs>
          <w:tab w:val="left" w:pos="3570"/>
        </w:tabs>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3.停留时长标记：在行程中的某个地点停留超过指定时间后可以在地图上展示。</w:t>
      </w:r>
    </w:p>
    <w:p>
      <w:pPr>
        <w:keepNext w:val="0"/>
        <w:keepLines w:val="0"/>
        <w:pageBreakBefore w:val="0"/>
        <w:widowControl w:val="0"/>
        <w:numPr>
          <w:ilvl w:val="0"/>
          <w:numId w:val="4"/>
        </w:numPr>
        <w:tabs>
          <w:tab w:val="left" w:pos="3570"/>
        </w:tabs>
        <w:kinsoku/>
        <w:wordWrap/>
        <w:overflowPunct/>
        <w:topLinePunct w:val="0"/>
        <w:autoSpaceDE/>
        <w:autoSpaceDN/>
        <w:bidi w:val="0"/>
        <w:adjustRightInd/>
        <w:snapToGrid/>
        <w:spacing w:line="560" w:lineRule="atLeast"/>
        <w:ind w:left="0" w:leftChars="0" w:right="0" w:rightChars="0" w:firstLine="640" w:firstLineChars="200"/>
        <w:jc w:val="both"/>
        <w:textAlignment w:val="auto"/>
        <w:outlineLvl w:val="9"/>
        <w:rPr>
          <w:rFonts w:hint="eastAsia" w:ascii="楷体_GB2312" w:hAnsi="楷体_GB2312" w:eastAsia="楷体_GB2312" w:cs="楷体_GB2312"/>
          <w:b w:val="0"/>
          <w:bCs w:val="0"/>
          <w:color w:val="auto"/>
          <w:sz w:val="32"/>
          <w:szCs w:val="32"/>
          <w:highlight w:val="none"/>
          <w:lang w:val="en-US" w:eastAsia="zh-CN"/>
        </w:rPr>
      </w:pPr>
      <w:r>
        <w:rPr>
          <w:rFonts w:hint="eastAsia" w:ascii="楷体_GB2312" w:hAnsi="楷体_GB2312" w:eastAsia="楷体_GB2312" w:cs="楷体_GB2312"/>
          <w:b w:val="0"/>
          <w:bCs w:val="0"/>
          <w:color w:val="auto"/>
          <w:sz w:val="32"/>
          <w:szCs w:val="32"/>
          <w:highlight w:val="none"/>
          <w:lang w:val="en-US" w:eastAsia="zh-CN"/>
        </w:rPr>
        <w:t>后台账号安全措施：采取有效措施防止账号密码丢失造成的账号异常登录</w:t>
      </w:r>
      <w:r>
        <w:rPr>
          <w:rFonts w:hint="eastAsia" w:ascii="仿宋_GB2312" w:hAnsi="仿宋_GB2312" w:eastAsia="仿宋_GB2312" w:cs="仿宋_GB2312"/>
          <w:color w:val="auto"/>
          <w:sz w:val="32"/>
          <w:szCs w:val="32"/>
          <w:highlight w:val="none"/>
          <w:lang w:val="en-US" w:eastAsia="zh-CN"/>
        </w:rPr>
        <w:t>。</w:t>
      </w:r>
    </w:p>
    <w:p>
      <w:pPr>
        <w:keepNext w:val="0"/>
        <w:keepLines w:val="0"/>
        <w:pageBreakBefore w:val="0"/>
        <w:widowControl w:val="0"/>
        <w:numPr>
          <w:ilvl w:val="0"/>
          <w:numId w:val="4"/>
        </w:numPr>
        <w:tabs>
          <w:tab w:val="left" w:pos="3570"/>
        </w:tabs>
        <w:kinsoku/>
        <w:wordWrap/>
        <w:overflowPunct/>
        <w:topLinePunct w:val="0"/>
        <w:autoSpaceDE/>
        <w:autoSpaceDN/>
        <w:bidi w:val="0"/>
        <w:adjustRightInd/>
        <w:snapToGrid/>
        <w:spacing w:line="560" w:lineRule="atLeast"/>
        <w:ind w:left="0" w:leftChars="0" w:right="0" w:rightChars="0" w:firstLine="640" w:firstLineChars="200"/>
        <w:jc w:val="both"/>
        <w:textAlignment w:val="auto"/>
        <w:outlineLvl w:val="9"/>
        <w:rPr>
          <w:rFonts w:hint="eastAsia"/>
          <w:lang w:val="en-US" w:eastAsia="zh-CN"/>
        </w:rPr>
      </w:pPr>
      <w:r>
        <w:rPr>
          <w:rFonts w:hint="eastAsia" w:ascii="楷体_GB2312" w:hAnsi="楷体_GB2312" w:eastAsia="楷体_GB2312" w:cs="楷体_GB2312"/>
          <w:b w:val="0"/>
          <w:bCs w:val="0"/>
          <w:color w:val="auto"/>
          <w:sz w:val="32"/>
          <w:szCs w:val="32"/>
          <w:highlight w:val="none"/>
          <w:lang w:val="en-US" w:eastAsia="zh-CN"/>
        </w:rPr>
        <w:t>采用动态安全码或短信验证码等方式进行身份二次验证。</w:t>
      </w:r>
    </w:p>
    <w:p>
      <w:pPr>
        <w:spacing w:line="560" w:lineRule="exact"/>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四、安全及应急要求</w:t>
      </w:r>
    </w:p>
    <w:p>
      <w:pPr>
        <w:keepNext w:val="0"/>
        <w:keepLines w:val="0"/>
        <w:pageBreakBefore w:val="0"/>
        <w:widowControl w:val="0"/>
        <w:numPr>
          <w:ilvl w:val="0"/>
          <w:numId w:val="5"/>
        </w:numPr>
        <w:tabs>
          <w:tab w:val="left" w:pos="3570"/>
        </w:tabs>
        <w:kinsoku/>
        <w:wordWrap/>
        <w:overflowPunct/>
        <w:topLinePunct w:val="0"/>
        <w:autoSpaceDE/>
        <w:autoSpaceDN/>
        <w:bidi w:val="0"/>
        <w:adjustRightInd/>
        <w:snapToGrid/>
        <w:spacing w:line="560" w:lineRule="atLeast"/>
        <w:ind w:left="0" w:leftChars="0" w:right="0" w:rightChars="0" w:firstLine="420" w:firstLineChars="0"/>
        <w:jc w:val="both"/>
        <w:textAlignment w:val="auto"/>
        <w:outlineLvl w:val="9"/>
        <w:rPr>
          <w:rFonts w:hint="eastAsia" w:ascii="仿宋_GB2312" w:hAnsi="仿宋_GB2312" w:eastAsia="仿宋_GB2312" w:cs="仿宋_GB2312"/>
          <w:b w:val="0"/>
          <w:bCs w:val="0"/>
          <w:color w:val="auto"/>
          <w:sz w:val="32"/>
          <w:szCs w:val="32"/>
          <w:highlight w:val="none"/>
          <w:lang w:val="en-US" w:eastAsia="zh-CN"/>
        </w:rPr>
      </w:pPr>
      <w:r>
        <w:rPr>
          <w:rFonts w:hint="eastAsia" w:ascii="楷体_GB2312" w:hAnsi="楷体_GB2312" w:eastAsia="楷体_GB2312" w:cs="楷体_GB2312"/>
          <w:b w:val="0"/>
          <w:bCs w:val="0"/>
          <w:color w:val="auto"/>
          <w:sz w:val="32"/>
          <w:szCs w:val="32"/>
          <w:highlight w:val="none"/>
          <w:lang w:val="en-US" w:eastAsia="zh-CN"/>
        </w:rPr>
        <w:t>车辆须配备车载定位系统、紧急报警装置，定位数据实时上传至报价人平台，且可根据采购人要求提供定位数据查询权限</w:t>
      </w:r>
      <w:r>
        <w:rPr>
          <w:rFonts w:hint="eastAsia" w:ascii="仿宋_GB2312" w:hAnsi="仿宋_GB2312" w:eastAsia="仿宋_GB2312" w:cs="仿宋_GB2312"/>
          <w:b w:val="0"/>
          <w:bCs w:val="0"/>
          <w:color w:val="auto"/>
          <w:sz w:val="32"/>
          <w:szCs w:val="32"/>
          <w:highlight w:val="none"/>
          <w:lang w:val="en-US" w:eastAsia="zh-CN"/>
        </w:rPr>
        <w:t>。</w:t>
      </w:r>
    </w:p>
    <w:p>
      <w:pPr>
        <w:keepNext w:val="0"/>
        <w:keepLines w:val="0"/>
        <w:pageBreakBefore w:val="0"/>
        <w:widowControl w:val="0"/>
        <w:numPr>
          <w:ilvl w:val="0"/>
          <w:numId w:val="5"/>
        </w:numPr>
        <w:tabs>
          <w:tab w:val="left" w:pos="3570"/>
        </w:tabs>
        <w:kinsoku/>
        <w:wordWrap/>
        <w:overflowPunct/>
        <w:topLinePunct w:val="0"/>
        <w:autoSpaceDE/>
        <w:autoSpaceDN/>
        <w:bidi w:val="0"/>
        <w:adjustRightInd/>
        <w:snapToGrid/>
        <w:spacing w:line="560" w:lineRule="atLeast"/>
        <w:ind w:left="0" w:leftChars="0" w:right="0" w:rightChars="0" w:firstLine="420" w:firstLineChars="0"/>
        <w:jc w:val="both"/>
        <w:textAlignment w:val="auto"/>
        <w:outlineLvl w:val="9"/>
        <w:rPr>
          <w:rFonts w:hint="eastAsia" w:ascii="楷体_GB2312" w:hAnsi="楷体_GB2312" w:eastAsia="楷体_GB2312" w:cs="楷体_GB2312"/>
          <w:b w:val="0"/>
          <w:bCs w:val="0"/>
          <w:color w:val="auto"/>
          <w:sz w:val="32"/>
          <w:szCs w:val="32"/>
          <w:highlight w:val="none"/>
          <w:lang w:val="en-US" w:eastAsia="zh-CN"/>
        </w:rPr>
      </w:pPr>
      <w:r>
        <w:rPr>
          <w:rFonts w:hint="eastAsia" w:ascii="楷体_GB2312" w:hAnsi="楷体_GB2312" w:eastAsia="楷体_GB2312" w:cs="楷体_GB2312"/>
          <w:b w:val="0"/>
          <w:bCs w:val="0"/>
          <w:color w:val="auto"/>
          <w:sz w:val="32"/>
          <w:szCs w:val="32"/>
          <w:highlight w:val="none"/>
          <w:lang w:val="en-US" w:eastAsia="zh-CN"/>
        </w:rPr>
        <w:t>如遇行程中车辆故障、交通事故等突发情况，报价人须在10分钟内响应，及时调配备用车辆或协助乘客换乘，保障乘客出行安全及行程顺利。</w:t>
      </w:r>
    </w:p>
    <w:p>
      <w:pPr>
        <w:spacing w:line="560" w:lineRule="exact"/>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五、费用及结算要求</w:t>
      </w:r>
    </w:p>
    <w:p>
      <w:pPr>
        <w:keepNext w:val="0"/>
        <w:keepLines w:val="0"/>
        <w:pageBreakBefore w:val="0"/>
        <w:widowControl w:val="0"/>
        <w:numPr>
          <w:ilvl w:val="0"/>
          <w:numId w:val="6"/>
        </w:numPr>
        <w:tabs>
          <w:tab w:val="left" w:pos="3570"/>
        </w:tabs>
        <w:kinsoku/>
        <w:wordWrap/>
        <w:overflowPunct/>
        <w:topLinePunct w:val="0"/>
        <w:autoSpaceDE/>
        <w:autoSpaceDN/>
        <w:bidi w:val="0"/>
        <w:adjustRightInd/>
        <w:snapToGrid/>
        <w:spacing w:line="560" w:lineRule="atLeast"/>
        <w:ind w:left="0" w:leftChars="0" w:right="0" w:rightChars="0" w:firstLine="640" w:firstLineChars="200"/>
        <w:jc w:val="both"/>
        <w:textAlignment w:val="auto"/>
        <w:outlineLvl w:val="9"/>
        <w:rPr>
          <w:rFonts w:hint="eastAsia" w:ascii="楷体_GB2312" w:hAnsi="楷体_GB2312" w:eastAsia="楷体_GB2312" w:cs="楷体_GB2312"/>
          <w:b w:val="0"/>
          <w:bCs w:val="0"/>
          <w:color w:val="auto"/>
          <w:sz w:val="32"/>
          <w:szCs w:val="32"/>
          <w:highlight w:val="none"/>
          <w:lang w:val="en-US" w:eastAsia="zh-CN"/>
        </w:rPr>
      </w:pPr>
      <w:r>
        <w:rPr>
          <w:rFonts w:hint="eastAsia" w:ascii="楷体_GB2312" w:hAnsi="楷体_GB2312" w:eastAsia="楷体_GB2312" w:cs="楷体_GB2312"/>
          <w:b w:val="0"/>
          <w:bCs w:val="0"/>
          <w:color w:val="auto"/>
          <w:sz w:val="32"/>
          <w:szCs w:val="32"/>
          <w:highlight w:val="none"/>
          <w:lang w:val="en-US" w:eastAsia="zh-CN"/>
        </w:rPr>
        <w:t>收费不得高于企业对公众发布的收费计价标准，提供用车服务过程中产生的过路、过桥、高速公路通行费（ETC）、停车等其他不可预见费用均由报价人垫资承担，采购人员工在行程结束后无需支付用车费及增值服务费。</w:t>
      </w:r>
    </w:p>
    <w:p>
      <w:pPr>
        <w:keepNext w:val="0"/>
        <w:keepLines w:val="0"/>
        <w:pageBreakBefore w:val="0"/>
        <w:widowControl w:val="0"/>
        <w:numPr>
          <w:ilvl w:val="0"/>
          <w:numId w:val="6"/>
        </w:numPr>
        <w:tabs>
          <w:tab w:val="left" w:pos="3570"/>
        </w:tabs>
        <w:kinsoku/>
        <w:wordWrap/>
        <w:overflowPunct/>
        <w:topLinePunct w:val="0"/>
        <w:autoSpaceDE/>
        <w:autoSpaceDN/>
        <w:bidi w:val="0"/>
        <w:adjustRightInd w:val="0"/>
        <w:snapToGrid/>
        <w:spacing w:line="560" w:lineRule="atLeast"/>
        <w:ind w:left="0" w:leftChars="0" w:right="0" w:rightChars="0" w:firstLine="640" w:firstLineChars="200"/>
        <w:jc w:val="both"/>
        <w:textAlignment w:val="auto"/>
        <w:outlineLvl w:val="9"/>
        <w:rPr>
          <w:rFonts w:hint="eastAsia" w:ascii="楷体_GB2312" w:hAnsi="楷体_GB2312" w:eastAsia="楷体_GB2312" w:cs="楷体_GB2312"/>
          <w:b w:val="0"/>
          <w:bCs w:val="0"/>
          <w:color w:val="auto"/>
          <w:sz w:val="32"/>
          <w:szCs w:val="32"/>
          <w:highlight w:val="none"/>
          <w:lang w:val="en-US" w:eastAsia="zh-CN"/>
        </w:rPr>
      </w:pPr>
      <w:r>
        <w:rPr>
          <w:rFonts w:hint="eastAsia" w:ascii="楷体_GB2312" w:hAnsi="楷体_GB2312" w:eastAsia="楷体_GB2312" w:cs="楷体_GB2312"/>
          <w:b w:val="0"/>
          <w:bCs w:val="0"/>
          <w:color w:val="auto"/>
          <w:sz w:val="32"/>
          <w:szCs w:val="32"/>
          <w:highlight w:val="none"/>
          <w:lang w:val="en-US" w:eastAsia="zh-CN"/>
        </w:rPr>
        <w:t>采购人仅接受报价人APP平台自动计费产生的用车金额，不接受任何经过修改的订单费用。</w:t>
      </w:r>
    </w:p>
    <w:p>
      <w:pPr>
        <w:keepNext w:val="0"/>
        <w:keepLines w:val="0"/>
        <w:pageBreakBefore w:val="0"/>
        <w:widowControl w:val="0"/>
        <w:numPr>
          <w:ilvl w:val="0"/>
          <w:numId w:val="6"/>
        </w:numPr>
        <w:tabs>
          <w:tab w:val="left" w:pos="3570"/>
        </w:tabs>
        <w:kinsoku/>
        <w:wordWrap/>
        <w:overflowPunct/>
        <w:topLinePunct w:val="0"/>
        <w:autoSpaceDE/>
        <w:autoSpaceDN/>
        <w:bidi w:val="0"/>
        <w:adjustRightInd/>
        <w:snapToGrid/>
        <w:spacing w:line="560" w:lineRule="atLeast"/>
        <w:ind w:left="0" w:leftChars="0" w:right="0" w:rightChars="0" w:firstLine="640" w:firstLineChars="200"/>
        <w:jc w:val="both"/>
        <w:textAlignment w:val="auto"/>
        <w:outlineLvl w:val="9"/>
        <w:rPr>
          <w:rFonts w:hint="eastAsia" w:ascii="楷体_GB2312" w:hAnsi="楷体_GB2312" w:eastAsia="楷体_GB2312" w:cs="楷体_GB2312"/>
          <w:b w:val="0"/>
          <w:bCs w:val="0"/>
          <w:color w:val="auto"/>
          <w:sz w:val="32"/>
          <w:szCs w:val="32"/>
          <w:highlight w:val="none"/>
          <w:lang w:val="en-US" w:eastAsia="zh-CN"/>
        </w:rPr>
      </w:pPr>
      <w:r>
        <w:rPr>
          <w:rFonts w:hint="eastAsia" w:ascii="楷体_GB2312" w:hAnsi="楷体_GB2312" w:eastAsia="楷体_GB2312" w:cs="楷体_GB2312"/>
          <w:b w:val="0"/>
          <w:bCs w:val="0"/>
          <w:color w:val="auto"/>
          <w:sz w:val="32"/>
          <w:szCs w:val="32"/>
          <w:highlight w:val="none"/>
          <w:lang w:val="en-US" w:eastAsia="zh-CN"/>
        </w:rPr>
        <w:t>服务费用采用按月结算，报价人每月5日前提交上月用车明细（含使用人、审批单号、车牌号、开始时间、结束时间、用车金额、金额明细等）及发票，采购人收到报价人开具的发票审核无误后60个自然日内付款。</w:t>
      </w:r>
    </w:p>
    <w:p>
      <w:pPr>
        <w:keepNext w:val="0"/>
        <w:keepLines w:val="0"/>
        <w:pageBreakBefore w:val="0"/>
        <w:widowControl w:val="0"/>
        <w:tabs>
          <w:tab w:val="left" w:pos="3570"/>
        </w:tabs>
        <w:kinsoku/>
        <w:wordWrap/>
        <w:overflowPunct/>
        <w:topLinePunct w:val="0"/>
        <w:autoSpaceDE/>
        <w:autoSpaceDN/>
        <w:bidi w:val="0"/>
        <w:adjustRightInd/>
        <w:snapToGrid/>
        <w:spacing w:line="440" w:lineRule="exact"/>
        <w:ind w:left="0" w:leftChars="0" w:right="0" w:rightChars="0" w:firstLine="640" w:firstLineChars="200"/>
        <w:jc w:val="both"/>
        <w:textAlignment w:val="auto"/>
        <w:outlineLvl w:val="9"/>
        <w:rPr>
          <w:rFonts w:hint="eastAsia" w:ascii="楷体_GB2312" w:hAnsi="楷体_GB2312" w:eastAsia="楷体_GB2312" w:cs="楷体_GB2312"/>
          <w:b/>
          <w:bCs/>
          <w:color w:val="auto"/>
          <w:sz w:val="24"/>
          <w:szCs w:val="24"/>
          <w:highlight w:val="none"/>
          <w:lang w:val="en-US" w:eastAsia="zh-CN"/>
        </w:rPr>
      </w:pPr>
      <w:r>
        <w:rPr>
          <w:rFonts w:hint="eastAsia" w:ascii="黑体" w:hAnsi="黑体" w:eastAsia="黑体" w:cs="黑体"/>
          <w:sz w:val="32"/>
          <w:szCs w:val="32"/>
          <w:lang w:val="en-US" w:eastAsia="zh-CN"/>
        </w:rPr>
        <w:t>六、管理服务考核</w:t>
      </w:r>
    </w:p>
    <w:p>
      <w:pPr>
        <w:keepNext w:val="0"/>
        <w:keepLines w:val="0"/>
        <w:pageBreakBefore w:val="0"/>
        <w:widowControl w:val="0"/>
        <w:numPr>
          <w:ilvl w:val="0"/>
          <w:numId w:val="7"/>
        </w:numPr>
        <w:tabs>
          <w:tab w:val="left" w:pos="3570"/>
        </w:tabs>
        <w:kinsoku/>
        <w:wordWrap/>
        <w:overflowPunct/>
        <w:topLinePunct w:val="0"/>
        <w:autoSpaceDE/>
        <w:autoSpaceDN/>
        <w:bidi w:val="0"/>
        <w:adjustRightInd/>
        <w:snapToGrid/>
        <w:spacing w:line="560" w:lineRule="atLeast"/>
        <w:ind w:left="0" w:leftChars="0" w:right="0" w:rightChars="0" w:firstLine="640" w:firstLineChars="200"/>
        <w:jc w:val="both"/>
        <w:textAlignment w:val="auto"/>
        <w:outlineLvl w:val="9"/>
        <w:rPr>
          <w:rFonts w:hint="eastAsia" w:ascii="楷体_GB2312" w:hAnsi="楷体_GB2312" w:eastAsia="楷体_GB2312" w:cs="楷体_GB2312"/>
          <w:b w:val="0"/>
          <w:bCs w:val="0"/>
          <w:color w:val="auto"/>
          <w:sz w:val="32"/>
          <w:szCs w:val="32"/>
          <w:highlight w:val="none"/>
          <w:lang w:val="en-US" w:eastAsia="zh-CN"/>
        </w:rPr>
      </w:pPr>
      <w:r>
        <w:rPr>
          <w:rFonts w:hint="eastAsia" w:ascii="楷体_GB2312" w:hAnsi="楷体_GB2312" w:eastAsia="楷体_GB2312" w:cs="楷体_GB2312"/>
          <w:b w:val="0"/>
          <w:bCs w:val="0"/>
          <w:color w:val="auto"/>
          <w:sz w:val="32"/>
          <w:szCs w:val="32"/>
          <w:highlight w:val="none"/>
          <w:lang w:val="en-US" w:eastAsia="zh-CN"/>
        </w:rPr>
        <w:t>报价人须确保向采购人提供专业化、标准化的用车服务，采购人有权对报价人的服务进行检查、考核，如其服务质量未达到标准的，采购人将对报价人的违约行为发出书面整改通知，逾期未整改或整改无明显效果，采购人有权根据合同约定终止合同。</w:t>
      </w:r>
    </w:p>
    <w:p>
      <w:pPr>
        <w:keepNext w:val="0"/>
        <w:keepLines w:val="0"/>
        <w:pageBreakBefore w:val="0"/>
        <w:widowControl w:val="0"/>
        <w:numPr>
          <w:ilvl w:val="0"/>
          <w:numId w:val="7"/>
        </w:numPr>
        <w:tabs>
          <w:tab w:val="left" w:pos="3570"/>
        </w:tabs>
        <w:kinsoku/>
        <w:wordWrap/>
        <w:overflowPunct/>
        <w:topLinePunct w:val="0"/>
        <w:autoSpaceDE/>
        <w:autoSpaceDN/>
        <w:bidi w:val="0"/>
        <w:adjustRightInd/>
        <w:snapToGrid/>
        <w:spacing w:line="560" w:lineRule="atLeast"/>
        <w:ind w:left="0" w:leftChars="0" w:right="0" w:rightChars="0" w:firstLine="640" w:firstLineChars="200"/>
        <w:jc w:val="both"/>
        <w:textAlignment w:val="auto"/>
        <w:outlineLvl w:val="9"/>
        <w:rPr>
          <w:rFonts w:hint="default" w:ascii="楷体_GB2312" w:hAnsi="楷体_GB2312" w:eastAsia="楷体_GB2312" w:cs="楷体_GB2312"/>
          <w:b w:val="0"/>
          <w:bCs w:val="0"/>
          <w:color w:val="auto"/>
          <w:sz w:val="32"/>
          <w:szCs w:val="32"/>
          <w:highlight w:val="none"/>
          <w:lang w:val="en-US" w:eastAsia="zh-CN"/>
        </w:rPr>
      </w:pPr>
      <w:r>
        <w:rPr>
          <w:rFonts w:hint="eastAsia" w:ascii="楷体_GB2312" w:hAnsi="楷体_GB2312" w:eastAsia="楷体_GB2312" w:cs="楷体_GB2312"/>
          <w:b w:val="0"/>
          <w:bCs w:val="0"/>
          <w:color w:val="auto"/>
          <w:sz w:val="32"/>
          <w:szCs w:val="32"/>
          <w:highlight w:val="none"/>
          <w:lang w:val="en-US" w:eastAsia="zh-CN"/>
        </w:rPr>
        <w:t>对达不到服务要求的，根据实际情况，采购单位有权自行选择处理方式，包括但不限于解除合同、调整成交比例（每次调整比例不超过本项目总额20%），情况如下：</w:t>
      </w:r>
    </w:p>
    <w:p>
      <w:pPr>
        <w:keepNext w:val="0"/>
        <w:keepLines w:val="0"/>
        <w:pageBreakBefore w:val="0"/>
        <w:widowControl w:val="0"/>
        <w:tabs>
          <w:tab w:val="left" w:pos="3570"/>
        </w:tabs>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1.相同服务内容以书面形式被投诉5次以上（经调查确认为成交人的责任的）。</w:t>
      </w:r>
    </w:p>
    <w:p>
      <w:pPr>
        <w:keepNext w:val="0"/>
        <w:keepLines w:val="0"/>
        <w:pageBreakBefore w:val="0"/>
        <w:widowControl w:val="0"/>
        <w:tabs>
          <w:tab w:val="left" w:pos="3570"/>
        </w:tabs>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2.考核不合格：采购人职能部门进行的季度考核，考评综合平均分80分以下（具体详见考核指标，服务期内季度合计2次，即可认定考核不合格）。</w:t>
      </w:r>
    </w:p>
    <w:p>
      <w:pPr>
        <w:keepNext w:val="0"/>
        <w:keepLines w:val="0"/>
        <w:pageBreakBefore w:val="0"/>
        <w:widowControl w:val="0"/>
        <w:tabs>
          <w:tab w:val="left" w:pos="3570"/>
        </w:tabs>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3如果发生重大安全责任事故，可随时终止合同。</w:t>
      </w:r>
    </w:p>
    <w:p>
      <w:pPr>
        <w:keepNext w:val="0"/>
        <w:keepLines w:val="0"/>
        <w:pageBreakBefore w:val="0"/>
        <w:widowControl w:val="0"/>
        <w:tabs>
          <w:tab w:val="left" w:pos="3570"/>
        </w:tabs>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4.严重影响服务和质量的其他行为，需方可视情况解除合同。</w:t>
      </w:r>
    </w:p>
    <w:p>
      <w:pPr>
        <w:numPr>
          <w:ilvl w:val="0"/>
          <w:numId w:val="0"/>
        </w:numPr>
        <w:ind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（1）在服务质量保证期内，成交人须对出现的服务质量及安全问题负责处理解决并承担一切费用。</w:t>
      </w:r>
    </w:p>
    <w:p>
      <w:pPr>
        <w:numPr>
          <w:ilvl w:val="0"/>
          <w:numId w:val="0"/>
        </w:numPr>
        <w:ind w:firstLine="640" w:firstLineChars="200"/>
        <w:rPr>
          <w:rFonts w:hint="eastAsia" w:ascii="仿宋_GB2312" w:hAnsi="仿宋_GB2312" w:eastAsia="仿宋_GB2312" w:cs="仿宋_GB2312"/>
          <w:sz w:val="32"/>
          <w:szCs w:val="32"/>
          <w:lang w:val="en-US" w:eastAsia="zh-CN"/>
        </w:rPr>
      </w:pPr>
    </w:p>
    <w:p>
      <w:pPr>
        <w:numPr>
          <w:ilvl w:val="0"/>
          <w:numId w:val="0"/>
        </w:numPr>
        <w:ind w:firstLine="640" w:firstLineChars="200"/>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sz w:val="32"/>
          <w:szCs w:val="32"/>
          <w:lang w:val="en-US" w:eastAsia="zh-CN"/>
        </w:rPr>
        <w:t>采购人</w:t>
      </w:r>
      <w:bookmarkStart w:id="0" w:name="_GoBack"/>
      <w:bookmarkEnd w:id="0"/>
      <w:r>
        <w:rPr>
          <w:rFonts w:hint="eastAsia" w:ascii="仿宋_GB2312" w:hAnsi="仿宋_GB2312" w:eastAsia="仿宋_GB2312" w:cs="仿宋_GB2312"/>
          <w:sz w:val="32"/>
          <w:szCs w:val="32"/>
          <w:lang w:val="en-US" w:eastAsia="zh-CN"/>
        </w:rPr>
        <w:t>定期对成交人进行相关考核，具体考核内容包括但不限于：</w:t>
      </w:r>
      <w:r>
        <w:rPr>
          <w:rFonts w:hint="eastAsia" w:ascii="仿宋_GB2312" w:hAnsi="仿宋_GB2312" w:eastAsia="仿宋_GB2312" w:cs="仿宋_GB2312"/>
          <w:color w:val="auto"/>
          <w:sz w:val="24"/>
          <w:szCs w:val="24"/>
          <w:highlight w:val="none"/>
          <w:lang w:val="en-US" w:eastAsia="zh-CN"/>
        </w:rPr>
        <w:t xml:space="preserve"> </w:t>
      </w:r>
    </w:p>
    <w:tbl>
      <w:tblPr>
        <w:tblStyle w:val="4"/>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8"/>
        <w:gridCol w:w="5030"/>
        <w:gridCol w:w="839"/>
        <w:gridCol w:w="16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586" w:type="pct"/>
            <w:noWrap w:val="0"/>
            <w:vAlign w:val="center"/>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序号</w:t>
            </w:r>
          </w:p>
        </w:tc>
        <w:tc>
          <w:tcPr>
            <w:tcW w:w="2954" w:type="pct"/>
            <w:noWrap w:val="0"/>
            <w:vAlign w:val="center"/>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考评项目</w:t>
            </w:r>
          </w:p>
        </w:tc>
        <w:tc>
          <w:tcPr>
            <w:tcW w:w="493" w:type="pct"/>
            <w:noWrap w:val="0"/>
            <w:vAlign w:val="center"/>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分值</w:t>
            </w:r>
          </w:p>
        </w:tc>
        <w:tc>
          <w:tcPr>
            <w:tcW w:w="966" w:type="pct"/>
            <w:noWrap w:val="0"/>
            <w:vAlign w:val="center"/>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实际得分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86" w:type="pct"/>
            <w:noWrap w:val="0"/>
            <w:vAlign w:val="top"/>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w:t>
            </w:r>
          </w:p>
        </w:tc>
        <w:tc>
          <w:tcPr>
            <w:tcW w:w="2954" w:type="pct"/>
            <w:noWrap w:val="0"/>
            <w:vAlign w:val="top"/>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车辆状况</w:t>
            </w:r>
          </w:p>
        </w:tc>
        <w:tc>
          <w:tcPr>
            <w:tcW w:w="493" w:type="pct"/>
            <w:noWrap w:val="0"/>
            <w:vAlign w:val="center"/>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10</w:t>
            </w:r>
          </w:p>
        </w:tc>
        <w:tc>
          <w:tcPr>
            <w:tcW w:w="966" w:type="pct"/>
            <w:noWrap w:val="0"/>
            <w:vAlign w:val="top"/>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left="0" w:leftChars="0" w:right="0" w:rightChars="0" w:firstLine="640" w:firstLineChars="200"/>
              <w:jc w:val="center"/>
              <w:textAlignment w:val="auto"/>
              <w:outlineLvl w:val="9"/>
              <w:rPr>
                <w:rFonts w:hint="eastAsia" w:ascii="仿宋_GB2312" w:hAnsi="仿宋_GB2312" w:eastAsia="仿宋_GB2312" w:cs="仿宋_GB2312"/>
                <w:color w:val="auto"/>
                <w:sz w:val="32"/>
                <w:szCs w:val="32"/>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86" w:type="pct"/>
            <w:noWrap w:val="0"/>
            <w:vAlign w:val="top"/>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w:t>
            </w:r>
          </w:p>
        </w:tc>
        <w:tc>
          <w:tcPr>
            <w:tcW w:w="2954" w:type="pct"/>
            <w:noWrap w:val="0"/>
            <w:vAlign w:val="top"/>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车内整洁度</w:t>
            </w:r>
          </w:p>
        </w:tc>
        <w:tc>
          <w:tcPr>
            <w:tcW w:w="493" w:type="pct"/>
            <w:noWrap w:val="0"/>
            <w:vAlign w:val="center"/>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10</w:t>
            </w:r>
          </w:p>
        </w:tc>
        <w:tc>
          <w:tcPr>
            <w:tcW w:w="966" w:type="pct"/>
            <w:noWrap w:val="0"/>
            <w:vAlign w:val="top"/>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left="0" w:leftChars="0" w:right="0" w:rightChars="0" w:firstLine="640" w:firstLineChars="200"/>
              <w:jc w:val="center"/>
              <w:textAlignment w:val="auto"/>
              <w:outlineLvl w:val="9"/>
              <w:rPr>
                <w:rFonts w:hint="eastAsia" w:ascii="仿宋_GB2312" w:hAnsi="仿宋_GB2312" w:eastAsia="仿宋_GB2312" w:cs="仿宋_GB2312"/>
                <w:color w:val="auto"/>
                <w:sz w:val="32"/>
                <w:szCs w:val="32"/>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86" w:type="pct"/>
            <w:noWrap w:val="0"/>
            <w:vAlign w:val="top"/>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w:t>
            </w:r>
          </w:p>
        </w:tc>
        <w:tc>
          <w:tcPr>
            <w:tcW w:w="2954" w:type="pct"/>
            <w:noWrap w:val="0"/>
            <w:vAlign w:val="top"/>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出车准点率</w:t>
            </w:r>
          </w:p>
        </w:tc>
        <w:tc>
          <w:tcPr>
            <w:tcW w:w="493" w:type="pct"/>
            <w:noWrap w:val="0"/>
            <w:vAlign w:val="center"/>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10</w:t>
            </w:r>
          </w:p>
        </w:tc>
        <w:tc>
          <w:tcPr>
            <w:tcW w:w="966" w:type="pct"/>
            <w:noWrap w:val="0"/>
            <w:vAlign w:val="top"/>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left="0" w:leftChars="0" w:right="0" w:rightChars="0" w:firstLine="640" w:firstLineChars="200"/>
              <w:jc w:val="center"/>
              <w:textAlignment w:val="auto"/>
              <w:outlineLvl w:val="9"/>
              <w:rPr>
                <w:rFonts w:hint="eastAsia" w:ascii="仿宋_GB2312" w:hAnsi="仿宋_GB2312" w:eastAsia="仿宋_GB2312" w:cs="仿宋_GB2312"/>
                <w:color w:val="auto"/>
                <w:sz w:val="32"/>
                <w:szCs w:val="32"/>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86" w:type="pct"/>
            <w:noWrap w:val="0"/>
            <w:vAlign w:val="top"/>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w:t>
            </w:r>
          </w:p>
        </w:tc>
        <w:tc>
          <w:tcPr>
            <w:tcW w:w="2954" w:type="pct"/>
            <w:noWrap w:val="0"/>
            <w:vAlign w:val="top"/>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驾驶员路线熟悉情况</w:t>
            </w:r>
          </w:p>
        </w:tc>
        <w:tc>
          <w:tcPr>
            <w:tcW w:w="493" w:type="pct"/>
            <w:noWrap w:val="0"/>
            <w:vAlign w:val="center"/>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10</w:t>
            </w:r>
          </w:p>
        </w:tc>
        <w:tc>
          <w:tcPr>
            <w:tcW w:w="966" w:type="pct"/>
            <w:noWrap w:val="0"/>
            <w:vAlign w:val="top"/>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left="0" w:leftChars="0" w:right="0" w:rightChars="0" w:firstLine="640" w:firstLineChars="200"/>
              <w:jc w:val="center"/>
              <w:textAlignment w:val="auto"/>
              <w:outlineLvl w:val="9"/>
              <w:rPr>
                <w:rFonts w:hint="eastAsia" w:ascii="仿宋_GB2312" w:hAnsi="仿宋_GB2312" w:eastAsia="仿宋_GB2312" w:cs="仿宋_GB2312"/>
                <w:color w:val="auto"/>
                <w:sz w:val="32"/>
                <w:szCs w:val="32"/>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86" w:type="pct"/>
            <w:noWrap w:val="0"/>
            <w:vAlign w:val="top"/>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w:t>
            </w:r>
          </w:p>
        </w:tc>
        <w:tc>
          <w:tcPr>
            <w:tcW w:w="2954" w:type="pct"/>
            <w:noWrap w:val="0"/>
            <w:vAlign w:val="top"/>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驾驶员服务态度</w:t>
            </w:r>
          </w:p>
        </w:tc>
        <w:tc>
          <w:tcPr>
            <w:tcW w:w="493" w:type="pct"/>
            <w:noWrap w:val="0"/>
            <w:vAlign w:val="center"/>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10</w:t>
            </w:r>
          </w:p>
        </w:tc>
        <w:tc>
          <w:tcPr>
            <w:tcW w:w="966" w:type="pct"/>
            <w:noWrap w:val="0"/>
            <w:vAlign w:val="top"/>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left="0" w:leftChars="0" w:right="0" w:rightChars="0" w:firstLine="640" w:firstLineChars="200"/>
              <w:jc w:val="center"/>
              <w:textAlignment w:val="auto"/>
              <w:outlineLvl w:val="9"/>
              <w:rPr>
                <w:rFonts w:hint="eastAsia" w:ascii="仿宋_GB2312" w:hAnsi="仿宋_GB2312" w:eastAsia="仿宋_GB2312" w:cs="仿宋_GB2312"/>
                <w:color w:val="auto"/>
                <w:sz w:val="32"/>
                <w:szCs w:val="32"/>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86" w:type="pct"/>
            <w:noWrap w:val="0"/>
            <w:vAlign w:val="top"/>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6</w:t>
            </w:r>
          </w:p>
        </w:tc>
        <w:tc>
          <w:tcPr>
            <w:tcW w:w="2954" w:type="pct"/>
            <w:noWrap w:val="0"/>
            <w:vAlign w:val="top"/>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驾驶员的应急处理能力</w:t>
            </w:r>
          </w:p>
        </w:tc>
        <w:tc>
          <w:tcPr>
            <w:tcW w:w="493" w:type="pct"/>
            <w:noWrap w:val="0"/>
            <w:vAlign w:val="center"/>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10</w:t>
            </w:r>
          </w:p>
        </w:tc>
        <w:tc>
          <w:tcPr>
            <w:tcW w:w="966" w:type="pct"/>
            <w:noWrap w:val="0"/>
            <w:vAlign w:val="top"/>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left="0" w:leftChars="0" w:right="0" w:rightChars="0" w:firstLine="640" w:firstLineChars="200"/>
              <w:jc w:val="center"/>
              <w:textAlignment w:val="auto"/>
              <w:outlineLvl w:val="9"/>
              <w:rPr>
                <w:rFonts w:hint="eastAsia" w:ascii="仿宋_GB2312" w:hAnsi="仿宋_GB2312" w:eastAsia="仿宋_GB2312" w:cs="仿宋_GB2312"/>
                <w:color w:val="auto"/>
                <w:sz w:val="32"/>
                <w:szCs w:val="32"/>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86" w:type="pct"/>
            <w:noWrap w:val="0"/>
            <w:vAlign w:val="top"/>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7</w:t>
            </w:r>
          </w:p>
        </w:tc>
        <w:tc>
          <w:tcPr>
            <w:tcW w:w="2954" w:type="pct"/>
            <w:noWrap w:val="0"/>
            <w:vAlign w:val="top"/>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行车安全</w:t>
            </w:r>
          </w:p>
        </w:tc>
        <w:tc>
          <w:tcPr>
            <w:tcW w:w="493" w:type="pct"/>
            <w:noWrap w:val="0"/>
            <w:vAlign w:val="center"/>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10</w:t>
            </w:r>
          </w:p>
        </w:tc>
        <w:tc>
          <w:tcPr>
            <w:tcW w:w="966" w:type="pct"/>
            <w:noWrap w:val="0"/>
            <w:vAlign w:val="top"/>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left="0" w:leftChars="0" w:right="0" w:rightChars="0" w:firstLine="640" w:firstLineChars="200"/>
              <w:jc w:val="center"/>
              <w:textAlignment w:val="auto"/>
              <w:outlineLvl w:val="9"/>
              <w:rPr>
                <w:rFonts w:hint="eastAsia" w:ascii="仿宋_GB2312" w:hAnsi="仿宋_GB2312" w:eastAsia="仿宋_GB2312" w:cs="仿宋_GB2312"/>
                <w:color w:val="auto"/>
                <w:sz w:val="32"/>
                <w:szCs w:val="32"/>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86" w:type="pct"/>
            <w:noWrap w:val="0"/>
            <w:vAlign w:val="top"/>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8</w:t>
            </w:r>
          </w:p>
        </w:tc>
        <w:tc>
          <w:tcPr>
            <w:tcW w:w="2954" w:type="pct"/>
            <w:noWrap w:val="0"/>
            <w:vAlign w:val="top"/>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安排车辆响应度</w:t>
            </w:r>
          </w:p>
        </w:tc>
        <w:tc>
          <w:tcPr>
            <w:tcW w:w="493" w:type="pct"/>
            <w:noWrap w:val="0"/>
            <w:vAlign w:val="center"/>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10</w:t>
            </w:r>
          </w:p>
        </w:tc>
        <w:tc>
          <w:tcPr>
            <w:tcW w:w="966" w:type="pct"/>
            <w:noWrap w:val="0"/>
            <w:vAlign w:val="top"/>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left="0" w:leftChars="0" w:right="0" w:rightChars="0" w:firstLine="640" w:firstLineChars="200"/>
              <w:jc w:val="center"/>
              <w:textAlignment w:val="auto"/>
              <w:outlineLvl w:val="9"/>
              <w:rPr>
                <w:rFonts w:hint="eastAsia" w:ascii="仿宋_GB2312" w:hAnsi="仿宋_GB2312" w:eastAsia="仿宋_GB2312" w:cs="仿宋_GB2312"/>
                <w:color w:val="auto"/>
                <w:sz w:val="32"/>
                <w:szCs w:val="32"/>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86" w:type="pct"/>
            <w:noWrap w:val="0"/>
            <w:vAlign w:val="top"/>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9</w:t>
            </w:r>
          </w:p>
        </w:tc>
        <w:tc>
          <w:tcPr>
            <w:tcW w:w="2954" w:type="pct"/>
            <w:noWrap w:val="0"/>
            <w:vAlign w:val="top"/>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高峰期车辆保障能力</w:t>
            </w:r>
          </w:p>
        </w:tc>
        <w:tc>
          <w:tcPr>
            <w:tcW w:w="493" w:type="pct"/>
            <w:noWrap w:val="0"/>
            <w:vAlign w:val="center"/>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10</w:t>
            </w:r>
          </w:p>
        </w:tc>
        <w:tc>
          <w:tcPr>
            <w:tcW w:w="966" w:type="pct"/>
            <w:noWrap w:val="0"/>
            <w:vAlign w:val="top"/>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left="0" w:leftChars="0" w:right="0" w:rightChars="0" w:firstLine="640" w:firstLineChars="200"/>
              <w:jc w:val="center"/>
              <w:textAlignment w:val="auto"/>
              <w:outlineLvl w:val="9"/>
              <w:rPr>
                <w:rFonts w:hint="eastAsia" w:ascii="仿宋_GB2312" w:hAnsi="仿宋_GB2312" w:eastAsia="仿宋_GB2312" w:cs="仿宋_GB2312"/>
                <w:color w:val="auto"/>
                <w:sz w:val="32"/>
                <w:szCs w:val="32"/>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586" w:type="pct"/>
            <w:noWrap w:val="0"/>
            <w:vAlign w:val="center"/>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10</w:t>
            </w:r>
          </w:p>
        </w:tc>
        <w:tc>
          <w:tcPr>
            <w:tcW w:w="2954" w:type="pct"/>
            <w:noWrap w:val="0"/>
            <w:vAlign w:val="top"/>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服务单位对突发情况处置及配合度</w:t>
            </w:r>
          </w:p>
        </w:tc>
        <w:tc>
          <w:tcPr>
            <w:tcW w:w="493" w:type="pct"/>
            <w:noWrap w:val="0"/>
            <w:vAlign w:val="center"/>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10</w:t>
            </w:r>
          </w:p>
        </w:tc>
        <w:tc>
          <w:tcPr>
            <w:tcW w:w="966" w:type="pct"/>
            <w:noWrap w:val="0"/>
            <w:vAlign w:val="top"/>
          </w:tcPr>
          <w:p>
            <w:pPr>
              <w:keepNext w:val="0"/>
              <w:keepLines w:val="0"/>
              <w:pageBreakBefore w:val="0"/>
              <w:widowControl w:val="0"/>
              <w:tabs>
                <w:tab w:val="left" w:pos="3570"/>
              </w:tabs>
              <w:kinsoku/>
              <w:wordWrap/>
              <w:overflowPunct/>
              <w:topLinePunct w:val="0"/>
              <w:autoSpaceDE/>
              <w:autoSpaceDN/>
              <w:bidi w:val="0"/>
              <w:adjustRightInd/>
              <w:snapToGrid/>
              <w:spacing w:line="440" w:lineRule="exact"/>
              <w:ind w:left="0" w:leftChars="0" w:right="0" w:rightChars="0" w:firstLine="640" w:firstLineChars="200"/>
              <w:jc w:val="center"/>
              <w:textAlignment w:val="auto"/>
              <w:outlineLvl w:val="9"/>
              <w:rPr>
                <w:rFonts w:hint="eastAsia" w:ascii="仿宋_GB2312" w:hAnsi="仿宋_GB2312" w:eastAsia="仿宋_GB2312" w:cs="仿宋_GB2312"/>
                <w:color w:val="auto"/>
                <w:sz w:val="32"/>
                <w:szCs w:val="32"/>
                <w:highlight w:val="none"/>
                <w:lang w:val="en-US" w:eastAsia="zh-CN"/>
              </w:rPr>
            </w:pPr>
          </w:p>
        </w:tc>
      </w:tr>
    </w:tbl>
    <w:p>
      <w:pPr>
        <w:keepNext w:val="0"/>
        <w:keepLines w:val="0"/>
        <w:pageBreakBefore w:val="0"/>
        <w:widowControl w:val="0"/>
        <w:tabs>
          <w:tab w:val="left" w:pos="3570"/>
        </w:tabs>
        <w:kinsoku/>
        <w:wordWrap/>
        <w:overflowPunct/>
        <w:topLinePunct w:val="0"/>
        <w:autoSpaceDE/>
        <w:autoSpaceDN/>
        <w:bidi w:val="0"/>
        <w:adjustRightInd/>
        <w:snapToGrid/>
        <w:spacing w:line="440" w:lineRule="exact"/>
        <w:ind w:right="0" w:rightChars="0"/>
        <w:jc w:val="center"/>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注：考核综合得分满分为100分，达到90分以上（含90分）为优秀，80分以上（含80分）为合格，80分以下为不合格。</w:t>
      </w:r>
    </w:p>
    <w:p>
      <w:pPr>
        <w:spacing w:line="560" w:lineRule="exact"/>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七、其他要求</w:t>
      </w:r>
    </w:p>
    <w:p>
      <w:pPr>
        <w:keepNext w:val="0"/>
        <w:keepLines w:val="0"/>
        <w:pageBreakBefore w:val="0"/>
        <w:widowControl w:val="0"/>
        <w:numPr>
          <w:ilvl w:val="0"/>
          <w:numId w:val="8"/>
        </w:numPr>
        <w:tabs>
          <w:tab w:val="left" w:pos="3570"/>
        </w:tabs>
        <w:kinsoku/>
        <w:wordWrap/>
        <w:overflowPunct/>
        <w:topLinePunct w:val="0"/>
        <w:autoSpaceDE/>
        <w:autoSpaceDN/>
        <w:bidi w:val="0"/>
        <w:adjustRightInd/>
        <w:snapToGrid/>
        <w:spacing w:line="560" w:lineRule="atLeast"/>
        <w:ind w:left="0" w:leftChars="0" w:right="0" w:rightChars="0" w:firstLine="640" w:firstLineChars="200"/>
        <w:jc w:val="both"/>
        <w:textAlignment w:val="auto"/>
        <w:outlineLvl w:val="9"/>
        <w:rPr>
          <w:rFonts w:hint="eastAsia" w:ascii="楷体_GB2312" w:hAnsi="楷体_GB2312" w:eastAsia="楷体_GB2312" w:cs="楷体_GB2312"/>
          <w:b w:val="0"/>
          <w:bCs w:val="0"/>
          <w:color w:val="auto"/>
          <w:sz w:val="32"/>
          <w:szCs w:val="32"/>
          <w:highlight w:val="none"/>
          <w:lang w:val="en-US" w:eastAsia="zh-CN"/>
        </w:rPr>
      </w:pPr>
      <w:r>
        <w:rPr>
          <w:rFonts w:hint="eastAsia" w:ascii="仿宋_GB2312" w:hAnsi="仿宋_GB2312" w:eastAsia="仿宋_GB2312" w:cs="仿宋_GB2312"/>
          <w:sz w:val="32"/>
          <w:szCs w:val="32"/>
        </w:rPr>
        <w:t> </w:t>
      </w:r>
      <w:r>
        <w:rPr>
          <w:rFonts w:hint="eastAsia" w:ascii="楷体_GB2312" w:hAnsi="楷体_GB2312" w:eastAsia="楷体_GB2312" w:cs="楷体_GB2312"/>
          <w:b w:val="0"/>
          <w:bCs w:val="0"/>
          <w:color w:val="auto"/>
          <w:sz w:val="32"/>
          <w:szCs w:val="32"/>
          <w:highlight w:val="none"/>
          <w:lang w:val="en-US" w:eastAsia="zh-CN"/>
        </w:rPr>
        <w:t>报价人须承诺严格遵守采购方的保密制度，不得泄露采购人员工的出行信息、联系方式等敏感数据。</w:t>
      </w:r>
    </w:p>
    <w:p>
      <w:pPr>
        <w:keepNext w:val="0"/>
        <w:keepLines w:val="0"/>
        <w:pageBreakBefore w:val="0"/>
        <w:widowControl w:val="0"/>
        <w:numPr>
          <w:ilvl w:val="0"/>
          <w:numId w:val="8"/>
        </w:numPr>
        <w:tabs>
          <w:tab w:val="left" w:pos="3570"/>
        </w:tabs>
        <w:kinsoku/>
        <w:wordWrap/>
        <w:overflowPunct/>
        <w:topLinePunct w:val="0"/>
        <w:autoSpaceDE/>
        <w:autoSpaceDN/>
        <w:bidi w:val="0"/>
        <w:adjustRightInd/>
        <w:snapToGrid/>
        <w:spacing w:line="560" w:lineRule="atLeast"/>
        <w:ind w:left="0" w:leftChars="0" w:right="0" w:rightChars="0" w:firstLine="640" w:firstLineChars="200"/>
        <w:jc w:val="both"/>
        <w:textAlignment w:val="auto"/>
        <w:outlineLvl w:val="9"/>
        <w:rPr>
          <w:rFonts w:hint="eastAsia" w:ascii="楷体_GB2312" w:hAnsi="楷体_GB2312" w:eastAsia="楷体_GB2312" w:cs="楷体_GB2312"/>
          <w:b w:val="0"/>
          <w:bCs w:val="0"/>
          <w:color w:val="auto"/>
          <w:sz w:val="32"/>
          <w:szCs w:val="32"/>
          <w:highlight w:val="none"/>
          <w:lang w:val="en-US" w:eastAsia="zh-CN"/>
        </w:rPr>
      </w:pPr>
      <w:r>
        <w:rPr>
          <w:rFonts w:hint="eastAsia" w:ascii="楷体_GB2312" w:hAnsi="楷体_GB2312" w:eastAsia="楷体_GB2312" w:cs="楷体_GB2312"/>
          <w:b w:val="0"/>
          <w:bCs w:val="0"/>
          <w:color w:val="auto"/>
          <w:sz w:val="32"/>
          <w:szCs w:val="32"/>
          <w:highlight w:val="none"/>
          <w:lang w:val="en-US" w:eastAsia="zh-CN"/>
        </w:rPr>
        <w:t>报价人不得泄露采购人的用车人员信息、行程安排等商业秘密，违者承担相应法律责任。</w:t>
      </w:r>
    </w:p>
    <w:p>
      <w:pPr>
        <w:keepNext w:val="0"/>
        <w:keepLines w:val="0"/>
        <w:pageBreakBefore w:val="0"/>
        <w:widowControl w:val="0"/>
        <w:numPr>
          <w:ilvl w:val="0"/>
          <w:numId w:val="8"/>
        </w:numPr>
        <w:tabs>
          <w:tab w:val="left" w:pos="3570"/>
        </w:tabs>
        <w:kinsoku/>
        <w:wordWrap/>
        <w:overflowPunct/>
        <w:topLinePunct w:val="0"/>
        <w:autoSpaceDE/>
        <w:autoSpaceDN/>
        <w:bidi w:val="0"/>
        <w:adjustRightInd/>
        <w:snapToGrid/>
        <w:spacing w:line="560" w:lineRule="atLeast"/>
        <w:ind w:left="0" w:leftChars="0" w:right="0" w:rightChars="0" w:firstLine="640" w:firstLineChars="200"/>
        <w:jc w:val="both"/>
        <w:textAlignment w:val="auto"/>
        <w:outlineLvl w:val="9"/>
        <w:rPr>
          <w:rFonts w:hint="eastAsia" w:ascii="楷体_GB2312" w:hAnsi="楷体_GB2312" w:eastAsia="楷体_GB2312" w:cs="楷体_GB2312"/>
          <w:b w:val="0"/>
          <w:bCs w:val="0"/>
          <w:color w:val="auto"/>
          <w:sz w:val="32"/>
          <w:szCs w:val="32"/>
          <w:highlight w:val="none"/>
          <w:lang w:val="en-US" w:eastAsia="zh-CN"/>
        </w:rPr>
      </w:pPr>
      <w:r>
        <w:rPr>
          <w:rFonts w:hint="eastAsia" w:ascii="楷体_GB2312" w:hAnsi="楷体_GB2312" w:eastAsia="楷体_GB2312" w:cs="楷体_GB2312"/>
          <w:b w:val="0"/>
          <w:bCs w:val="0"/>
          <w:color w:val="auto"/>
          <w:sz w:val="32"/>
          <w:szCs w:val="32"/>
          <w:highlight w:val="none"/>
          <w:lang w:val="en-US" w:eastAsia="zh-CN"/>
        </w:rPr>
        <w:t>合作前需向采购人提供：</w:t>
      </w:r>
    </w:p>
    <w:p>
      <w:pPr>
        <w:keepNext w:val="0"/>
        <w:keepLines w:val="0"/>
        <w:pageBreakBefore w:val="0"/>
        <w:widowControl w:val="0"/>
        <w:numPr>
          <w:ilvl w:val="0"/>
          <w:numId w:val="0"/>
        </w:numPr>
        <w:tabs>
          <w:tab w:val="left" w:pos="3570"/>
        </w:tabs>
        <w:kinsoku/>
        <w:wordWrap/>
        <w:overflowPunct/>
        <w:topLinePunct w:val="0"/>
        <w:autoSpaceDE/>
        <w:autoSpaceDN/>
        <w:bidi w:val="0"/>
        <w:adjustRightInd/>
        <w:snapToGrid/>
        <w:spacing w:line="560" w:lineRule="atLeast"/>
        <w:ind w:right="0" w:rightChars="0" w:firstLine="640" w:firstLineChars="200"/>
        <w:jc w:val="both"/>
        <w:textAlignment w:val="auto"/>
        <w:outlineLvl w:val="9"/>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1.营业执照</w:t>
      </w:r>
    </w:p>
    <w:p>
      <w:pPr>
        <w:keepNext w:val="0"/>
        <w:keepLines w:val="0"/>
        <w:pageBreakBefore w:val="0"/>
        <w:widowControl w:val="0"/>
        <w:numPr>
          <w:ilvl w:val="0"/>
          <w:numId w:val="0"/>
        </w:numPr>
        <w:tabs>
          <w:tab w:val="left" w:pos="3570"/>
        </w:tabs>
        <w:kinsoku/>
        <w:wordWrap/>
        <w:overflowPunct/>
        <w:topLinePunct w:val="0"/>
        <w:autoSpaceDE/>
        <w:autoSpaceDN/>
        <w:bidi w:val="0"/>
        <w:adjustRightInd/>
        <w:snapToGrid/>
        <w:spacing w:line="560" w:lineRule="atLeast"/>
        <w:ind w:right="0" w:rightChars="0" w:firstLine="640" w:firstLineChars="200"/>
        <w:jc w:val="both"/>
        <w:textAlignment w:val="auto"/>
        <w:outlineLvl w:val="9"/>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2.网络预约出租汽车经营许可证</w:t>
      </w:r>
    </w:p>
    <w:p>
      <w:pPr>
        <w:pStyle w:val="2"/>
        <w:numPr>
          <w:ilvl w:val="0"/>
          <w:numId w:val="0"/>
        </w:numPr>
        <w:ind w:leftChars="0" w:firstLine="640" w:firstLineChars="200"/>
        <w:rPr>
          <w:rFonts w:hint="eastAsia"/>
          <w:lang w:val="en-US" w:eastAsia="zh-CN"/>
        </w:rPr>
      </w:pPr>
      <w:r>
        <w:rPr>
          <w:rFonts w:hint="eastAsia" w:ascii="仿宋_GB2312" w:hAnsi="仿宋_GB2312" w:eastAsia="仿宋_GB2312" w:cs="仿宋_GB2312"/>
          <w:b w:val="0"/>
          <w:bCs w:val="0"/>
          <w:color w:val="auto"/>
          <w:sz w:val="32"/>
          <w:szCs w:val="32"/>
          <w:highlight w:val="none"/>
          <w:lang w:val="en-US" w:eastAsia="zh-CN"/>
        </w:rPr>
        <w:t>3.提供报价表（根据报价表模板进行报价）并加盖报价人公章。</w:t>
      </w:r>
    </w:p>
    <w:p>
      <w:pPr>
        <w:keepNext w:val="0"/>
        <w:keepLines w:val="0"/>
        <w:pageBreakBefore w:val="0"/>
        <w:widowControl w:val="0"/>
        <w:numPr>
          <w:ilvl w:val="0"/>
          <w:numId w:val="0"/>
        </w:numPr>
        <w:tabs>
          <w:tab w:val="left" w:pos="3570"/>
        </w:tabs>
        <w:kinsoku/>
        <w:wordWrap/>
        <w:overflowPunct/>
        <w:topLinePunct w:val="0"/>
        <w:autoSpaceDE/>
        <w:autoSpaceDN/>
        <w:bidi w:val="0"/>
        <w:adjustRightInd/>
        <w:snapToGrid/>
        <w:spacing w:line="560" w:lineRule="atLeast"/>
        <w:ind w:right="0" w:rightChars="0" w:firstLine="640" w:firstLineChars="200"/>
        <w:jc w:val="both"/>
        <w:textAlignment w:val="auto"/>
        <w:outlineLvl w:val="9"/>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4.须满足技术规范书的全部要求，同步提供相关证明材料，并加盖报价人公章。</w:t>
      </w:r>
    </w:p>
    <w:p>
      <w:pPr>
        <w:keepNext w:val="0"/>
        <w:keepLines w:val="0"/>
        <w:pageBreakBefore w:val="0"/>
        <w:widowControl w:val="0"/>
        <w:numPr>
          <w:ilvl w:val="0"/>
          <w:numId w:val="8"/>
        </w:numPr>
        <w:tabs>
          <w:tab w:val="left" w:pos="3570"/>
        </w:tabs>
        <w:kinsoku/>
        <w:wordWrap/>
        <w:overflowPunct/>
        <w:topLinePunct w:val="0"/>
        <w:autoSpaceDE/>
        <w:autoSpaceDN/>
        <w:bidi w:val="0"/>
        <w:adjustRightInd/>
        <w:snapToGrid/>
        <w:spacing w:line="560" w:lineRule="atLeast"/>
        <w:ind w:left="0" w:leftChars="0" w:right="0" w:rightChars="0" w:firstLine="640" w:firstLineChars="200"/>
        <w:jc w:val="both"/>
        <w:textAlignment w:val="auto"/>
        <w:outlineLvl w:val="9"/>
        <w:rPr>
          <w:rFonts w:hint="eastAsia" w:ascii="楷体_GB2312" w:hAnsi="楷体_GB2312" w:eastAsia="楷体_GB2312" w:cs="楷体_GB2312"/>
          <w:b w:val="0"/>
          <w:bCs w:val="0"/>
          <w:color w:val="auto"/>
          <w:sz w:val="32"/>
          <w:szCs w:val="32"/>
          <w:highlight w:val="none"/>
          <w:lang w:val="en-US" w:eastAsia="zh-CN"/>
        </w:rPr>
      </w:pPr>
      <w:r>
        <w:rPr>
          <w:rFonts w:hint="eastAsia" w:ascii="楷体_GB2312" w:hAnsi="楷体_GB2312" w:eastAsia="楷体_GB2312" w:cs="楷体_GB2312"/>
          <w:b w:val="0"/>
          <w:bCs w:val="0"/>
          <w:color w:val="auto"/>
          <w:sz w:val="32"/>
          <w:szCs w:val="32"/>
          <w:highlight w:val="none"/>
          <w:lang w:val="en-US" w:eastAsia="zh-CN"/>
        </w:rPr>
        <w:t> 本技术规范书未尽事宜，由双方在合同中进一步明确，合同条款与本规范书不一致的，以合同为准。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07EC5A"/>
    <w:multiLevelType w:val="singleLevel"/>
    <w:tmpl w:val="8307EC5A"/>
    <w:lvl w:ilvl="0" w:tentative="0">
      <w:start w:val="1"/>
      <w:numFmt w:val="chineseCounting"/>
      <w:suff w:val="nothing"/>
      <w:lvlText w:val="（%1）"/>
      <w:lvlJc w:val="left"/>
      <w:pPr>
        <w:ind w:left="0" w:firstLine="420"/>
      </w:pPr>
      <w:rPr>
        <w:rFonts w:hint="eastAsia" w:ascii="楷体_GB2312" w:hAnsi="楷体_GB2312" w:eastAsia="楷体_GB2312" w:cs="楷体_GB2312"/>
      </w:rPr>
    </w:lvl>
  </w:abstractNum>
  <w:abstractNum w:abstractNumId="1">
    <w:nsid w:val="9042FA5C"/>
    <w:multiLevelType w:val="singleLevel"/>
    <w:tmpl w:val="9042FA5C"/>
    <w:lvl w:ilvl="0" w:tentative="0">
      <w:start w:val="1"/>
      <w:numFmt w:val="chineseCounting"/>
      <w:suff w:val="nothing"/>
      <w:lvlText w:val="（%1）"/>
      <w:lvlJc w:val="left"/>
      <w:pPr>
        <w:ind w:left="0" w:firstLine="420"/>
      </w:pPr>
      <w:rPr>
        <w:rFonts w:hint="eastAsia" w:ascii="楷体_GB2312" w:hAnsi="楷体_GB2312" w:eastAsia="楷体_GB2312" w:cs="楷体_GB2312"/>
        <w:sz w:val="32"/>
        <w:szCs w:val="32"/>
      </w:rPr>
    </w:lvl>
  </w:abstractNum>
  <w:abstractNum w:abstractNumId="2">
    <w:nsid w:val="BC2C3B22"/>
    <w:multiLevelType w:val="singleLevel"/>
    <w:tmpl w:val="BC2C3B22"/>
    <w:lvl w:ilvl="0" w:tentative="0">
      <w:start w:val="1"/>
      <w:numFmt w:val="chineseCounting"/>
      <w:suff w:val="nothing"/>
      <w:lvlText w:val="（%1）"/>
      <w:lvlJc w:val="left"/>
      <w:pPr>
        <w:ind w:left="0" w:firstLine="420"/>
      </w:pPr>
      <w:rPr>
        <w:rFonts w:hint="eastAsia" w:ascii="楷体_GB2312" w:hAnsi="楷体_GB2312" w:eastAsia="楷体_GB2312" w:cs="楷体_GB2312"/>
      </w:rPr>
    </w:lvl>
  </w:abstractNum>
  <w:abstractNum w:abstractNumId="3">
    <w:nsid w:val="E29E3648"/>
    <w:multiLevelType w:val="singleLevel"/>
    <w:tmpl w:val="E29E3648"/>
    <w:lvl w:ilvl="0" w:tentative="0">
      <w:start w:val="1"/>
      <w:numFmt w:val="chineseCounting"/>
      <w:suff w:val="nothing"/>
      <w:lvlText w:val="（%1）"/>
      <w:lvlJc w:val="left"/>
      <w:pPr>
        <w:ind w:left="0" w:firstLine="420"/>
      </w:pPr>
      <w:rPr>
        <w:rFonts w:hint="eastAsia" w:ascii="楷体_GB2312" w:hAnsi="楷体_GB2312" w:eastAsia="楷体_GB2312" w:cs="楷体_GB2312"/>
      </w:rPr>
    </w:lvl>
  </w:abstractNum>
  <w:abstractNum w:abstractNumId="4">
    <w:nsid w:val="F34BC0A1"/>
    <w:multiLevelType w:val="singleLevel"/>
    <w:tmpl w:val="F34BC0A1"/>
    <w:lvl w:ilvl="0" w:tentative="0">
      <w:start w:val="1"/>
      <w:numFmt w:val="chineseCounting"/>
      <w:suff w:val="nothing"/>
      <w:lvlText w:val="（%1）"/>
      <w:lvlJc w:val="left"/>
      <w:pPr>
        <w:ind w:left="0" w:firstLine="420"/>
      </w:pPr>
      <w:rPr>
        <w:rFonts w:hint="eastAsia" w:ascii="楷体_GB2312" w:hAnsi="楷体_GB2312" w:eastAsia="楷体_GB2312" w:cs="楷体_GB2312"/>
        <w:sz w:val="32"/>
        <w:szCs w:val="32"/>
      </w:rPr>
    </w:lvl>
  </w:abstractNum>
  <w:abstractNum w:abstractNumId="5">
    <w:nsid w:val="FB785FFF"/>
    <w:multiLevelType w:val="singleLevel"/>
    <w:tmpl w:val="FB785FFF"/>
    <w:lvl w:ilvl="0" w:tentative="0">
      <w:start w:val="1"/>
      <w:numFmt w:val="chineseCounting"/>
      <w:suff w:val="nothing"/>
      <w:lvlText w:val="（%1）"/>
      <w:lvlJc w:val="left"/>
      <w:pPr>
        <w:ind w:left="0" w:firstLine="420"/>
      </w:pPr>
      <w:rPr>
        <w:rFonts w:hint="eastAsia" w:ascii="楷体_GB2312" w:hAnsi="楷体_GB2312" w:eastAsia="楷体_GB2312" w:cs="楷体_GB2312"/>
        <w:sz w:val="32"/>
        <w:szCs w:val="32"/>
      </w:rPr>
    </w:lvl>
  </w:abstractNum>
  <w:abstractNum w:abstractNumId="6">
    <w:nsid w:val="00000004"/>
    <w:multiLevelType w:val="multilevel"/>
    <w:tmpl w:val="00000004"/>
    <w:lvl w:ilvl="0" w:tentative="0">
      <w:start w:val="1"/>
      <w:numFmt w:val="none"/>
      <w:pStyle w:val="2"/>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7">
    <w:nsid w:val="152194D1"/>
    <w:multiLevelType w:val="singleLevel"/>
    <w:tmpl w:val="152194D1"/>
    <w:lvl w:ilvl="0" w:tentative="0">
      <w:start w:val="1"/>
      <w:numFmt w:val="chineseCounting"/>
      <w:suff w:val="nothing"/>
      <w:lvlText w:val="（%1）"/>
      <w:lvlJc w:val="left"/>
      <w:pPr>
        <w:ind w:left="0" w:firstLine="420"/>
      </w:pPr>
      <w:rPr>
        <w:rFonts w:hint="eastAsia" w:ascii="楷体_GB2312" w:hAnsi="楷体_GB2312" w:eastAsia="楷体_GB2312" w:cs="楷体_GB2312"/>
      </w:rPr>
    </w:lvl>
  </w:abstractNum>
  <w:num w:numId="1">
    <w:abstractNumId w:val="6"/>
  </w:num>
  <w:num w:numId="2">
    <w:abstractNumId w:val="1"/>
  </w:num>
  <w:num w:numId="3">
    <w:abstractNumId w:val="4"/>
  </w:num>
  <w:num w:numId="4">
    <w:abstractNumId w:val="5"/>
  </w:num>
  <w:num w:numId="5">
    <w:abstractNumId w:val="3"/>
  </w:num>
  <w:num w:numId="6">
    <w:abstractNumId w:val="0"/>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3B1094"/>
    <w:rsid w:val="070038E6"/>
    <w:rsid w:val="1A221EEC"/>
    <w:rsid w:val="1EBA70F8"/>
    <w:rsid w:val="204358FA"/>
    <w:rsid w:val="25A16198"/>
    <w:rsid w:val="2D6C3679"/>
    <w:rsid w:val="2FA96F59"/>
    <w:rsid w:val="2FBE036A"/>
    <w:rsid w:val="38733B2C"/>
    <w:rsid w:val="3DDA68AE"/>
    <w:rsid w:val="41CD40DC"/>
    <w:rsid w:val="442D18F9"/>
    <w:rsid w:val="476F731A"/>
    <w:rsid w:val="4A2D6D3B"/>
    <w:rsid w:val="4F5A598F"/>
    <w:rsid w:val="50BC7085"/>
    <w:rsid w:val="53AE2B24"/>
    <w:rsid w:val="548173AF"/>
    <w:rsid w:val="589F03FE"/>
    <w:rsid w:val="5B3118CD"/>
    <w:rsid w:val="5CEC4BCE"/>
    <w:rsid w:val="61CE04BA"/>
    <w:rsid w:val="63FC3E19"/>
    <w:rsid w:val="647D4178"/>
    <w:rsid w:val="67013895"/>
    <w:rsid w:val="685D7846"/>
    <w:rsid w:val="6DDF784E"/>
    <w:rsid w:val="777A28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topLinePunct/>
      <w:spacing w:line="480" w:lineRule="auto"/>
      <w:textAlignment w:val="baseline"/>
      <w:outlineLvl w:val="0"/>
    </w:pPr>
    <w:rPr>
      <w:rFonts w:eastAsia="汉仪大宋简"/>
      <w:kern w:val="44"/>
      <w:sz w:val="2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pPr>
      <w:widowControl w:val="0"/>
      <w:spacing w:after="120"/>
      <w:jc w:val="both"/>
    </w:pPr>
    <w:rPr>
      <w:kern w:val="2"/>
      <w:sz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30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2026-01-16T03:41:00Z</dcterms:created>
  <dc:creator>haolf</dc:creator>
  <cp:lastModifiedBy>郝利峰</cp:lastModifiedBy>
  <dcterms:modified xsi:type="dcterms:W3CDTF">2026-01-23T10:11:50Z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E732678B605C4EFAA34C7D5353349CEB</vt:lpwstr>
  </property>
  <property fmtid="{D5CDD505-2E9C-101B-9397-08002B2CF9AE}" pid="4" name="WondersoftTag">
    <vt:lpwstr>517E72D2-C82A-44F0-A87D-77989BD75942#2#4B202A25-92234856-951B14B9-EAA989A5##0</vt:lpwstr>
  </property>
</Properties>
</file>