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1"/>
        <w:gridCol w:w="1655"/>
        <w:gridCol w:w="2533"/>
        <w:gridCol w:w="1744"/>
        <w:gridCol w:w="17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1" w:hRule="atLeast"/>
          <w:jc w:val="center"/>
        </w:trPr>
        <w:tc>
          <w:tcPr>
            <w:tcW w:w="5000" w:type="pct"/>
            <w:gridSpan w:val="5"/>
            <w:vAlign w:val="center"/>
          </w:tcPr>
          <w:p>
            <w:pPr>
              <w:pStyle w:val="3"/>
              <w:tabs>
                <w:tab w:val="left" w:pos="2100"/>
              </w:tabs>
              <w:spacing w:before="312" w:after="312"/>
              <w:jc w:val="center"/>
              <w:rPr>
                <w:rFonts w:ascii="仿宋_GB2312" w:hAnsi="仿宋_GB2312" w:eastAsia="仿宋_GB2312" w:cs="仿宋_GB2312"/>
                <w:sz w:val="44"/>
              </w:rPr>
            </w:pPr>
            <w:r>
              <w:rPr>
                <w:rFonts w:hint="eastAsia" w:ascii="仿宋_GB2312" w:hAnsi="仿宋_GB2312" w:eastAsia="仿宋_GB2312" w:cs="仿宋_GB2312"/>
                <w:sz w:val="44"/>
                <w:lang w:val="en-US" w:eastAsia="zh-CN"/>
              </w:rPr>
              <w:t>渭南合阳黑池坊</w:t>
            </w:r>
            <w:r>
              <w:rPr>
                <w:rFonts w:hint="eastAsia" w:ascii="仿宋_GB2312" w:hAnsi="仿宋_GB2312" w:eastAsia="仿宋_GB2312" w:cs="仿宋_GB2312"/>
                <w:sz w:val="44"/>
              </w:rPr>
              <w:t>50MW</w:t>
            </w:r>
            <w:r>
              <w:rPr>
                <w:rFonts w:hint="eastAsia" w:ascii="仿宋_GB2312" w:hAnsi="仿宋_GB2312" w:eastAsia="仿宋_GB2312" w:cs="仿宋_GB2312"/>
                <w:sz w:val="44"/>
                <w:lang w:val="en-US" w:eastAsia="zh-CN"/>
              </w:rPr>
              <w:t>风电</w:t>
            </w:r>
            <w:r>
              <w:rPr>
                <w:rFonts w:hint="eastAsia" w:ascii="仿宋_GB2312" w:hAnsi="仿宋_GB2312" w:eastAsia="仿宋_GB2312" w:cs="仿宋_GB2312"/>
                <w:sz w:val="44"/>
              </w:rPr>
              <w:t>项目</w:t>
            </w:r>
          </w:p>
          <w:p>
            <w:pPr>
              <w:pStyle w:val="3"/>
              <w:tabs>
                <w:tab w:val="left" w:pos="2100"/>
              </w:tabs>
              <w:spacing w:before="312" w:after="312"/>
              <w:jc w:val="center"/>
              <w:rPr>
                <w:rFonts w:ascii="仿宋_GB2312" w:hAnsi="仿宋_GB2312" w:eastAsia="仿宋_GB2312" w:cs="仿宋_GB2312"/>
                <w:sz w:val="24"/>
              </w:rPr>
            </w:pPr>
            <w:r>
              <w:rPr>
                <w:rFonts w:hint="eastAsia" w:ascii="仿宋_GB2312" w:hAnsi="仿宋_GB2312" w:eastAsia="仿宋_GB2312" w:cs="仿宋_GB2312"/>
                <w:sz w:val="44"/>
              </w:rPr>
              <w:t>运营期保险报价单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4" w:type="pct"/>
            <w:vAlign w:val="center"/>
          </w:tcPr>
          <w:p>
            <w:pPr>
              <w:jc w:val="center"/>
              <w:rPr>
                <w:rFonts w:ascii="仿宋_GB2312" w:hAnsi="仿宋_GB2312" w:cs="仿宋_GB2312"/>
              </w:rPr>
            </w:pPr>
            <w:r>
              <w:rPr>
                <w:rFonts w:hint="eastAsia" w:ascii="仿宋_GB2312" w:hAnsi="仿宋_GB2312" w:cs="仿宋_GB2312"/>
              </w:rPr>
              <w:t>序号</w:t>
            </w:r>
          </w:p>
        </w:tc>
        <w:tc>
          <w:tcPr>
            <w:tcW w:w="971" w:type="pct"/>
            <w:vAlign w:val="center"/>
          </w:tcPr>
          <w:p>
            <w:pPr>
              <w:jc w:val="center"/>
              <w:rPr>
                <w:rFonts w:ascii="仿宋_GB2312" w:hAnsi="仿宋_GB2312" w:cs="仿宋_GB2312"/>
              </w:rPr>
            </w:pPr>
            <w:r>
              <w:rPr>
                <w:rFonts w:hint="eastAsia" w:ascii="仿宋_GB2312" w:hAnsi="仿宋_GB2312" w:cs="仿宋_GB2312"/>
              </w:rPr>
              <w:t>投保险种</w:t>
            </w:r>
          </w:p>
        </w:tc>
        <w:tc>
          <w:tcPr>
            <w:tcW w:w="1486" w:type="pct"/>
            <w:vAlign w:val="center"/>
          </w:tcPr>
          <w:p>
            <w:pPr>
              <w:jc w:val="center"/>
              <w:rPr>
                <w:rFonts w:ascii="仿宋_GB2312" w:hAnsi="仿宋_GB2312" w:cs="仿宋_GB2312"/>
              </w:rPr>
            </w:pPr>
            <w:r>
              <w:rPr>
                <w:rFonts w:hint="eastAsia" w:ascii="仿宋_GB2312" w:hAnsi="仿宋_GB2312" w:cs="仿宋_GB2312"/>
              </w:rPr>
              <w:t>保险金额</w:t>
            </w:r>
            <w:r>
              <w:rPr>
                <w:rFonts w:hint="eastAsia" w:ascii="仿宋_GB2312" w:hAnsi="仿宋_GB2312" w:cs="仿宋_GB2312"/>
              </w:rPr>
              <w:br w:type="textWrapping"/>
            </w:r>
            <w:r>
              <w:rPr>
                <w:rFonts w:hint="eastAsia" w:ascii="仿宋_GB2312" w:hAnsi="仿宋_GB2312" w:cs="仿宋_GB2312"/>
              </w:rPr>
              <w:t>（赔偿限额）</w:t>
            </w:r>
          </w:p>
        </w:tc>
        <w:tc>
          <w:tcPr>
            <w:tcW w:w="1023" w:type="pct"/>
            <w:vAlign w:val="center"/>
          </w:tcPr>
          <w:p>
            <w:pPr>
              <w:jc w:val="center"/>
              <w:rPr>
                <w:rFonts w:ascii="仿宋_GB2312" w:hAnsi="仿宋_GB2312" w:cs="仿宋_GB2312"/>
              </w:rPr>
            </w:pPr>
            <w:r>
              <w:rPr>
                <w:rFonts w:hint="eastAsia" w:ascii="仿宋_GB2312" w:hAnsi="仿宋_GB2312" w:cs="仿宋_GB2312"/>
              </w:rPr>
              <w:t>费率</w:t>
            </w:r>
          </w:p>
        </w:tc>
        <w:tc>
          <w:tcPr>
            <w:tcW w:w="1024" w:type="pct"/>
            <w:vAlign w:val="center"/>
          </w:tcPr>
          <w:p>
            <w:pPr>
              <w:jc w:val="center"/>
              <w:rPr>
                <w:rFonts w:ascii="仿宋_GB2312" w:hAnsi="仿宋_GB2312" w:cs="仿宋_GB2312"/>
              </w:rPr>
            </w:pPr>
            <w:r>
              <w:rPr>
                <w:rFonts w:hint="eastAsia" w:ascii="仿宋_GB2312" w:hAnsi="仿宋_GB2312" w:cs="仿宋_GB2312"/>
              </w:rPr>
              <w:t>保费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4" w:type="pct"/>
            <w:vAlign w:val="center"/>
          </w:tcPr>
          <w:p>
            <w:pPr>
              <w:jc w:val="center"/>
              <w:rPr>
                <w:rFonts w:ascii="仿宋_GB2312" w:hAnsi="仿宋_GB2312" w:cs="仿宋_GB2312"/>
              </w:rPr>
            </w:pPr>
            <w:r>
              <w:rPr>
                <w:rFonts w:hint="eastAsia" w:ascii="仿宋_GB2312" w:hAnsi="仿宋_GB2312" w:cs="仿宋_GB2312"/>
              </w:rPr>
              <w:t>1</w:t>
            </w:r>
          </w:p>
        </w:tc>
        <w:tc>
          <w:tcPr>
            <w:tcW w:w="971" w:type="pct"/>
            <w:vAlign w:val="center"/>
          </w:tcPr>
          <w:p>
            <w:pPr>
              <w:jc w:val="center"/>
              <w:rPr>
                <w:rFonts w:ascii="仿宋_GB2312" w:hAnsi="仿宋_GB2312" w:cs="仿宋_GB2312"/>
              </w:rPr>
            </w:pPr>
            <w:r>
              <w:rPr>
                <w:rFonts w:hint="eastAsia" w:ascii="仿宋_GB2312" w:hAnsi="仿宋_GB2312" w:cs="仿宋_GB2312"/>
              </w:rPr>
              <w:t>财产一切险</w:t>
            </w:r>
          </w:p>
        </w:tc>
        <w:tc>
          <w:tcPr>
            <w:tcW w:w="1486" w:type="pct"/>
            <w:vAlign w:val="center"/>
          </w:tcPr>
          <w:p>
            <w:pPr>
              <w:keepNext w:val="0"/>
              <w:keepLines w:val="0"/>
              <w:widowControl/>
              <w:suppressLineNumbers w:val="0"/>
              <w:jc w:val="center"/>
              <w:rPr>
                <w:rFonts w:ascii="仿宋_GB2312" w:hAnsi="仿宋_GB2312" w:cs="仿宋_GB2312"/>
              </w:rPr>
            </w:pPr>
            <w:r>
              <w:rPr>
                <w:rFonts w:hint="eastAsia" w:ascii="仿宋_GB2312" w:hAnsi="仿宋_GB2312" w:cs="仿宋_GB2312"/>
              </w:rPr>
              <w:t>人民币</w:t>
            </w:r>
            <w:r>
              <w:rPr>
                <w:rFonts w:hint="eastAsia" w:ascii="仿宋_GB2312" w:hAnsi="仿宋_GB2312" w:cs="仿宋_GB2312"/>
                <w:lang w:val="en-US" w:eastAsia="zh-CN"/>
              </w:rPr>
              <w:t>306,131,794.36</w:t>
            </w:r>
            <w:r>
              <w:rPr>
                <w:rFonts w:ascii="仿宋_GB2312" w:hAnsi="仿宋_GB2312" w:cs="仿宋_GB2312"/>
              </w:rPr>
              <w:t>元</w:t>
            </w:r>
          </w:p>
        </w:tc>
        <w:tc>
          <w:tcPr>
            <w:tcW w:w="1023" w:type="pct"/>
            <w:vAlign w:val="center"/>
          </w:tcPr>
          <w:p>
            <w:pPr>
              <w:tabs>
                <w:tab w:val="center" w:pos="936"/>
                <w:tab w:val="right" w:pos="1753"/>
              </w:tabs>
              <w:jc w:val="center"/>
              <w:rPr>
                <w:rFonts w:hint="eastAsia" w:ascii="仿宋_GB2312" w:hAnsi="仿宋_GB2312" w:eastAsia="仿宋_GB2312" w:cs="仿宋_GB2312"/>
                <w:b/>
                <w:color w:val="FF0000"/>
                <w:lang w:val="en-US" w:eastAsia="zh-CN"/>
              </w:rPr>
            </w:pPr>
          </w:p>
        </w:tc>
        <w:tc>
          <w:tcPr>
            <w:tcW w:w="1024" w:type="pct"/>
            <w:vAlign w:val="center"/>
          </w:tcPr>
          <w:p>
            <w:pPr>
              <w:jc w:val="center"/>
              <w:rPr>
                <w:rFonts w:ascii="仿宋_GB2312" w:hAnsi="仿宋_GB2312" w:cs="仿宋_GB2312"/>
                <w:b/>
                <w:bCs/>
                <w:color w:val="FF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494" w:type="pct"/>
            <w:vAlign w:val="center"/>
          </w:tcPr>
          <w:p>
            <w:pPr>
              <w:jc w:val="center"/>
              <w:rPr>
                <w:rFonts w:ascii="仿宋_GB2312" w:hAnsi="仿宋_GB2312" w:cs="仿宋_GB2312"/>
              </w:rPr>
            </w:pPr>
            <w:r>
              <w:rPr>
                <w:rFonts w:hint="eastAsia" w:ascii="仿宋_GB2312" w:hAnsi="仿宋_GB2312" w:cs="仿宋_GB2312"/>
              </w:rPr>
              <w:t>2</w:t>
            </w:r>
          </w:p>
        </w:tc>
        <w:tc>
          <w:tcPr>
            <w:tcW w:w="971" w:type="pct"/>
            <w:vAlign w:val="center"/>
          </w:tcPr>
          <w:p>
            <w:pPr>
              <w:jc w:val="center"/>
              <w:rPr>
                <w:rFonts w:ascii="仿宋_GB2312" w:hAnsi="仿宋_GB2312" w:cs="仿宋_GB2312"/>
              </w:rPr>
            </w:pPr>
            <w:r>
              <w:rPr>
                <w:rFonts w:hint="eastAsia" w:ascii="仿宋_GB2312" w:hAnsi="仿宋_GB2312" w:cs="仿宋_GB2312"/>
              </w:rPr>
              <w:t>机器损坏险</w:t>
            </w:r>
          </w:p>
        </w:tc>
        <w:tc>
          <w:tcPr>
            <w:tcW w:w="1486" w:type="pct"/>
            <w:vAlign w:val="center"/>
          </w:tcPr>
          <w:p>
            <w:pPr>
              <w:keepNext w:val="0"/>
              <w:keepLines w:val="0"/>
              <w:widowControl/>
              <w:suppressLineNumbers w:val="0"/>
              <w:jc w:val="center"/>
              <w:rPr>
                <w:rFonts w:ascii="仿宋_GB2312" w:hAnsi="仿宋_GB2312" w:cs="仿宋_GB2312"/>
              </w:rPr>
            </w:pPr>
            <w:r>
              <w:rPr>
                <w:rFonts w:hint="eastAsia" w:ascii="仿宋_GB2312" w:hAnsi="仿宋_GB2312" w:cs="仿宋_GB2312"/>
              </w:rPr>
              <w:t>人民币</w:t>
            </w:r>
            <w:r>
              <w:rPr>
                <w:rFonts w:hint="eastAsia" w:ascii="仿宋_GB2312" w:hAnsi="仿宋_GB2312" w:cs="仿宋_GB2312"/>
                <w:lang w:val="en-US" w:eastAsia="zh-CN"/>
              </w:rPr>
              <w:t>264,605,415.36元</w:t>
            </w:r>
          </w:p>
        </w:tc>
        <w:tc>
          <w:tcPr>
            <w:tcW w:w="1023" w:type="pct"/>
            <w:vAlign w:val="center"/>
          </w:tcPr>
          <w:p>
            <w:pPr>
              <w:tabs>
                <w:tab w:val="center" w:pos="936"/>
                <w:tab w:val="right" w:pos="1753"/>
              </w:tabs>
              <w:jc w:val="center"/>
              <w:rPr>
                <w:rFonts w:ascii="仿宋_GB2312" w:hAnsi="仿宋_GB2312" w:cs="仿宋_GB2312"/>
                <w:b/>
                <w:color w:val="FF0000"/>
              </w:rPr>
            </w:pPr>
          </w:p>
        </w:tc>
        <w:tc>
          <w:tcPr>
            <w:tcW w:w="1024" w:type="pct"/>
            <w:vAlign w:val="center"/>
          </w:tcPr>
          <w:p>
            <w:pPr>
              <w:jc w:val="center"/>
              <w:rPr>
                <w:rFonts w:ascii="仿宋_GB2312" w:hAnsi="仿宋_GB2312" w:cs="仿宋_GB2312"/>
                <w:b/>
                <w:color w:val="FF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494" w:type="pct"/>
            <w:vAlign w:val="center"/>
          </w:tcPr>
          <w:p>
            <w:pPr>
              <w:jc w:val="center"/>
              <w:rPr>
                <w:rFonts w:ascii="仿宋_GB2312" w:hAnsi="仿宋_GB2312" w:cs="仿宋_GB2312"/>
              </w:rPr>
            </w:pPr>
            <w:r>
              <w:rPr>
                <w:rFonts w:hint="eastAsia" w:ascii="仿宋_GB2312" w:hAnsi="仿宋_GB2312" w:cs="仿宋_GB2312"/>
              </w:rPr>
              <w:t>3</w:t>
            </w:r>
          </w:p>
        </w:tc>
        <w:tc>
          <w:tcPr>
            <w:tcW w:w="971" w:type="pct"/>
            <w:vAlign w:val="center"/>
          </w:tcPr>
          <w:p>
            <w:pPr>
              <w:jc w:val="center"/>
              <w:rPr>
                <w:rFonts w:ascii="仿宋_GB2312" w:hAnsi="仿宋_GB2312" w:cs="仿宋_GB2312"/>
              </w:rPr>
            </w:pPr>
            <w:r>
              <w:rPr>
                <w:rFonts w:hint="eastAsia" w:ascii="仿宋_GB2312" w:hAnsi="仿宋_GB2312" w:cs="仿宋_GB2312"/>
              </w:rPr>
              <w:t>公众责任险</w:t>
            </w:r>
          </w:p>
        </w:tc>
        <w:tc>
          <w:tcPr>
            <w:tcW w:w="1486" w:type="pct"/>
            <w:vAlign w:val="center"/>
          </w:tcPr>
          <w:p>
            <w:pPr>
              <w:jc w:val="center"/>
              <w:rPr>
                <w:rFonts w:ascii="仿宋_GB2312" w:hAnsi="仿宋_GB2312" w:cs="仿宋_GB2312"/>
              </w:rPr>
            </w:pPr>
            <w:r>
              <w:rPr>
                <w:rFonts w:hint="eastAsia" w:ascii="仿宋_GB2312" w:hAnsi="仿宋_GB2312" w:cs="仿宋_GB2312"/>
              </w:rPr>
              <w:t>人民币</w:t>
            </w:r>
            <w:r>
              <w:rPr>
                <w:rFonts w:hint="eastAsia" w:ascii="仿宋_GB2312" w:hAnsi="仿宋_GB2312" w:cs="仿宋_GB2312"/>
                <w:lang w:val="en-US" w:eastAsia="zh-CN"/>
              </w:rPr>
              <w:t>10</w:t>
            </w:r>
            <w:r>
              <w:rPr>
                <w:rFonts w:hint="eastAsia" w:ascii="仿宋_GB2312" w:hAnsi="仿宋_GB2312" w:cs="仿宋_GB2312"/>
              </w:rPr>
              <w:t>,000,000.00元</w:t>
            </w:r>
          </w:p>
        </w:tc>
        <w:tc>
          <w:tcPr>
            <w:tcW w:w="1023" w:type="pct"/>
            <w:vAlign w:val="center"/>
          </w:tcPr>
          <w:p>
            <w:pPr>
              <w:tabs>
                <w:tab w:val="center" w:pos="936"/>
                <w:tab w:val="right" w:pos="1753"/>
              </w:tabs>
              <w:jc w:val="center"/>
              <w:rPr>
                <w:rFonts w:ascii="仿宋_GB2312" w:hAnsi="仿宋_GB2312" w:cs="仿宋_GB2312"/>
                <w:b/>
                <w:color w:val="FF0000"/>
              </w:rPr>
            </w:pPr>
          </w:p>
        </w:tc>
        <w:tc>
          <w:tcPr>
            <w:tcW w:w="1024" w:type="pct"/>
            <w:vAlign w:val="center"/>
          </w:tcPr>
          <w:p>
            <w:pPr>
              <w:jc w:val="center"/>
              <w:rPr>
                <w:rFonts w:ascii="仿宋_GB2312" w:hAnsi="仿宋_GB2312" w:cs="仿宋_GB2312"/>
                <w:b/>
                <w:color w:val="FF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4" w:type="pct"/>
            <w:vAlign w:val="center"/>
          </w:tcPr>
          <w:p>
            <w:pPr>
              <w:jc w:val="center"/>
              <w:rPr>
                <w:rFonts w:ascii="仿宋_GB2312" w:hAnsi="仿宋_GB2312" w:cs="仿宋_GB2312"/>
              </w:rPr>
            </w:pPr>
            <w:r>
              <w:rPr>
                <w:rFonts w:hint="eastAsia" w:ascii="仿宋_GB2312" w:hAnsi="仿宋_GB2312" w:cs="仿宋_GB2312"/>
              </w:rPr>
              <w:t>4</w:t>
            </w:r>
          </w:p>
        </w:tc>
        <w:tc>
          <w:tcPr>
            <w:tcW w:w="971" w:type="pct"/>
            <w:vAlign w:val="center"/>
          </w:tcPr>
          <w:p>
            <w:pPr>
              <w:jc w:val="center"/>
              <w:rPr>
                <w:rFonts w:ascii="仿宋_GB2312" w:hAnsi="仿宋_GB2312" w:cs="仿宋_GB2312"/>
              </w:rPr>
            </w:pPr>
            <w:r>
              <w:rPr>
                <w:rFonts w:hint="eastAsia" w:ascii="仿宋_GB2312" w:hAnsi="仿宋_GB2312" w:cs="仿宋_GB2312"/>
              </w:rPr>
              <w:t>免赔条件响应程度</w:t>
            </w:r>
          </w:p>
        </w:tc>
        <w:tc>
          <w:tcPr>
            <w:tcW w:w="3534" w:type="pct"/>
            <w:gridSpan w:val="3"/>
            <w:vAlign w:val="center"/>
          </w:tcPr>
          <w:p>
            <w:pPr>
              <w:jc w:val="left"/>
              <w:rPr>
                <w:rFonts w:ascii="仿宋_GB2312" w:hAnsi="仿宋_GB2312" w:cs="仿宋_GB2312"/>
              </w:rPr>
            </w:pPr>
            <w:r>
              <w:rPr>
                <w:rFonts w:hint="eastAsia" w:ascii="仿宋_GB2312" w:hAnsi="仿宋_GB2312" w:cs="仿宋_GB2312"/>
              </w:rPr>
              <w:t>完全响应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7" w:hRule="atLeast"/>
          <w:jc w:val="center"/>
        </w:trPr>
        <w:tc>
          <w:tcPr>
            <w:tcW w:w="494" w:type="pct"/>
            <w:vAlign w:val="center"/>
          </w:tcPr>
          <w:p>
            <w:pPr>
              <w:jc w:val="center"/>
              <w:rPr>
                <w:rFonts w:ascii="仿宋_GB2312" w:hAnsi="仿宋_GB2312" w:cs="仿宋_GB2312"/>
              </w:rPr>
            </w:pPr>
            <w:r>
              <w:rPr>
                <w:rFonts w:hint="eastAsia" w:ascii="仿宋_GB2312" w:hAnsi="仿宋_GB2312" w:cs="仿宋_GB2312"/>
              </w:rPr>
              <w:t>5</w:t>
            </w:r>
          </w:p>
        </w:tc>
        <w:tc>
          <w:tcPr>
            <w:tcW w:w="971" w:type="pct"/>
            <w:vAlign w:val="center"/>
          </w:tcPr>
          <w:p>
            <w:pPr>
              <w:jc w:val="center"/>
              <w:rPr>
                <w:rFonts w:ascii="仿宋_GB2312" w:hAnsi="仿宋_GB2312" w:cs="仿宋_GB2312"/>
              </w:rPr>
            </w:pPr>
            <w:r>
              <w:rPr>
                <w:rFonts w:hint="eastAsia" w:ascii="仿宋_GB2312" w:hAnsi="仿宋_GB2312" w:cs="仿宋_GB2312"/>
              </w:rPr>
              <w:t>保费合计</w:t>
            </w:r>
          </w:p>
        </w:tc>
        <w:tc>
          <w:tcPr>
            <w:tcW w:w="3534" w:type="pct"/>
            <w:gridSpan w:val="3"/>
            <w:vAlign w:val="center"/>
          </w:tcPr>
          <w:p>
            <w:pPr>
              <w:jc w:val="center"/>
              <w:rPr>
                <w:rFonts w:ascii="仿宋_GB2312" w:hAnsi="仿宋_GB2312" w:cs="仿宋_GB2312"/>
                <w:b/>
                <w:color w:val="FF0000"/>
              </w:rPr>
            </w:pPr>
          </w:p>
        </w:tc>
      </w:tr>
    </w:tbl>
    <w:p/>
    <w:p>
      <w:pPr>
        <w:ind w:left="3780" w:firstLine="420"/>
        <w:rPr>
          <w:b/>
          <w:bCs/>
        </w:rPr>
      </w:pPr>
    </w:p>
    <w:p>
      <w:pPr>
        <w:ind w:left="4536" w:leftChars="1620" w:firstLine="422" w:firstLineChars="150"/>
        <w:rPr>
          <w:b/>
          <w:bCs/>
        </w:rPr>
      </w:pPr>
      <w:r>
        <w:rPr>
          <w:b/>
          <w:bCs/>
        </w:rPr>
        <w:t xml:space="preserve">报价公司：                     </w:t>
      </w:r>
    </w:p>
    <w:p>
      <w:pPr>
        <w:pStyle w:val="8"/>
        <w:ind w:firstLine="562"/>
        <w:rPr>
          <w:b/>
          <w:bCs/>
        </w:rPr>
      </w:pPr>
      <w:r>
        <w:rPr>
          <w:b/>
          <w:bCs/>
        </w:rPr>
        <w:t xml:space="preserve">                                    </w:t>
      </w:r>
      <w:r>
        <w:rPr>
          <w:rFonts w:hint="eastAsia"/>
          <w:b/>
          <w:bCs/>
        </w:rPr>
        <w:t xml:space="preserve">         </w:t>
      </w:r>
    </w:p>
    <w:p>
      <w:pPr>
        <w:pStyle w:val="9"/>
        <w:outlineLvl w:val="9"/>
        <w:rPr>
          <w:rFonts w:ascii="Times New Roman" w:hAnsi="Times New Roman" w:eastAsia="仿宋_GB2312"/>
          <w:bCs/>
          <w:szCs w:val="24"/>
        </w:rPr>
      </w:pPr>
      <w:r>
        <w:rPr>
          <w:rFonts w:hint="eastAsia" w:ascii="Times New Roman" w:hAnsi="Times New Roman" w:eastAsia="仿宋_GB2312"/>
          <w:bCs/>
          <w:sz w:val="24"/>
          <w:szCs w:val="24"/>
        </w:rPr>
        <w:t xml:space="preserve">                         </w:t>
      </w:r>
      <w:r>
        <w:rPr>
          <w:rFonts w:hint="eastAsia" w:ascii="Times New Roman" w:hAnsi="Times New Roman" w:eastAsia="仿宋_GB2312"/>
          <w:bCs/>
          <w:szCs w:val="24"/>
        </w:rPr>
        <w:t>报价日期：</w:t>
      </w:r>
    </w:p>
    <w:p>
      <w:pPr>
        <w:ind w:firstLine="560"/>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425" w:num="1"/>
          <w:docGrid w:type="lines" w:linePitch="312" w:charSpace="0"/>
        </w:sectPr>
      </w:pPr>
    </w:p>
    <w:p>
      <w:pPr>
        <w:numPr>
          <w:ilvl w:val="0"/>
          <w:numId w:val="2"/>
        </w:numPr>
        <w:ind w:firstLine="0"/>
        <w:jc w:val="center"/>
        <w:outlineLvl w:val="0"/>
      </w:pPr>
      <w:r>
        <w:rPr>
          <w:rFonts w:hint="eastAsia"/>
          <w:b/>
          <w:bCs/>
        </w:rPr>
        <w:t>财产一切险</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50"/>
        <w:gridCol w:w="64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distribute"/>
              <w:textAlignment w:val="auto"/>
              <w:rPr>
                <w:b/>
                <w:bCs/>
                <w:color w:val="000000" w:themeColor="text1"/>
                <w14:textFill>
                  <w14:solidFill>
                    <w14:schemeClr w14:val="tx1"/>
                  </w14:solidFill>
                </w14:textFill>
              </w:rPr>
            </w:pPr>
            <w:r>
              <w:rPr>
                <w:rFonts w:hint="eastAsia"/>
                <w:b/>
                <w:bCs/>
                <w:color w:val="000000" w:themeColor="text1"/>
                <w:kern w:val="0"/>
                <w14:textFill>
                  <w14:solidFill>
                    <w14:schemeClr w14:val="tx1"/>
                  </w14:solidFill>
                </w14:textFill>
              </w:rPr>
              <w:t>合同条款</w:t>
            </w:r>
            <w:r>
              <w:rPr>
                <w:rFonts w:hint="eastAsia"/>
                <w:b/>
                <w:bCs/>
                <w:color w:val="000000" w:themeColor="text1"/>
                <w14:textFill>
                  <w14:solidFill>
                    <w14:schemeClr w14:val="tx1"/>
                  </w14:solidFill>
                </w14:textFill>
              </w:rPr>
              <w:t>：</w:t>
            </w:r>
          </w:p>
        </w:tc>
        <w:tc>
          <w:tcPr>
            <w:tcW w:w="6472"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color w:val="000000" w:themeColor="text1"/>
                <w14:textFill>
                  <w14:solidFill>
                    <w14:schemeClr w14:val="tx1"/>
                  </w14:solidFill>
                </w14:textFill>
              </w:rPr>
            </w:pPr>
            <w:r>
              <w:rPr>
                <w:rFonts w:hint="eastAsia"/>
                <w:color w:val="000000" w:themeColor="text1"/>
                <w14:textFill>
                  <w14:solidFill>
                    <w14:schemeClr w14:val="tx1"/>
                  </w14:solidFill>
                </w14:textFill>
              </w:rPr>
              <w:t>按照保险公司向国家金融监督管理总局备案条款内容执行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distribute"/>
              <w:textAlignment w:val="auto"/>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投保人：</w:t>
            </w:r>
          </w:p>
        </w:tc>
        <w:tc>
          <w:tcPr>
            <w:tcW w:w="6472" w:type="dxa"/>
            <w:vAlign w:val="center"/>
          </w:tcPr>
          <w:p>
            <w:pPr>
              <w:keepNext w:val="0"/>
              <w:keepLines w:val="0"/>
              <w:pageBreakBefore w:val="0"/>
              <w:widowControl w:val="0"/>
              <w:numPr>
                <w:ilvl w:val="0"/>
                <w:numId w:val="3"/>
              </w:numPr>
              <w:kinsoku/>
              <w:wordWrap/>
              <w:overflowPunct/>
              <w:topLinePunct w:val="0"/>
              <w:autoSpaceDE/>
              <w:autoSpaceDN/>
              <w:bidi w:val="0"/>
              <w:adjustRightInd/>
              <w:snapToGrid/>
              <w:spacing w:line="400" w:lineRule="exact"/>
              <w:ind w:left="420" w:hanging="420" w:hangingChars="150"/>
              <w:jc w:val="left"/>
              <w:textAlignment w:val="auto"/>
              <w:rPr>
                <w:color w:val="000000" w:themeColor="text1"/>
                <w14:textFill>
                  <w14:solidFill>
                    <w14:schemeClr w14:val="tx1"/>
                  </w14:solidFill>
                </w14:textFill>
              </w:rPr>
            </w:pPr>
            <w:r>
              <w:rPr>
                <w:rFonts w:hint="eastAsia"/>
                <w:color w:val="000000" w:themeColor="text1"/>
                <w14:textFill>
                  <w14:solidFill>
                    <w14:schemeClr w14:val="tx1"/>
                  </w14:solidFill>
                </w14:textFill>
              </w:rPr>
              <w:t>投保人名称：南网融资租赁有限公司</w:t>
            </w:r>
          </w:p>
          <w:p>
            <w:pPr>
              <w:keepNext w:val="0"/>
              <w:keepLines w:val="0"/>
              <w:pageBreakBefore w:val="0"/>
              <w:widowControl w:val="0"/>
              <w:numPr>
                <w:ilvl w:val="0"/>
                <w:numId w:val="3"/>
              </w:numPr>
              <w:kinsoku/>
              <w:wordWrap/>
              <w:overflowPunct/>
              <w:topLinePunct w:val="0"/>
              <w:autoSpaceDE/>
              <w:autoSpaceDN/>
              <w:bidi w:val="0"/>
              <w:adjustRightInd/>
              <w:snapToGrid/>
              <w:spacing w:line="400" w:lineRule="exact"/>
              <w:ind w:left="420" w:hanging="420" w:hangingChars="150"/>
              <w:jc w:val="left"/>
              <w:textAlignment w:val="auto"/>
              <w:rPr>
                <w:color w:val="000000" w:themeColor="text1"/>
                <w14:textFill>
                  <w14:solidFill>
                    <w14:schemeClr w14:val="tx1"/>
                  </w14:solidFill>
                </w14:textFill>
              </w:rPr>
            </w:pPr>
            <w:r>
              <w:rPr>
                <w:rFonts w:hint="eastAsia"/>
                <w:color w:val="000000" w:themeColor="text1"/>
                <w14:textFill>
                  <w14:solidFill>
                    <w14:schemeClr w14:val="tx1"/>
                  </w14:solidFill>
                </w14:textFill>
              </w:rPr>
              <w:t>投保人地址：广东省广州市南沙区横沥镇明珠一街1号404房A209（仅限办公）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distribute"/>
              <w:textAlignment w:val="auto"/>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被保险人：</w:t>
            </w:r>
          </w:p>
        </w:tc>
        <w:tc>
          <w:tcPr>
            <w:tcW w:w="6472"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color w:val="000000" w:themeColor="text1"/>
                <w14:textFill>
                  <w14:solidFill>
                    <w14:schemeClr w14:val="tx1"/>
                  </w14:solidFill>
                </w14:textFill>
              </w:rPr>
            </w:pPr>
            <w:r>
              <w:rPr>
                <w:color w:val="000000" w:themeColor="text1"/>
                <w14:textFill>
                  <w14:solidFill>
                    <w14:schemeClr w14:val="tx1"/>
                  </w14:solidFill>
                </w14:textFill>
              </w:rPr>
              <w:t>南网融资租赁有限公司</w:t>
            </w:r>
          </w:p>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合阳天创新能源有限公司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distribute"/>
              <w:textAlignment w:val="auto"/>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保险经纪人：</w:t>
            </w:r>
          </w:p>
        </w:tc>
        <w:tc>
          <w:tcPr>
            <w:tcW w:w="6472"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color w:val="000000" w:themeColor="text1"/>
                <w14:textFill>
                  <w14:solidFill>
                    <w14:schemeClr w14:val="tx1"/>
                  </w14:solidFill>
                </w14:textFill>
              </w:rPr>
            </w:pPr>
            <w:r>
              <w:rPr>
                <w:color w:val="000000" w:themeColor="text1"/>
                <w14:textFill>
                  <w14:solidFill>
                    <w14:schemeClr w14:val="tx1"/>
                  </w14:solidFill>
                </w14:textFill>
              </w:rPr>
              <w:t>瑞恒保险经纪有限责任公司</w:t>
            </w:r>
            <w:r>
              <w:rPr>
                <w:rFonts w:hint="eastAsia"/>
                <w:color w:val="000000" w:themeColor="text1"/>
                <w14:textFill>
                  <w14:solidFill>
                    <w14:schemeClr w14:val="tx1"/>
                  </w14:solidFill>
                </w14:textFill>
              </w:rPr>
              <w:t>广东</w:t>
            </w:r>
            <w:r>
              <w:rPr>
                <w:color w:val="000000" w:themeColor="text1"/>
                <w14:textFill>
                  <w14:solidFill>
                    <w14:schemeClr w14:val="tx1"/>
                  </w14:solidFill>
                </w14:textFill>
              </w:rPr>
              <w:t>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distribute"/>
              <w:textAlignment w:val="auto"/>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司法管辖：</w:t>
            </w:r>
          </w:p>
        </w:tc>
        <w:tc>
          <w:tcPr>
            <w:tcW w:w="6472"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color w:val="000000" w:themeColor="text1"/>
                <w14:textFill>
                  <w14:solidFill>
                    <w14:schemeClr w14:val="tx1"/>
                  </w14:solidFill>
                </w14:textFill>
              </w:rPr>
            </w:pPr>
            <w:r>
              <w:rPr>
                <w:color w:val="000000" w:themeColor="text1"/>
                <w14:textFill>
                  <w14:solidFill>
                    <w14:schemeClr w14:val="tx1"/>
                  </w14:solidFill>
                </w14:textFill>
              </w:rPr>
              <w:t>中华人民共和国司法管辖（港、澳、台除外）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distribute"/>
              <w:textAlignment w:val="auto"/>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投保项目：</w:t>
            </w:r>
          </w:p>
        </w:tc>
        <w:tc>
          <w:tcPr>
            <w:tcW w:w="6472"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color w:val="000000" w:themeColor="text1"/>
                <w14:textFill>
                  <w14:solidFill>
                    <w14:schemeClr w14:val="tx1"/>
                  </w14:solidFill>
                </w14:textFill>
              </w:rPr>
            </w:pPr>
            <w:r>
              <w:rPr>
                <w:rFonts w:hint="eastAsia"/>
                <w:color w:val="000000" w:themeColor="text1"/>
                <w14:textFill>
                  <w14:solidFill>
                    <w14:schemeClr w14:val="tx1"/>
                  </w14:solidFill>
                </w14:textFill>
              </w:rPr>
              <w:t>渭南合阳黑池坊50MW风电项目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distribute"/>
              <w:textAlignment w:val="auto"/>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项目地址：</w:t>
            </w:r>
          </w:p>
        </w:tc>
        <w:tc>
          <w:tcPr>
            <w:tcW w:w="6472"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 xml:space="preserve">陕西省渭南市合阳县黑池坊50MW风电场项目工程区域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distribute"/>
              <w:textAlignment w:val="auto"/>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保险标的：</w:t>
            </w:r>
          </w:p>
        </w:tc>
        <w:tc>
          <w:tcPr>
            <w:tcW w:w="6472"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color w:val="000000" w:themeColor="text1"/>
                <w14:textFill>
                  <w14:solidFill>
                    <w14:schemeClr w14:val="tx1"/>
                  </w14:solidFill>
                </w14:textFill>
              </w:rPr>
            </w:pPr>
            <w:r>
              <w:rPr>
                <w:rFonts w:hint="eastAsia"/>
                <w:color w:val="000000" w:themeColor="text1"/>
                <w14:textFill>
                  <w14:solidFill>
                    <w14:schemeClr w14:val="tx1"/>
                  </w14:solidFill>
                </w14:textFill>
              </w:rPr>
              <w:t>详见投保清单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distribute"/>
              <w:textAlignment w:val="auto"/>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保险金额：</w:t>
            </w:r>
          </w:p>
        </w:tc>
        <w:tc>
          <w:tcPr>
            <w:tcW w:w="6472"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color w:val="000000" w:themeColor="text1"/>
                <w14:textFill>
                  <w14:solidFill>
                    <w14:schemeClr w14:val="tx1"/>
                  </w14:solidFill>
                </w14:textFill>
              </w:rPr>
            </w:pPr>
            <w:r>
              <w:rPr>
                <w:rFonts w:hint="eastAsia"/>
                <w:color w:val="000000" w:themeColor="text1"/>
                <w14:textFill>
                  <w14:solidFill>
                    <w14:schemeClr w14:val="tx1"/>
                  </w14:solidFill>
                </w14:textFill>
              </w:rPr>
              <w:t>人民币：</w:t>
            </w:r>
            <w:r>
              <w:rPr>
                <w:rFonts w:hint="eastAsia"/>
                <w:color w:val="000000" w:themeColor="text1"/>
                <w:lang w:val="en-US" w:eastAsia="zh-CN"/>
                <w14:textFill>
                  <w14:solidFill>
                    <w14:schemeClr w14:val="tx1"/>
                  </w14:solidFill>
                </w14:textFill>
              </w:rPr>
              <w:t>306,131,794.36</w:t>
            </w:r>
            <w:r>
              <w:rPr>
                <w:rFonts w:hint="eastAsia"/>
                <w:color w:val="000000" w:themeColor="text1"/>
                <w14:textFill>
                  <w14:solidFill>
                    <w14:schemeClr w14:val="tx1"/>
                  </w14:solidFill>
                </w14:textFill>
              </w:rPr>
              <w:t>元</w:t>
            </w:r>
          </w:p>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color w:val="000000" w:themeColor="text1"/>
                <w14:textFill>
                  <w14:solidFill>
                    <w14:schemeClr w14:val="tx1"/>
                  </w14:solidFill>
                </w14:textFill>
              </w:rPr>
            </w:pPr>
            <w:r>
              <w:rPr>
                <w:rFonts w:hint="eastAsia"/>
                <w:color w:val="000000" w:themeColor="text1"/>
                <w14:textFill>
                  <w14:solidFill>
                    <w14:schemeClr w14:val="tx1"/>
                  </w14:solidFill>
                </w14:textFill>
              </w:rPr>
              <w:t>被保险资产按重置价值（账面原值/账面净值/其他）投保，具体以项目实际投保清单为准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distribute"/>
              <w:textAlignment w:val="auto"/>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保险年费率：</w:t>
            </w:r>
          </w:p>
        </w:tc>
        <w:tc>
          <w:tcPr>
            <w:tcW w:w="6472"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b/>
                <w:color w:val="FF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distribute"/>
              <w:textAlignment w:val="auto"/>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保险费用：</w:t>
            </w:r>
          </w:p>
        </w:tc>
        <w:tc>
          <w:tcPr>
            <w:tcW w:w="6472"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color w:val="000000" w:themeColor="text1"/>
                <w14:textFill>
                  <w14:solidFill>
                    <w14:schemeClr w14:val="tx1"/>
                  </w14:solidFill>
                </w14:textFill>
              </w:rPr>
            </w:pPr>
            <w:r>
              <w:rPr>
                <w:rFonts w:hint="eastAsia"/>
                <w:color w:val="000000" w:themeColor="text1"/>
                <w14:textFill>
                  <w14:solidFill>
                    <w14:schemeClr w14:val="tx1"/>
                  </w14:solidFill>
                </w14:textFill>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distribute"/>
              <w:textAlignment w:val="auto"/>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保险期限：</w:t>
            </w:r>
          </w:p>
        </w:tc>
        <w:tc>
          <w:tcPr>
            <w:tcW w:w="6472"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2个月，</w:t>
            </w:r>
            <w:r>
              <w:rPr>
                <w:color w:val="000000" w:themeColor="text1"/>
                <w14:textFill>
                  <w14:solidFill>
                    <w14:schemeClr w14:val="tx1"/>
                  </w14:solidFill>
                </w14:textFill>
              </w:rPr>
              <w:t>具体日期以出单通知/投保单为准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distribute"/>
              <w:textAlignment w:val="auto"/>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保险责任：</w:t>
            </w:r>
          </w:p>
        </w:tc>
        <w:tc>
          <w:tcPr>
            <w:tcW w:w="6472" w:type="dxa"/>
            <w:vAlign w:val="center"/>
          </w:tcPr>
          <w:p>
            <w:pPr>
              <w:keepNext w:val="0"/>
              <w:keepLines w:val="0"/>
              <w:pageBreakBefore w:val="0"/>
              <w:widowControl w:val="0"/>
              <w:numPr>
                <w:ilvl w:val="0"/>
                <w:numId w:val="4"/>
              </w:numPr>
              <w:kinsoku/>
              <w:wordWrap/>
              <w:overflowPunct/>
              <w:topLinePunct w:val="0"/>
              <w:autoSpaceDE/>
              <w:autoSpaceDN/>
              <w:bidi w:val="0"/>
              <w:adjustRightInd/>
              <w:snapToGrid/>
              <w:spacing w:line="400" w:lineRule="exact"/>
              <w:jc w:val="left"/>
              <w:textAlignment w:val="auto"/>
              <w:rPr>
                <w:color w:val="000000" w:themeColor="text1"/>
                <w14:textFill>
                  <w14:solidFill>
                    <w14:schemeClr w14:val="tx1"/>
                  </w14:solidFill>
                </w14:textFill>
              </w:rPr>
            </w:pPr>
            <w:r>
              <w:rPr>
                <w:rFonts w:hint="eastAsia"/>
                <w:color w:val="000000" w:themeColor="text1"/>
                <w14:textFill>
                  <w14:solidFill>
                    <w14:schemeClr w14:val="tx1"/>
                  </w14:solidFill>
                </w14:textFill>
              </w:rPr>
              <w:t>在保险期间内，由于自然灾害或意外事故造成保险标的直接物质损坏或灭失（以下简称“损失”），保险人按照本保险合同的约定负责赔偿。</w:t>
            </w:r>
          </w:p>
          <w:p>
            <w:pPr>
              <w:keepNext w:val="0"/>
              <w:keepLines w:val="0"/>
              <w:pageBreakBefore w:val="0"/>
              <w:widowControl w:val="0"/>
              <w:numPr>
                <w:ilvl w:val="0"/>
                <w:numId w:val="4"/>
              </w:numPr>
              <w:kinsoku/>
              <w:wordWrap/>
              <w:overflowPunct/>
              <w:topLinePunct w:val="0"/>
              <w:autoSpaceDE/>
              <w:autoSpaceDN/>
              <w:bidi w:val="0"/>
              <w:adjustRightInd/>
              <w:snapToGrid/>
              <w:spacing w:line="400" w:lineRule="exact"/>
              <w:jc w:val="left"/>
              <w:textAlignment w:val="auto"/>
              <w:rPr>
                <w:color w:val="000000" w:themeColor="text1"/>
                <w14:textFill>
                  <w14:solidFill>
                    <w14:schemeClr w14:val="tx1"/>
                  </w14:solidFill>
                </w14:textFill>
              </w:rPr>
            </w:pPr>
            <w:r>
              <w:rPr>
                <w:rFonts w:hint="eastAsia"/>
                <w:color w:val="000000" w:themeColor="text1"/>
                <w14:textFill>
                  <w14:solidFill>
                    <w14:schemeClr w14:val="tx1"/>
                  </w14:solidFill>
                </w14:textFill>
              </w:rPr>
              <w:t>前款原因造成的保险事故发生时，为抢救保险标的或防止灾害蔓延，采取必要的、合理的措施而造成保险标的的损失，保险人按照本保险合同的约定也负责赔偿。</w:t>
            </w:r>
          </w:p>
          <w:p>
            <w:pPr>
              <w:keepNext w:val="0"/>
              <w:keepLines w:val="0"/>
              <w:pageBreakBefore w:val="0"/>
              <w:widowControl w:val="0"/>
              <w:numPr>
                <w:ilvl w:val="0"/>
                <w:numId w:val="4"/>
              </w:numPr>
              <w:kinsoku/>
              <w:wordWrap/>
              <w:overflowPunct/>
              <w:topLinePunct w:val="0"/>
              <w:autoSpaceDE/>
              <w:autoSpaceDN/>
              <w:bidi w:val="0"/>
              <w:adjustRightInd/>
              <w:snapToGrid/>
              <w:spacing w:line="400" w:lineRule="exact"/>
              <w:jc w:val="left"/>
              <w:textAlignment w:val="auto"/>
              <w:rPr>
                <w:color w:val="000000" w:themeColor="text1"/>
                <w14:textFill>
                  <w14:solidFill>
                    <w14:schemeClr w14:val="tx1"/>
                  </w14:solidFill>
                </w14:textFill>
              </w:rPr>
            </w:pPr>
            <w:r>
              <w:rPr>
                <w:rFonts w:hint="eastAsia"/>
                <w:color w:val="000000" w:themeColor="text1"/>
                <w14:textFill>
                  <w14:solidFill>
                    <w14:schemeClr w14:val="tx1"/>
                  </w14:solidFill>
                </w14:textFill>
              </w:rPr>
              <w:t>保险事故发生后，被保险人为防止或减少保险标的的损失所支付的必要的、合理的费用，保险人按照本保险合同的约定也负责赔偿。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distribute"/>
              <w:textAlignment w:val="auto"/>
              <w:rPr>
                <w:b/>
                <w:bCs/>
                <w:color w:val="000000" w:themeColor="text1"/>
                <w14:textFill>
                  <w14:solidFill>
                    <w14:schemeClr w14:val="tx1"/>
                  </w14:solidFill>
                </w14:textFill>
              </w:rPr>
            </w:pPr>
            <w:r>
              <w:rPr>
                <w:rFonts w:hint="eastAsia"/>
                <w:b/>
                <w:bCs/>
                <w:color w:val="000000" w:themeColor="text1"/>
                <w:kern w:val="0"/>
                <w14:textFill>
                  <w14:solidFill>
                    <w14:schemeClr w14:val="tx1"/>
                  </w14:solidFill>
                </w14:textFill>
              </w:rPr>
              <w:t>免赔额</w:t>
            </w:r>
            <w:r>
              <w:rPr>
                <w:rFonts w:hint="eastAsia"/>
                <w:b/>
                <w:bCs/>
                <w:color w:val="000000" w:themeColor="text1"/>
                <w14:textFill>
                  <w14:solidFill>
                    <w14:schemeClr w14:val="tx1"/>
                  </w14:solidFill>
                </w14:textFill>
              </w:rPr>
              <w:t>：</w:t>
            </w:r>
          </w:p>
        </w:tc>
        <w:tc>
          <w:tcPr>
            <w:tcW w:w="6472" w:type="dxa"/>
            <w:vAlign w:val="center"/>
          </w:tcPr>
          <w:p>
            <w:pPr>
              <w:keepNext w:val="0"/>
              <w:keepLines w:val="0"/>
              <w:pageBreakBefore w:val="0"/>
              <w:widowControl w:val="0"/>
              <w:numPr>
                <w:ilvl w:val="0"/>
                <w:numId w:val="5"/>
              </w:numPr>
              <w:kinsoku/>
              <w:wordWrap/>
              <w:overflowPunct/>
              <w:topLinePunct w:val="0"/>
              <w:autoSpaceDE/>
              <w:autoSpaceDN/>
              <w:bidi w:val="0"/>
              <w:adjustRightInd/>
              <w:snapToGrid/>
              <w:spacing w:line="400" w:lineRule="exact"/>
              <w:jc w:val="left"/>
              <w:textAlignment w:val="auto"/>
              <w:rPr>
                <w:color w:val="000000" w:themeColor="text1"/>
                <w14:textFill>
                  <w14:solidFill>
                    <w14:schemeClr w14:val="tx1"/>
                  </w14:solidFill>
                </w14:textFill>
              </w:rPr>
            </w:pPr>
            <w:r>
              <w:rPr>
                <w:rFonts w:hint="eastAsia"/>
                <w:color w:val="000000" w:themeColor="text1"/>
                <w:lang w:eastAsia="zh-Hans"/>
                <w14:textFill>
                  <w14:solidFill>
                    <w14:schemeClr w14:val="tx1"/>
                  </w14:solidFill>
                </w14:textFill>
              </w:rPr>
              <w:t>本保险对自然灾害风险每次事故的绝对免赔为人民币</w:t>
            </w:r>
            <w:r>
              <w:rPr>
                <w:rFonts w:hint="eastAsia"/>
                <w:color w:val="000000" w:themeColor="text1"/>
                <w14:textFill>
                  <w14:solidFill>
                    <w14:schemeClr w14:val="tx1"/>
                  </w14:solidFill>
                </w14:textFill>
              </w:rPr>
              <w:t>10万元</w:t>
            </w:r>
            <w:r>
              <w:rPr>
                <w:rFonts w:hint="eastAsia"/>
                <w:color w:val="000000" w:themeColor="text1"/>
                <w:lang w:eastAsia="zh-Hans"/>
                <w14:textFill>
                  <w14:solidFill>
                    <w14:schemeClr w14:val="tx1"/>
                  </w14:solidFill>
                </w14:textFill>
              </w:rPr>
              <w:t>或损失金额的10%，以高者为准。</w:t>
            </w:r>
          </w:p>
          <w:p>
            <w:pPr>
              <w:keepNext w:val="0"/>
              <w:keepLines w:val="0"/>
              <w:pageBreakBefore w:val="0"/>
              <w:widowControl w:val="0"/>
              <w:numPr>
                <w:ilvl w:val="0"/>
                <w:numId w:val="5"/>
              </w:numPr>
              <w:kinsoku/>
              <w:wordWrap/>
              <w:overflowPunct/>
              <w:topLinePunct w:val="0"/>
              <w:autoSpaceDE/>
              <w:autoSpaceDN/>
              <w:bidi w:val="0"/>
              <w:adjustRightInd/>
              <w:snapToGrid/>
              <w:spacing w:line="400" w:lineRule="exact"/>
              <w:jc w:val="left"/>
              <w:textAlignment w:val="auto"/>
              <w:rPr>
                <w:color w:val="000000" w:themeColor="text1"/>
                <w14:textFill>
                  <w14:solidFill>
                    <w14:schemeClr w14:val="tx1"/>
                  </w14:solidFill>
                </w14:textFill>
              </w:rPr>
            </w:pPr>
            <w:r>
              <w:rPr>
                <w:rFonts w:hint="eastAsia"/>
                <w:color w:val="000000" w:themeColor="text1"/>
                <w:lang w:eastAsia="zh-Hans"/>
                <w14:textFill>
                  <w14:solidFill>
                    <w14:schemeClr w14:val="tx1"/>
                  </w14:solidFill>
                </w14:textFill>
              </w:rPr>
              <w:t>本保险对其他风险每次事故每次事故的绝对免赔为人民币</w:t>
            </w:r>
            <w:r>
              <w:rPr>
                <w:rFonts w:hint="eastAsia"/>
                <w:color w:val="000000" w:themeColor="text1"/>
                <w14:textFill>
                  <w14:solidFill>
                    <w14:schemeClr w14:val="tx1"/>
                  </w14:solidFill>
                </w14:textFill>
              </w:rPr>
              <w:t>1万元</w:t>
            </w:r>
            <w:r>
              <w:rPr>
                <w:rFonts w:hint="eastAsia"/>
                <w:color w:val="000000" w:themeColor="text1"/>
                <w:lang w:eastAsia="zh-Hans"/>
                <w14:textFill>
                  <w14:solidFill>
                    <w14:schemeClr w14:val="tx1"/>
                  </w14:solidFill>
                </w14:textFill>
              </w:rPr>
              <w:t>或损失金额的15%，以高者为准。</w:t>
            </w:r>
          </w:p>
          <w:p>
            <w:pPr>
              <w:keepNext w:val="0"/>
              <w:keepLines w:val="0"/>
              <w:pageBreakBefore w:val="0"/>
              <w:widowControl w:val="0"/>
              <w:numPr>
                <w:ilvl w:val="0"/>
                <w:numId w:val="5"/>
              </w:numPr>
              <w:kinsoku/>
              <w:wordWrap/>
              <w:overflowPunct/>
              <w:topLinePunct w:val="0"/>
              <w:autoSpaceDE/>
              <w:autoSpaceDN/>
              <w:bidi w:val="0"/>
              <w:adjustRightInd/>
              <w:snapToGrid/>
              <w:spacing w:line="400" w:lineRule="exact"/>
              <w:jc w:val="left"/>
              <w:textAlignment w:val="auto"/>
              <w:rPr>
                <w:color w:val="000000" w:themeColor="text1"/>
                <w14:textFill>
                  <w14:solidFill>
                    <w14:schemeClr w14:val="tx1"/>
                  </w14:solidFill>
                </w14:textFill>
              </w:rPr>
            </w:pPr>
            <w:r>
              <w:rPr>
                <w:rFonts w:hint="eastAsia"/>
                <w:color w:val="000000" w:themeColor="text1"/>
                <w:lang w:eastAsia="zh-Hans"/>
                <w14:textFill>
                  <w14:solidFill>
                    <w14:schemeClr w14:val="tx1"/>
                  </w14:solidFill>
                </w14:textFill>
              </w:rPr>
              <w:t>本保险对附加地震扩展条款每次事故的绝对免赔为人民币</w:t>
            </w:r>
            <w:r>
              <w:rPr>
                <w:rFonts w:hint="eastAsia"/>
                <w:color w:val="000000" w:themeColor="text1"/>
                <w14:textFill>
                  <w14:solidFill>
                    <w14:schemeClr w14:val="tx1"/>
                  </w14:solidFill>
                </w14:textFill>
              </w:rPr>
              <w:t>40万元</w:t>
            </w:r>
            <w:r>
              <w:rPr>
                <w:rFonts w:hint="eastAsia"/>
                <w:color w:val="000000" w:themeColor="text1"/>
                <w:lang w:eastAsia="zh-Hans"/>
                <w14:textFill>
                  <w14:solidFill>
                    <w14:schemeClr w14:val="tx1"/>
                  </w14:solidFill>
                </w14:textFill>
              </w:rPr>
              <w:t>或损失金额的5%，以高者为准。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distribute"/>
              <w:textAlignment w:val="auto"/>
              <w:rPr>
                <w:b/>
                <w:bCs/>
                <w:color w:val="000000" w:themeColor="text1"/>
                <w14:textFill>
                  <w14:solidFill>
                    <w14:schemeClr w14:val="tx1"/>
                  </w14:solidFill>
                </w14:textFill>
              </w:rPr>
            </w:pPr>
            <w:r>
              <w:rPr>
                <w:rFonts w:hint="eastAsia"/>
                <w:b/>
                <w:bCs/>
                <w:color w:val="000000" w:themeColor="text1"/>
                <w:kern w:val="0"/>
                <w14:textFill>
                  <w14:solidFill>
                    <w14:schemeClr w14:val="tx1"/>
                  </w14:solidFill>
                </w14:textFill>
              </w:rPr>
              <w:t>特别约定</w:t>
            </w:r>
            <w:r>
              <w:rPr>
                <w:rFonts w:hint="eastAsia"/>
                <w:b/>
                <w:bCs/>
                <w:color w:val="000000" w:themeColor="text1"/>
                <w14:textFill>
                  <w14:solidFill>
                    <w14:schemeClr w14:val="tx1"/>
                  </w14:solidFill>
                </w14:textFill>
              </w:rPr>
              <w:t>：</w:t>
            </w:r>
          </w:p>
        </w:tc>
        <w:tc>
          <w:tcPr>
            <w:tcW w:w="6472" w:type="dxa"/>
            <w:vAlign w:val="center"/>
          </w:tcPr>
          <w:p>
            <w:pPr>
              <w:keepNext w:val="0"/>
              <w:keepLines w:val="0"/>
              <w:pageBreakBefore w:val="0"/>
              <w:widowControl w:val="0"/>
              <w:numPr>
                <w:ilvl w:val="0"/>
                <w:numId w:val="6"/>
              </w:numPr>
              <w:kinsoku/>
              <w:wordWrap/>
              <w:overflowPunct/>
              <w:topLinePunct w:val="0"/>
              <w:autoSpaceDE/>
              <w:autoSpaceDN/>
              <w:bidi w:val="0"/>
              <w:adjustRightInd/>
              <w:snapToGrid/>
              <w:spacing w:line="400" w:lineRule="exact"/>
              <w:jc w:val="both"/>
              <w:textAlignment w:val="auto"/>
              <w:rPr>
                <w:color w:val="000000" w:themeColor="text1"/>
                <w14:textFill>
                  <w14:solidFill>
                    <w14:schemeClr w14:val="tx1"/>
                  </w14:solidFill>
                </w14:textFill>
              </w:rPr>
            </w:pPr>
            <w:r>
              <w:rPr>
                <w:rFonts w:hint="eastAsia"/>
                <w:color w:val="000000" w:themeColor="text1"/>
                <w14:textFill>
                  <w14:solidFill>
                    <w14:schemeClr w14:val="tx1"/>
                  </w14:solidFill>
                </w14:textFill>
              </w:rPr>
              <w:t>附加险条款如未做特别说明的，赔偿限额与主险一致且包含在主险限额内，免赔同主险免赔。盗窃事故发生后，需在第一时间通知本公司进行现场查勘，必须提供公安机关出具的盗窃认定证明及视频监控证明，并有明显的盗窃痕迹。</w:t>
            </w:r>
          </w:p>
          <w:p>
            <w:pPr>
              <w:keepNext w:val="0"/>
              <w:keepLines w:val="0"/>
              <w:pageBreakBefore w:val="0"/>
              <w:widowControl w:val="0"/>
              <w:numPr>
                <w:ilvl w:val="0"/>
                <w:numId w:val="6"/>
              </w:numPr>
              <w:kinsoku/>
              <w:wordWrap/>
              <w:overflowPunct/>
              <w:topLinePunct w:val="0"/>
              <w:autoSpaceDE/>
              <w:autoSpaceDN/>
              <w:bidi w:val="0"/>
              <w:adjustRightInd/>
              <w:snapToGrid/>
              <w:spacing w:line="400" w:lineRule="exact"/>
              <w:jc w:val="both"/>
              <w:textAlignment w:val="auto"/>
              <w:rPr>
                <w:rFonts w:hint="eastAsia" w:ascii="Times New Roman" w:hAnsi="Times New Roman" w:cs="Times New Roman"/>
                <w:color w:val="000000" w:themeColor="text1"/>
                <w14:textFill>
                  <w14:solidFill>
                    <w14:schemeClr w14:val="tx1"/>
                  </w14:solidFill>
                </w14:textFill>
              </w:rPr>
            </w:pPr>
            <w:r>
              <w:rPr>
                <w:rFonts w:hint="eastAsia" w:ascii="Times New Roman" w:hAnsi="Times New Roman" w:cs="Times New Roman"/>
                <w:color w:val="000000" w:themeColor="text1"/>
                <w:lang w:val="en-US" w:eastAsia="zh-CN"/>
                <w14:textFill>
                  <w14:solidFill>
                    <w14:schemeClr w14:val="tx1"/>
                  </w14:solidFill>
                </w14:textFill>
              </w:rPr>
              <w:t>兹经保险双方同意，对于因自然灾害而导致的保险事故，自然灾害的定量数据以当地气象台测量的事故发生时数据为准。</w:t>
            </w:r>
          </w:p>
          <w:p>
            <w:pPr>
              <w:keepNext w:val="0"/>
              <w:keepLines w:val="0"/>
              <w:pageBreakBefore w:val="0"/>
              <w:widowControl w:val="0"/>
              <w:numPr>
                <w:ilvl w:val="0"/>
                <w:numId w:val="6"/>
              </w:numPr>
              <w:kinsoku/>
              <w:wordWrap/>
              <w:overflowPunct/>
              <w:topLinePunct w:val="0"/>
              <w:autoSpaceDE/>
              <w:autoSpaceDN/>
              <w:bidi w:val="0"/>
              <w:adjustRightInd/>
              <w:snapToGrid/>
              <w:spacing w:line="400" w:lineRule="exact"/>
              <w:jc w:val="both"/>
              <w:textAlignment w:val="auto"/>
              <w:rPr>
                <w:rFonts w:hint="eastAsia" w:ascii="Times New Roman" w:hAnsi="Times New Roman" w:cs="Times New Roman"/>
                <w:color w:val="000000" w:themeColor="text1"/>
                <w:lang w:val="en-US" w:eastAsia="zh-CN"/>
                <w14:textFill>
                  <w14:solidFill>
                    <w14:schemeClr w14:val="tx1"/>
                  </w14:solidFill>
                </w14:textFill>
              </w:rPr>
            </w:pPr>
            <w:r>
              <w:rPr>
                <w:rFonts w:hint="eastAsia" w:ascii="Times New Roman" w:hAnsi="Times New Roman" w:cs="Times New Roman"/>
                <w:color w:val="000000" w:themeColor="text1"/>
                <w:lang w:val="en-US" w:eastAsia="zh-CN"/>
                <w14:textFill>
                  <w14:solidFill>
                    <w14:schemeClr w14:val="tx1"/>
                  </w14:solidFill>
                </w14:textFill>
              </w:rPr>
              <w:t xml:space="preserve">兹经保险双方同意，发生保险事故时，被保险人应及时通知保险人，同时可以按照有关规范要求，立即组织开展必要的抢险工作，如果因此无法保留现场，不影响被保险人的索赔效力，但被保险人应做好相关记录。若条件许可，被保险人应做好对第一现场情况的拍照或录像工作。且保险人应以被保险人提供现场照片（数码、胶卷等均可）或其他材 料、损失清单及其他证明材料作为赔付理算依据，不得以未参与现场查勘为由拒赔或减少赔付。 </w:t>
            </w:r>
          </w:p>
          <w:p>
            <w:pPr>
              <w:keepNext w:val="0"/>
              <w:keepLines w:val="0"/>
              <w:pageBreakBefore w:val="0"/>
              <w:widowControl w:val="0"/>
              <w:numPr>
                <w:ilvl w:val="0"/>
                <w:numId w:val="6"/>
              </w:numPr>
              <w:kinsoku/>
              <w:wordWrap/>
              <w:overflowPunct/>
              <w:topLinePunct w:val="0"/>
              <w:autoSpaceDE/>
              <w:autoSpaceDN/>
              <w:bidi w:val="0"/>
              <w:adjustRightInd/>
              <w:snapToGrid/>
              <w:spacing w:line="400" w:lineRule="exact"/>
              <w:jc w:val="both"/>
              <w:textAlignment w:val="auto"/>
              <w:rPr>
                <w:color w:val="000000" w:themeColor="text1"/>
                <w:lang w:eastAsia="zh-Hans"/>
                <w14:textFill>
                  <w14:solidFill>
                    <w14:schemeClr w14:val="tx1"/>
                  </w14:solidFill>
                </w14:textFill>
              </w:rPr>
            </w:pPr>
            <w:r>
              <w:rPr>
                <w:rFonts w:hint="eastAsia"/>
                <w:color w:val="000000" w:themeColor="text1"/>
                <w14:textFill>
                  <w14:solidFill>
                    <w14:schemeClr w14:val="tx1"/>
                  </w14:solidFill>
                </w14:textFill>
              </w:rPr>
              <w:t>本保单第一受益人为南网融资租赁有限公司。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distribute"/>
              <w:textAlignment w:val="auto"/>
              <w:rPr>
                <w:b/>
                <w:bCs/>
                <w:color w:val="000000" w:themeColor="text1"/>
                <w14:textFill>
                  <w14:solidFill>
                    <w14:schemeClr w14:val="tx1"/>
                  </w14:solidFill>
                </w14:textFill>
              </w:rPr>
            </w:pPr>
            <w:r>
              <w:rPr>
                <w:rFonts w:hint="eastAsia"/>
                <w:b/>
                <w:bCs/>
                <w:color w:val="000000" w:themeColor="text1"/>
                <w:kern w:val="0"/>
                <w14:textFill>
                  <w14:solidFill>
                    <w14:schemeClr w14:val="tx1"/>
                  </w14:solidFill>
                </w14:textFill>
              </w:rPr>
              <w:t>扩展条款：</w:t>
            </w:r>
          </w:p>
        </w:tc>
        <w:tc>
          <w:tcPr>
            <w:tcW w:w="6472"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textAlignment w:val="auto"/>
              <w:rPr>
                <w:color w:val="000000" w:themeColor="text1"/>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1、</w:t>
            </w:r>
            <w:r>
              <w:rPr>
                <w:rFonts w:hint="eastAsia" w:ascii="Times New Roman" w:hAnsi="Times New Roman" w:cs="Times New Roman"/>
                <w:color w:val="000000" w:themeColor="text1"/>
                <w:highlight w:val="none"/>
                <w:lang w:val="en-US" w:eastAsia="zh-CN"/>
                <w14:textFill>
                  <w14:solidFill>
                    <w14:schemeClr w14:val="tx1"/>
                  </w14:solidFill>
                </w14:textFill>
              </w:rPr>
              <w:t>附加自动恢复保险金额</w:t>
            </w:r>
            <w:r>
              <w:rPr>
                <w:rFonts w:hint="eastAsia" w:ascii="Times New Roman" w:hAnsi="Times New Roman" w:cs="Times New Roman"/>
                <w:color w:val="000000" w:themeColor="text1"/>
                <w:highlight w:val="none"/>
                <w:lang w:val="en-US" w:eastAsia="zh-CN"/>
                <w14:textFill>
                  <w14:solidFill>
                    <w14:schemeClr w14:val="tx1"/>
                  </w14:solidFill>
                </w14:textFill>
              </w:rPr>
              <w:br w:type="textWrapping"/>
            </w:r>
            <w:r>
              <w:rPr>
                <w:rFonts w:hint="eastAsia" w:cs="Times New Roman"/>
                <w:color w:val="000000" w:themeColor="text1"/>
                <w:highlight w:val="none"/>
                <w:lang w:val="en-US" w:eastAsia="zh-CN"/>
                <w14:textFill>
                  <w14:solidFill>
                    <w14:schemeClr w14:val="tx1"/>
                  </w14:solidFill>
                </w14:textFill>
              </w:rPr>
              <w:t>2、</w:t>
            </w:r>
            <w:r>
              <w:rPr>
                <w:rFonts w:hint="eastAsia" w:ascii="Times New Roman" w:hAnsi="Times New Roman" w:cs="Times New Roman"/>
                <w:color w:val="000000" w:themeColor="text1"/>
                <w:highlight w:val="none"/>
                <w:lang w:val="en-US" w:eastAsia="zh-CN"/>
                <w14:textFill>
                  <w14:solidFill>
                    <w14:schemeClr w14:val="tx1"/>
                  </w14:solidFill>
                </w14:textFill>
              </w:rPr>
              <w:t>附加重置价值保险</w:t>
            </w:r>
            <w:r>
              <w:rPr>
                <w:rFonts w:hint="eastAsia" w:ascii="Times New Roman" w:hAnsi="Times New Roman" w:cs="Times New Roman"/>
                <w:color w:val="000000" w:themeColor="text1"/>
                <w:highlight w:val="none"/>
                <w:lang w:val="en-US" w:eastAsia="zh-CN"/>
                <w14:textFill>
                  <w14:solidFill>
                    <w14:schemeClr w14:val="tx1"/>
                  </w14:solidFill>
                </w14:textFill>
              </w:rPr>
              <w:br w:type="textWrapping"/>
            </w:r>
            <w:r>
              <w:rPr>
                <w:rFonts w:hint="eastAsia" w:cs="Times New Roman"/>
                <w:color w:val="000000" w:themeColor="text1"/>
                <w:highlight w:val="none"/>
                <w:lang w:val="en-US" w:eastAsia="zh-CN"/>
                <w14:textFill>
                  <w14:solidFill>
                    <w14:schemeClr w14:val="tx1"/>
                  </w14:solidFill>
                </w14:textFill>
              </w:rPr>
              <w:t>3、</w:t>
            </w:r>
            <w:r>
              <w:rPr>
                <w:rFonts w:hint="eastAsia" w:ascii="Times New Roman" w:hAnsi="Times New Roman" w:cs="Times New Roman"/>
                <w:color w:val="000000" w:themeColor="text1"/>
                <w:highlight w:val="none"/>
                <w:lang w:val="en-US" w:eastAsia="zh-CN"/>
                <w14:textFill>
                  <w14:solidFill>
                    <w14:schemeClr w14:val="tx1"/>
                  </w14:solidFill>
                </w14:textFill>
              </w:rPr>
              <w:t>附加公共当局保险</w:t>
            </w:r>
            <w:r>
              <w:rPr>
                <w:rFonts w:hint="eastAsia" w:ascii="Times New Roman" w:hAnsi="Times New Roman" w:cs="Times New Roman"/>
                <w:color w:val="000000" w:themeColor="text1"/>
                <w:highlight w:val="none"/>
                <w:lang w:val="en-US" w:eastAsia="zh-CN"/>
                <w14:textFill>
                  <w14:solidFill>
                    <w14:schemeClr w14:val="tx1"/>
                  </w14:solidFill>
                </w14:textFill>
              </w:rPr>
              <w:br w:type="textWrapping"/>
            </w:r>
            <w:r>
              <w:rPr>
                <w:rFonts w:hint="eastAsia" w:cs="Times New Roman"/>
                <w:color w:val="000000" w:themeColor="text1"/>
                <w:highlight w:val="none"/>
                <w:lang w:val="en-US" w:eastAsia="zh-CN"/>
                <w14:textFill>
                  <w14:solidFill>
                    <w14:schemeClr w14:val="tx1"/>
                  </w14:solidFill>
                </w14:textFill>
              </w:rPr>
              <w:t>4、</w:t>
            </w:r>
            <w:r>
              <w:rPr>
                <w:rFonts w:hint="eastAsia" w:ascii="Times New Roman" w:hAnsi="Times New Roman" w:cs="Times New Roman"/>
                <w:color w:val="000000" w:themeColor="text1"/>
                <w:highlight w:val="none"/>
                <w:lang w:val="en-US" w:eastAsia="zh-CN"/>
                <w14:textFill>
                  <w14:solidFill>
                    <w14:schemeClr w14:val="tx1"/>
                  </w14:solidFill>
                </w14:textFill>
              </w:rPr>
              <w:t>附加专业费用保险（每次事故赔偿限额100万元，累计赔偿限额500万元）</w:t>
            </w:r>
            <w:r>
              <w:rPr>
                <w:rFonts w:hint="eastAsia" w:ascii="Times New Roman" w:hAnsi="Times New Roman" w:cs="Times New Roman"/>
                <w:color w:val="000000" w:themeColor="text1"/>
                <w:highlight w:val="none"/>
                <w:lang w:val="en-US" w:eastAsia="zh-CN"/>
                <w14:textFill>
                  <w14:solidFill>
                    <w14:schemeClr w14:val="tx1"/>
                  </w14:solidFill>
                </w14:textFill>
              </w:rPr>
              <w:br w:type="textWrapping"/>
            </w:r>
            <w:r>
              <w:rPr>
                <w:rFonts w:hint="eastAsia" w:cs="Times New Roman"/>
                <w:color w:val="000000" w:themeColor="text1"/>
                <w:highlight w:val="none"/>
                <w:lang w:val="en-US" w:eastAsia="zh-CN"/>
                <w14:textFill>
                  <w14:solidFill>
                    <w14:schemeClr w14:val="tx1"/>
                  </w14:solidFill>
                </w14:textFill>
              </w:rPr>
              <w:t>5、</w:t>
            </w:r>
            <w:r>
              <w:rPr>
                <w:rFonts w:hint="eastAsia" w:ascii="Times New Roman" w:hAnsi="Times New Roman" w:cs="Times New Roman"/>
                <w:color w:val="000000" w:themeColor="text1"/>
                <w:highlight w:val="none"/>
                <w:lang w:val="en-US" w:eastAsia="zh-CN"/>
                <w14:textFill>
                  <w14:solidFill>
                    <w14:schemeClr w14:val="tx1"/>
                  </w14:solidFill>
                </w14:textFill>
              </w:rPr>
              <w:t>附加特别费用（2025版）（每次事故赔偿限额100万元，累计赔偿限额500万元）</w:t>
            </w:r>
            <w:r>
              <w:rPr>
                <w:rFonts w:hint="eastAsia" w:ascii="Times New Roman" w:hAnsi="Times New Roman" w:cs="Times New Roman"/>
                <w:color w:val="000000" w:themeColor="text1"/>
                <w:highlight w:val="none"/>
                <w:lang w:val="en-US" w:eastAsia="zh-CN"/>
                <w14:textFill>
                  <w14:solidFill>
                    <w14:schemeClr w14:val="tx1"/>
                  </w14:solidFill>
                </w14:textFill>
              </w:rPr>
              <w:br w:type="textWrapping"/>
            </w:r>
            <w:r>
              <w:rPr>
                <w:rFonts w:hint="eastAsia" w:cs="Times New Roman"/>
                <w:color w:val="000000" w:themeColor="text1"/>
                <w:highlight w:val="none"/>
                <w:lang w:val="en-US" w:eastAsia="zh-CN"/>
                <w14:textFill>
                  <w14:solidFill>
                    <w14:schemeClr w14:val="tx1"/>
                  </w14:solidFill>
                </w14:textFill>
              </w:rPr>
              <w:t>6、</w:t>
            </w:r>
            <w:r>
              <w:rPr>
                <w:rFonts w:hint="eastAsia" w:ascii="Times New Roman" w:hAnsi="Times New Roman" w:cs="Times New Roman"/>
                <w:color w:val="000000" w:themeColor="text1"/>
                <w:highlight w:val="none"/>
                <w:lang w:val="en-US" w:eastAsia="zh-CN"/>
                <w14:textFill>
                  <w14:solidFill>
                    <w14:schemeClr w14:val="tx1"/>
                  </w14:solidFill>
                </w14:textFill>
              </w:rPr>
              <w:t>附加碰撞保险</w:t>
            </w:r>
            <w:r>
              <w:rPr>
                <w:rFonts w:hint="eastAsia" w:ascii="Times New Roman" w:hAnsi="Times New Roman" w:cs="Times New Roman"/>
                <w:color w:val="000000" w:themeColor="text1"/>
                <w:highlight w:val="none"/>
                <w:lang w:val="en-US" w:eastAsia="zh-CN"/>
                <w14:textFill>
                  <w14:solidFill>
                    <w14:schemeClr w14:val="tx1"/>
                  </w14:solidFill>
                </w14:textFill>
              </w:rPr>
              <w:br w:type="textWrapping"/>
            </w:r>
            <w:r>
              <w:rPr>
                <w:rFonts w:hint="eastAsia" w:cs="Times New Roman"/>
                <w:color w:val="000000" w:themeColor="text1"/>
                <w:highlight w:val="none"/>
                <w:lang w:val="en-US" w:eastAsia="zh-CN"/>
                <w14:textFill>
                  <w14:solidFill>
                    <w14:schemeClr w14:val="tx1"/>
                  </w14:solidFill>
                </w14:textFill>
              </w:rPr>
              <w:t>7、</w:t>
            </w:r>
            <w:r>
              <w:rPr>
                <w:rFonts w:hint="eastAsia" w:ascii="Times New Roman" w:hAnsi="Times New Roman" w:cs="Times New Roman"/>
                <w:color w:val="000000" w:themeColor="text1"/>
                <w:highlight w:val="none"/>
                <w:lang w:val="en-US" w:eastAsia="zh-CN"/>
                <w14:textFill>
                  <w14:solidFill>
                    <w14:schemeClr w14:val="tx1"/>
                  </w14:solidFill>
                </w14:textFill>
              </w:rPr>
              <w:t>附加预付赔款保险（50%）</w:t>
            </w:r>
            <w:r>
              <w:rPr>
                <w:rFonts w:hint="eastAsia" w:ascii="Times New Roman" w:hAnsi="Times New Roman" w:cs="Times New Roman"/>
                <w:color w:val="000000" w:themeColor="text1"/>
                <w:highlight w:val="none"/>
                <w:lang w:val="en-US" w:eastAsia="zh-CN"/>
                <w14:textFill>
                  <w14:solidFill>
                    <w14:schemeClr w14:val="tx1"/>
                  </w14:solidFill>
                </w14:textFill>
              </w:rPr>
              <w:br w:type="textWrapping"/>
            </w:r>
            <w:r>
              <w:rPr>
                <w:rFonts w:hint="eastAsia" w:cs="Times New Roman"/>
                <w:color w:val="000000" w:themeColor="text1"/>
                <w:highlight w:val="none"/>
                <w:lang w:val="en-US" w:eastAsia="zh-CN"/>
                <w14:textFill>
                  <w14:solidFill>
                    <w14:schemeClr w14:val="tx1"/>
                  </w14:solidFill>
                </w14:textFill>
              </w:rPr>
              <w:t>8、</w:t>
            </w:r>
            <w:r>
              <w:rPr>
                <w:rFonts w:hint="eastAsia" w:ascii="Times New Roman" w:hAnsi="Times New Roman" w:cs="Times New Roman"/>
                <w:color w:val="000000" w:themeColor="text1"/>
                <w:highlight w:val="none"/>
                <w:lang w:val="en-US" w:eastAsia="zh-CN"/>
                <w14:textFill>
                  <w14:solidFill>
                    <w14:schemeClr w14:val="tx1"/>
                  </w14:solidFill>
                </w14:textFill>
              </w:rPr>
              <w:t>附加时间调整（72小时）</w:t>
            </w:r>
            <w:r>
              <w:rPr>
                <w:rFonts w:hint="eastAsia" w:ascii="Times New Roman" w:hAnsi="Times New Roman" w:cs="Times New Roman"/>
                <w:color w:val="000000" w:themeColor="text1"/>
                <w:highlight w:val="none"/>
                <w:lang w:val="en-US" w:eastAsia="zh-CN"/>
                <w14:textFill>
                  <w14:solidFill>
                    <w14:schemeClr w14:val="tx1"/>
                  </w14:solidFill>
                </w14:textFill>
              </w:rPr>
              <w:br w:type="textWrapping"/>
            </w:r>
            <w:r>
              <w:rPr>
                <w:rFonts w:hint="eastAsia" w:cs="Times New Roman"/>
                <w:color w:val="000000" w:themeColor="text1"/>
                <w:highlight w:val="none"/>
                <w:lang w:val="en-US" w:eastAsia="zh-CN"/>
                <w14:textFill>
                  <w14:solidFill>
                    <w14:schemeClr w14:val="tx1"/>
                  </w14:solidFill>
                </w14:textFill>
              </w:rPr>
              <w:t>9、</w:t>
            </w:r>
            <w:r>
              <w:rPr>
                <w:rFonts w:hint="eastAsia" w:ascii="Times New Roman" w:hAnsi="Times New Roman" w:cs="Times New Roman"/>
                <w:color w:val="000000" w:themeColor="text1"/>
                <w:highlight w:val="none"/>
                <w:lang w:val="en-US" w:eastAsia="zh-CN"/>
                <w14:textFill>
                  <w14:solidFill>
                    <w14:schemeClr w14:val="tx1"/>
                  </w14:solidFill>
                </w14:textFill>
              </w:rPr>
              <w:t>附加临时移动保险</w:t>
            </w:r>
            <w:r>
              <w:rPr>
                <w:rFonts w:hint="eastAsia" w:ascii="Times New Roman" w:hAnsi="Times New Roman" w:cs="Times New Roman"/>
                <w:color w:val="000000" w:themeColor="text1"/>
                <w:highlight w:val="none"/>
                <w:lang w:val="en-US" w:eastAsia="zh-CN"/>
                <w14:textFill>
                  <w14:solidFill>
                    <w14:schemeClr w14:val="tx1"/>
                  </w14:solidFill>
                </w14:textFill>
              </w:rPr>
              <w:br w:type="textWrapping"/>
            </w:r>
            <w:r>
              <w:rPr>
                <w:rFonts w:hint="eastAsia" w:cs="Times New Roman"/>
                <w:color w:val="000000" w:themeColor="text1"/>
                <w:highlight w:val="none"/>
                <w:lang w:val="en-US" w:eastAsia="zh-CN"/>
                <w14:textFill>
                  <w14:solidFill>
                    <w14:schemeClr w14:val="tx1"/>
                  </w14:solidFill>
                </w14:textFill>
              </w:rPr>
              <w:t>10、</w:t>
            </w:r>
            <w:r>
              <w:rPr>
                <w:rFonts w:hint="eastAsia" w:ascii="Times New Roman" w:hAnsi="Times New Roman" w:cs="Times New Roman"/>
                <w:color w:val="000000" w:themeColor="text1"/>
                <w:highlight w:val="none"/>
                <w:lang w:val="en-US" w:eastAsia="zh-CN"/>
                <w14:textFill>
                  <w14:solidFill>
                    <w14:schemeClr w14:val="tx1"/>
                  </w14:solidFill>
                </w14:textFill>
              </w:rPr>
              <w:t>附加成对或成套财产条款</w:t>
            </w:r>
            <w:r>
              <w:rPr>
                <w:rFonts w:hint="eastAsia" w:ascii="Times New Roman" w:hAnsi="Times New Roman" w:cs="Times New Roman"/>
                <w:color w:val="000000" w:themeColor="text1"/>
                <w:highlight w:val="none"/>
                <w:lang w:val="en-US" w:eastAsia="zh-CN"/>
                <w14:textFill>
                  <w14:solidFill>
                    <w14:schemeClr w14:val="tx1"/>
                  </w14:solidFill>
                </w14:textFill>
              </w:rPr>
              <w:br w:type="textWrapping"/>
            </w:r>
            <w:r>
              <w:rPr>
                <w:rFonts w:hint="eastAsia" w:cs="Times New Roman"/>
                <w:color w:val="000000" w:themeColor="text1"/>
                <w:highlight w:val="none"/>
                <w:lang w:val="en-US" w:eastAsia="zh-CN"/>
                <w14:textFill>
                  <w14:solidFill>
                    <w14:schemeClr w14:val="tx1"/>
                  </w14:solidFill>
                </w14:textFill>
              </w:rPr>
              <w:t>11、</w:t>
            </w:r>
            <w:r>
              <w:rPr>
                <w:rFonts w:hint="eastAsia" w:ascii="Times New Roman" w:hAnsi="Times New Roman" w:cs="Times New Roman"/>
                <w:color w:val="000000" w:themeColor="text1"/>
                <w:highlight w:val="none"/>
                <w:lang w:val="en-US" w:eastAsia="zh-CN"/>
                <w14:textFill>
                  <w14:solidFill>
                    <w14:schemeClr w14:val="tx1"/>
                  </w14:solidFill>
                </w14:textFill>
              </w:rPr>
              <w:t>附加地震、海啸次生灾害保险</w:t>
            </w:r>
            <w:r>
              <w:rPr>
                <w:rFonts w:hint="eastAsia" w:ascii="Times New Roman" w:hAnsi="Times New Roman" w:cs="Times New Roman"/>
                <w:color w:val="000000" w:themeColor="text1"/>
                <w:highlight w:val="none"/>
                <w:lang w:val="en-US" w:eastAsia="zh-CN"/>
                <w14:textFill>
                  <w14:solidFill>
                    <w14:schemeClr w14:val="tx1"/>
                  </w14:solidFill>
                </w14:textFill>
              </w:rPr>
              <w:br w:type="textWrapping"/>
            </w:r>
            <w:r>
              <w:rPr>
                <w:rFonts w:hint="eastAsia" w:cs="Times New Roman"/>
                <w:color w:val="000000" w:themeColor="text1"/>
                <w:highlight w:val="none"/>
                <w:lang w:val="en-US" w:eastAsia="zh-CN"/>
                <w14:textFill>
                  <w14:solidFill>
                    <w14:schemeClr w14:val="tx1"/>
                  </w14:solidFill>
                </w14:textFill>
              </w:rPr>
              <w:t>12、</w:t>
            </w:r>
            <w:r>
              <w:rPr>
                <w:rFonts w:hint="eastAsia" w:ascii="Times New Roman" w:hAnsi="Times New Roman" w:cs="Times New Roman"/>
                <w:color w:val="000000" w:themeColor="text1"/>
                <w:highlight w:val="none"/>
                <w:lang w:val="en-US" w:eastAsia="zh-CN"/>
                <w14:textFill>
                  <w14:solidFill>
                    <w14:schemeClr w14:val="tx1"/>
                  </w14:solidFill>
                </w14:textFill>
              </w:rPr>
              <w:t>附加清理残骸费用保险（每次事故赔偿限额100万元，累计赔偿限额500万元）   </w:t>
            </w:r>
            <w:r>
              <w:rPr>
                <w:rFonts w:hint="eastAsia" w:ascii="Times New Roman" w:hAnsi="Times New Roman" w:cs="Times New Roman"/>
                <w:color w:val="000000" w:themeColor="text1"/>
                <w:highlight w:val="none"/>
                <w:lang w:val="en-US" w:eastAsia="zh-CN"/>
                <w14:textFill>
                  <w14:solidFill>
                    <w14:schemeClr w14:val="tx1"/>
                  </w14:solidFill>
                </w14:textFill>
              </w:rPr>
              <w:br w:type="textWrapping"/>
            </w:r>
            <w:r>
              <w:rPr>
                <w:rFonts w:hint="eastAsia" w:cs="Times New Roman"/>
                <w:color w:val="000000" w:themeColor="text1"/>
                <w:highlight w:val="none"/>
                <w:lang w:val="en-US" w:eastAsia="zh-CN"/>
                <w14:textFill>
                  <w14:solidFill>
                    <w14:schemeClr w14:val="tx1"/>
                  </w14:solidFill>
                </w14:textFill>
              </w:rPr>
              <w:t>13、</w:t>
            </w:r>
            <w:r>
              <w:rPr>
                <w:rFonts w:hint="eastAsia" w:ascii="Times New Roman" w:hAnsi="Times New Roman" w:cs="Times New Roman"/>
                <w:color w:val="000000" w:themeColor="text1"/>
                <w:highlight w:val="none"/>
                <w:lang w:val="en-US" w:eastAsia="zh-CN"/>
                <w14:textFill>
                  <w14:solidFill>
                    <w14:schemeClr w14:val="tx1"/>
                  </w14:solidFill>
                </w14:textFill>
              </w:rPr>
              <w:t>险附加建筑物未受损部分保险</w:t>
            </w:r>
            <w:r>
              <w:rPr>
                <w:rFonts w:hint="eastAsia" w:ascii="Times New Roman" w:hAnsi="Times New Roman" w:cs="Times New Roman"/>
                <w:color w:val="000000" w:themeColor="text1"/>
                <w:highlight w:val="none"/>
                <w:lang w:val="en-US" w:eastAsia="zh-CN"/>
                <w14:textFill>
                  <w14:solidFill>
                    <w14:schemeClr w14:val="tx1"/>
                  </w14:solidFill>
                </w14:textFill>
              </w:rPr>
              <w:br w:type="textWrapping"/>
            </w:r>
            <w:r>
              <w:rPr>
                <w:rFonts w:hint="eastAsia" w:cs="Times New Roman"/>
                <w:color w:val="000000" w:themeColor="text1"/>
                <w:highlight w:val="none"/>
                <w:lang w:val="en-US" w:eastAsia="zh-CN"/>
                <w14:textFill>
                  <w14:solidFill>
                    <w14:schemeClr w14:val="tx1"/>
                  </w14:solidFill>
                </w14:textFill>
              </w:rPr>
              <w:t>14、</w:t>
            </w:r>
            <w:r>
              <w:rPr>
                <w:rFonts w:hint="eastAsia" w:ascii="Times New Roman" w:hAnsi="Times New Roman" w:cs="Times New Roman"/>
                <w:color w:val="000000" w:themeColor="text1"/>
                <w:highlight w:val="none"/>
                <w:lang w:val="en-US" w:eastAsia="zh-CN"/>
                <w14:textFill>
                  <w14:solidFill>
                    <w14:schemeClr w14:val="tx1"/>
                  </w14:solidFill>
                </w14:textFill>
              </w:rPr>
              <w:t>附加罢工、暴乱及民众骚乱保险</w:t>
            </w:r>
            <w:r>
              <w:rPr>
                <w:rFonts w:hint="eastAsia" w:ascii="Times New Roman" w:hAnsi="Times New Roman" w:cs="Times New Roman"/>
                <w:color w:val="000000" w:themeColor="text1"/>
                <w:highlight w:val="none"/>
                <w:lang w:val="en-US" w:eastAsia="zh-CN"/>
                <w14:textFill>
                  <w14:solidFill>
                    <w14:schemeClr w14:val="tx1"/>
                  </w14:solidFill>
                </w14:textFill>
              </w:rPr>
              <w:br w:type="textWrapping"/>
            </w:r>
            <w:r>
              <w:rPr>
                <w:rFonts w:hint="eastAsia" w:cs="Times New Roman"/>
                <w:color w:val="000000" w:themeColor="text1"/>
                <w:highlight w:val="none"/>
                <w:lang w:val="en-US" w:eastAsia="zh-CN"/>
                <w14:textFill>
                  <w14:solidFill>
                    <w14:schemeClr w14:val="tx1"/>
                  </w14:solidFill>
                </w14:textFill>
              </w:rPr>
              <w:t>15、</w:t>
            </w:r>
            <w:r>
              <w:rPr>
                <w:rFonts w:hint="eastAsia" w:ascii="Times New Roman" w:hAnsi="Times New Roman" w:cs="Times New Roman"/>
                <w:color w:val="000000" w:themeColor="text1"/>
                <w:highlight w:val="none"/>
                <w:lang w:val="en-US" w:eastAsia="zh-CN"/>
                <w14:textFill>
                  <w14:solidFill>
                    <w14:schemeClr w14:val="tx1"/>
                  </w14:solidFill>
                </w14:textFill>
              </w:rPr>
              <w:t>附加索赔费用保险（每次事故赔偿限额100万元，累计赔偿限额500万元）</w:t>
            </w:r>
            <w:r>
              <w:rPr>
                <w:rFonts w:hint="eastAsia" w:ascii="Times New Roman" w:hAnsi="Times New Roman" w:cs="Times New Roman"/>
                <w:color w:val="000000" w:themeColor="text1"/>
                <w:highlight w:val="none"/>
                <w:lang w:val="en-US" w:eastAsia="zh-CN"/>
                <w14:textFill>
                  <w14:solidFill>
                    <w14:schemeClr w14:val="tx1"/>
                  </w14:solidFill>
                </w14:textFill>
              </w:rPr>
              <w:br w:type="textWrapping"/>
            </w:r>
            <w:r>
              <w:rPr>
                <w:rFonts w:hint="eastAsia" w:cs="Times New Roman"/>
                <w:color w:val="000000" w:themeColor="text1"/>
                <w:highlight w:val="none"/>
                <w:lang w:val="en-US" w:eastAsia="zh-CN"/>
                <w14:textFill>
                  <w14:solidFill>
                    <w14:schemeClr w14:val="tx1"/>
                  </w14:solidFill>
                </w14:textFill>
              </w:rPr>
              <w:t>16、</w:t>
            </w:r>
            <w:r>
              <w:rPr>
                <w:rFonts w:hint="eastAsia" w:ascii="Times New Roman" w:hAnsi="Times New Roman" w:cs="Times New Roman"/>
                <w:color w:val="000000" w:themeColor="text1"/>
                <w:highlight w:val="none"/>
                <w:lang w:val="en-US" w:eastAsia="zh-CN"/>
                <w14:textFill>
                  <w14:solidFill>
                    <w14:schemeClr w14:val="tx1"/>
                  </w14:solidFill>
                </w14:textFill>
              </w:rPr>
              <w:t>附加虫蛀、鼠咬损失保险</w:t>
            </w:r>
            <w:r>
              <w:rPr>
                <w:rFonts w:hint="eastAsia" w:ascii="Times New Roman" w:hAnsi="Times New Roman" w:cs="Times New Roman"/>
                <w:color w:val="000000" w:themeColor="text1"/>
                <w:highlight w:val="none"/>
                <w:lang w:val="en-US" w:eastAsia="zh-CN"/>
                <w14:textFill>
                  <w14:solidFill>
                    <w14:schemeClr w14:val="tx1"/>
                  </w14:solidFill>
                </w14:textFill>
              </w:rPr>
              <w:br w:type="textWrapping"/>
            </w:r>
            <w:r>
              <w:rPr>
                <w:rFonts w:hint="eastAsia" w:cs="Times New Roman"/>
                <w:color w:val="000000" w:themeColor="text1"/>
                <w:highlight w:val="none"/>
                <w:lang w:val="en-US" w:eastAsia="zh-CN"/>
                <w14:textFill>
                  <w14:solidFill>
                    <w14:schemeClr w14:val="tx1"/>
                  </w14:solidFill>
                </w14:textFill>
              </w:rPr>
              <w:t>17、</w:t>
            </w:r>
            <w:r>
              <w:rPr>
                <w:rFonts w:hint="eastAsia" w:ascii="Times New Roman" w:hAnsi="Times New Roman" w:cs="Times New Roman"/>
                <w:color w:val="000000" w:themeColor="text1"/>
                <w:highlight w:val="none"/>
                <w:lang w:val="en-US" w:eastAsia="zh-CN"/>
                <w14:textFill>
                  <w14:solidFill>
                    <w14:schemeClr w14:val="tx1"/>
                  </w14:solidFill>
                </w14:textFill>
              </w:rPr>
              <w:t>附加露天存放及简易建筑内财产保险</w:t>
            </w:r>
            <w:r>
              <w:rPr>
                <w:rFonts w:hint="eastAsia" w:ascii="Times New Roman" w:hAnsi="Times New Roman" w:cs="Times New Roman"/>
                <w:color w:val="000000" w:themeColor="text1"/>
                <w:highlight w:val="none"/>
                <w:lang w:val="en-US" w:eastAsia="zh-CN"/>
                <w14:textFill>
                  <w14:solidFill>
                    <w14:schemeClr w14:val="tx1"/>
                  </w14:solidFill>
                </w14:textFill>
              </w:rPr>
              <w:br w:type="textWrapping"/>
            </w:r>
            <w:r>
              <w:rPr>
                <w:rFonts w:hint="eastAsia" w:cs="Times New Roman"/>
                <w:color w:val="000000" w:themeColor="text1"/>
                <w:highlight w:val="none"/>
                <w:lang w:val="en-US" w:eastAsia="zh-CN"/>
                <w14:textFill>
                  <w14:solidFill>
                    <w14:schemeClr w14:val="tx1"/>
                  </w14:solidFill>
                </w14:textFill>
              </w:rPr>
              <w:t>18、</w:t>
            </w:r>
            <w:r>
              <w:rPr>
                <w:rFonts w:hint="eastAsia" w:ascii="Times New Roman" w:hAnsi="Times New Roman" w:cs="Times New Roman"/>
                <w:color w:val="000000" w:themeColor="text1"/>
                <w:highlight w:val="none"/>
                <w:lang w:val="en-US" w:eastAsia="zh-CN"/>
                <w14:textFill>
                  <w14:solidFill>
                    <w14:schemeClr w14:val="tx1"/>
                  </w14:solidFill>
                </w14:textFill>
              </w:rPr>
              <w:t>附加灭火费用保险</w:t>
            </w:r>
            <w:r>
              <w:rPr>
                <w:rFonts w:hint="eastAsia" w:ascii="Times New Roman" w:hAnsi="Times New Roman" w:cs="Times New Roman"/>
                <w:color w:val="000000" w:themeColor="text1"/>
                <w:highlight w:val="none"/>
                <w:lang w:val="en-US" w:eastAsia="zh-CN"/>
                <w14:textFill>
                  <w14:solidFill>
                    <w14:schemeClr w14:val="tx1"/>
                  </w14:solidFill>
                </w14:textFill>
              </w:rPr>
              <w:br w:type="textWrapping"/>
            </w:r>
            <w:r>
              <w:rPr>
                <w:rFonts w:hint="eastAsia" w:cs="Times New Roman"/>
                <w:color w:val="000000" w:themeColor="text1"/>
                <w:highlight w:val="none"/>
                <w:lang w:val="en-US" w:eastAsia="zh-CN"/>
                <w14:textFill>
                  <w14:solidFill>
                    <w14:schemeClr w14:val="tx1"/>
                  </w14:solidFill>
                </w14:textFill>
              </w:rPr>
              <w:t>19、</w:t>
            </w:r>
            <w:r>
              <w:rPr>
                <w:rFonts w:hint="eastAsia" w:ascii="Times New Roman" w:hAnsi="Times New Roman" w:cs="Times New Roman"/>
                <w:color w:val="000000" w:themeColor="text1"/>
                <w:highlight w:val="none"/>
                <w:lang w:val="en-US" w:eastAsia="zh-CN"/>
                <w14:textFill>
                  <w14:solidFill>
                    <w14:schemeClr w14:val="tx1"/>
                  </w14:solidFill>
                </w14:textFill>
              </w:rPr>
              <w:t>附加盗窃、抢劫保险</w:t>
            </w:r>
            <w:r>
              <w:rPr>
                <w:rFonts w:hint="eastAsia" w:ascii="Times New Roman" w:hAnsi="Times New Roman" w:cs="Times New Roman"/>
                <w:color w:val="000000" w:themeColor="text1"/>
                <w:highlight w:val="none"/>
                <w:lang w:val="en-US" w:eastAsia="zh-CN"/>
                <w14:textFill>
                  <w14:solidFill>
                    <w14:schemeClr w14:val="tx1"/>
                  </w14:solidFill>
                </w14:textFill>
              </w:rPr>
              <w:br w:type="textWrapping"/>
            </w:r>
            <w:r>
              <w:rPr>
                <w:rFonts w:hint="eastAsia" w:cs="Times New Roman"/>
                <w:color w:val="000000" w:themeColor="text1"/>
                <w:highlight w:val="none"/>
                <w:lang w:val="en-US" w:eastAsia="zh-CN"/>
                <w14:textFill>
                  <w14:solidFill>
                    <w14:schemeClr w14:val="tx1"/>
                  </w14:solidFill>
                </w14:textFill>
              </w:rPr>
              <w:t>20、</w:t>
            </w:r>
            <w:r>
              <w:rPr>
                <w:rFonts w:hint="eastAsia" w:ascii="Times New Roman" w:hAnsi="Times New Roman" w:cs="Times New Roman"/>
                <w:color w:val="000000" w:themeColor="text1"/>
                <w:highlight w:val="none"/>
                <w:lang w:val="en-US" w:eastAsia="zh-CN"/>
                <w14:textFill>
                  <w14:solidFill>
                    <w14:schemeClr w14:val="tx1"/>
                  </w14:solidFill>
                </w14:textFill>
              </w:rPr>
              <w:t>临时保护措施保险</w:t>
            </w:r>
            <w:r>
              <w:rPr>
                <w:rFonts w:hint="eastAsia" w:ascii="Times New Roman" w:hAnsi="Times New Roman" w:cs="Times New Roman"/>
                <w:color w:val="000000" w:themeColor="text1"/>
                <w:highlight w:val="none"/>
                <w:lang w:val="en-US" w:eastAsia="zh-CN"/>
                <w14:textFill>
                  <w14:solidFill>
                    <w14:schemeClr w14:val="tx1"/>
                  </w14:solidFill>
                </w14:textFill>
              </w:rPr>
              <w:br w:type="textWrapping"/>
            </w:r>
            <w:r>
              <w:rPr>
                <w:rFonts w:hint="eastAsia" w:cs="Times New Roman"/>
                <w:color w:val="000000" w:themeColor="text1"/>
                <w:highlight w:val="none"/>
                <w:lang w:val="en-US" w:eastAsia="zh-CN"/>
                <w14:textFill>
                  <w14:solidFill>
                    <w14:schemeClr w14:val="tx1"/>
                  </w14:solidFill>
                </w14:textFill>
              </w:rPr>
              <w:t>21、</w:t>
            </w:r>
            <w:r>
              <w:rPr>
                <w:rFonts w:hint="eastAsia" w:ascii="Times New Roman" w:hAnsi="Times New Roman" w:cs="Times New Roman"/>
                <w:color w:val="000000" w:themeColor="text1"/>
                <w:highlight w:val="none"/>
                <w:lang w:val="en-US" w:eastAsia="zh-CN"/>
                <w14:textFill>
                  <w14:solidFill>
                    <w14:schemeClr w14:val="tx1"/>
                  </w14:solidFill>
                </w14:textFill>
              </w:rPr>
              <w:t>附加错误和遗漏保险</w:t>
            </w:r>
            <w:r>
              <w:rPr>
                <w:rFonts w:hint="eastAsia" w:ascii="Times New Roman" w:hAnsi="Times New Roman" w:cs="Times New Roman"/>
                <w:color w:val="000000" w:themeColor="text1"/>
                <w:highlight w:val="none"/>
                <w:lang w:val="en-US" w:eastAsia="zh-CN"/>
                <w14:textFill>
                  <w14:solidFill>
                    <w14:schemeClr w14:val="tx1"/>
                  </w14:solidFill>
                </w14:textFill>
              </w:rPr>
              <w:br w:type="textWrapping"/>
            </w:r>
            <w:r>
              <w:rPr>
                <w:rFonts w:hint="eastAsia" w:cs="Times New Roman"/>
                <w:color w:val="000000" w:themeColor="text1"/>
                <w:highlight w:val="none"/>
                <w:lang w:val="en-US" w:eastAsia="zh-CN"/>
                <w14:textFill>
                  <w14:solidFill>
                    <w14:schemeClr w14:val="tx1"/>
                  </w14:solidFill>
                </w14:textFill>
              </w:rPr>
              <w:t>22、</w:t>
            </w:r>
            <w:r>
              <w:rPr>
                <w:rFonts w:hint="eastAsia" w:ascii="Times New Roman" w:hAnsi="Times New Roman" w:cs="Times New Roman"/>
                <w:color w:val="000000" w:themeColor="text1"/>
                <w:highlight w:val="none"/>
                <w:lang w:val="en-US" w:eastAsia="zh-CN"/>
                <w14:textFill>
                  <w14:solidFill>
                    <w14:schemeClr w14:val="tx1"/>
                  </w14:solidFill>
                </w14:textFill>
              </w:rPr>
              <w:t>附加消防安全措施保险</w:t>
            </w:r>
            <w:r>
              <w:rPr>
                <w:rFonts w:hint="eastAsia" w:ascii="Times New Roman" w:hAnsi="Times New Roman" w:cs="Times New Roman"/>
                <w:color w:val="000000" w:themeColor="text1"/>
                <w:highlight w:val="none"/>
                <w:lang w:val="en-US" w:eastAsia="zh-CN"/>
                <w14:textFill>
                  <w14:solidFill>
                    <w14:schemeClr w14:val="tx1"/>
                  </w14:solidFill>
                </w14:textFill>
              </w:rPr>
              <w:br w:type="textWrapping"/>
            </w:r>
            <w:r>
              <w:rPr>
                <w:rFonts w:hint="eastAsia" w:cs="Times New Roman"/>
                <w:color w:val="000000" w:themeColor="text1"/>
                <w:highlight w:val="none"/>
                <w:lang w:val="en-US" w:eastAsia="zh-CN"/>
                <w14:textFill>
                  <w14:solidFill>
                    <w14:schemeClr w14:val="tx1"/>
                  </w14:solidFill>
                </w14:textFill>
              </w:rPr>
              <w:t>23、</w:t>
            </w:r>
            <w:r>
              <w:rPr>
                <w:rFonts w:hint="eastAsia" w:ascii="Times New Roman" w:hAnsi="Times New Roman" w:cs="Times New Roman"/>
                <w:color w:val="000000" w:themeColor="text1"/>
                <w:highlight w:val="none"/>
                <w:lang w:val="en-US" w:eastAsia="zh-CN"/>
                <w14:textFill>
                  <w14:solidFill>
                    <w14:schemeClr w14:val="tx1"/>
                  </w14:solidFill>
                </w14:textFill>
              </w:rPr>
              <w:t>附加检修保险</w:t>
            </w:r>
            <w:r>
              <w:rPr>
                <w:rFonts w:hint="eastAsia" w:ascii="Times New Roman" w:hAnsi="Times New Roman" w:cs="Times New Roman"/>
                <w:color w:val="000000" w:themeColor="text1"/>
                <w:highlight w:val="none"/>
                <w:lang w:val="en-US" w:eastAsia="zh-CN"/>
                <w14:textFill>
                  <w14:solidFill>
                    <w14:schemeClr w14:val="tx1"/>
                  </w14:solidFill>
                </w14:textFill>
              </w:rPr>
              <w:br w:type="textWrapping"/>
            </w:r>
            <w:r>
              <w:rPr>
                <w:rFonts w:hint="eastAsia" w:cs="Times New Roman"/>
                <w:color w:val="000000" w:themeColor="text1"/>
                <w:highlight w:val="none"/>
                <w:lang w:val="en-US" w:eastAsia="zh-CN"/>
                <w14:textFill>
                  <w14:solidFill>
                    <w14:schemeClr w14:val="tx1"/>
                  </w14:solidFill>
                </w14:textFill>
              </w:rPr>
              <w:t>24、</w:t>
            </w:r>
            <w:r>
              <w:rPr>
                <w:rFonts w:hint="eastAsia" w:ascii="Times New Roman" w:hAnsi="Times New Roman" w:cs="Times New Roman"/>
                <w:color w:val="000000" w:themeColor="text1"/>
                <w:highlight w:val="none"/>
                <w:lang w:val="en-US" w:eastAsia="zh-CN"/>
                <w14:textFill>
                  <w14:solidFill>
                    <w14:schemeClr w14:val="tx1"/>
                  </w14:solidFill>
                </w14:textFill>
              </w:rPr>
              <w:t>附加抢险施救保险（每次事故赔偿限额100万元，累计赔偿限额500万元）</w:t>
            </w:r>
          </w:p>
        </w:tc>
      </w:tr>
    </w:tbl>
    <w:tbl>
      <w:tblPr>
        <w:tblStyle w:val="22"/>
        <w:tblpPr w:leftFromText="180" w:rightFromText="180" w:vertAnchor="text" w:horzAnchor="page" w:tblpX="1781" w:tblpY="604"/>
        <w:tblOverlap w:val="never"/>
        <w:tblW w:w="91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045"/>
        <w:gridCol w:w="41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045"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jc w:val="center"/>
              <w:textAlignment w:val="auto"/>
              <w:rPr>
                <w:rFonts w:hint="eastAsia" w:ascii="Times New Roman" w:hAnsi="Times New Roman" w:cs="Times New Roman"/>
                <w:b/>
                <w:bCs/>
                <w:color w:val="000000" w:themeColor="text1"/>
                <w:highlight w:val="none"/>
                <w:lang w:val="en-US" w:eastAsia="zh-CN"/>
                <w14:textFill>
                  <w14:solidFill>
                    <w14:schemeClr w14:val="tx1"/>
                  </w14:solidFill>
                </w14:textFill>
              </w:rPr>
            </w:pPr>
            <w:r>
              <w:rPr>
                <w:rFonts w:hint="eastAsia" w:ascii="Times New Roman" w:hAnsi="Times New Roman" w:cs="Times New Roman"/>
                <w:b/>
                <w:bCs/>
                <w:color w:val="000000" w:themeColor="text1"/>
                <w:highlight w:val="none"/>
                <w:lang w:val="en-US" w:eastAsia="zh-CN"/>
                <w14:textFill>
                  <w14:solidFill>
                    <w14:schemeClr w14:val="tx1"/>
                  </w14:solidFill>
                </w14:textFill>
              </w:rPr>
              <w:t>保险标的物</w:t>
            </w:r>
          </w:p>
        </w:tc>
        <w:tc>
          <w:tcPr>
            <w:tcW w:w="4108"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jc w:val="center"/>
              <w:textAlignment w:val="auto"/>
              <w:rPr>
                <w:rFonts w:hint="eastAsia" w:ascii="Times New Roman" w:hAnsi="Times New Roman" w:cs="Times New Roman"/>
                <w:b/>
                <w:bCs/>
                <w:color w:val="000000" w:themeColor="text1"/>
                <w:highlight w:val="none"/>
                <w:lang w:val="en-US" w:eastAsia="zh-CN"/>
                <w14:textFill>
                  <w14:solidFill>
                    <w14:schemeClr w14:val="tx1"/>
                  </w14:solidFill>
                </w14:textFill>
              </w:rPr>
            </w:pPr>
            <w:r>
              <w:rPr>
                <w:rFonts w:hint="eastAsia" w:ascii="Times New Roman" w:hAnsi="Times New Roman" w:cs="Times New Roman"/>
                <w:b/>
                <w:bCs/>
                <w:color w:val="000000" w:themeColor="text1"/>
                <w:highlight w:val="none"/>
                <w:lang w:val="en-US" w:eastAsia="zh-CN"/>
                <w14:textFill>
                  <w14:solidFill>
                    <w14:schemeClr w14:val="tx1"/>
                  </w14:solidFill>
                </w14:textFill>
              </w:rPr>
              <w:t>保险金额（元）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45"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textAlignment w:val="auto"/>
              <w:rPr>
                <w:rFonts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lang w:val="en-US" w:eastAsia="zh-CN"/>
                <w14:textFill>
                  <w14:solidFill>
                    <w14:schemeClr w14:val="tx1"/>
                  </w14:solidFill>
                </w14:textFill>
              </w:rPr>
              <w:t>风电机组及其附属设备（HW3/2500华仪风能有限公司）</w:t>
            </w:r>
          </w:p>
        </w:tc>
        <w:tc>
          <w:tcPr>
            <w:tcW w:w="4108"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jc w:val="center"/>
              <w:textAlignment w:val="auto"/>
              <w:rPr>
                <w:rFonts w:hint="eastAsia" w:ascii="仿宋_GB2312" w:hAnsi="仿宋_GB2312" w:eastAsia="仿宋_GB2312" w:cs="仿宋_GB2312"/>
                <w:color w:val="000000" w:themeColor="text1"/>
                <w:highlight w:val="none"/>
                <w:lang w:val="en-US" w:eastAsia="zh-CN"/>
                <w14:textFill>
                  <w14:solidFill>
                    <w14:schemeClr w14:val="tx1"/>
                  </w14:solidFill>
                </w14:textFill>
              </w:rPr>
            </w:pPr>
            <w:r>
              <w:rPr>
                <w:rFonts w:hint="eastAsia" w:ascii="仿宋_GB2312" w:hAnsi="仿宋_GB2312" w:eastAsia="仿宋_GB2312" w:cs="仿宋_GB2312"/>
                <w:color w:val="000000" w:themeColor="text1"/>
                <w:highlight w:val="none"/>
                <w:lang w:val="en-US" w:eastAsia="zh-CN"/>
                <w14:textFill>
                  <w14:solidFill>
                    <w14:schemeClr w14:val="tx1"/>
                  </w14:solidFill>
                </w14:textFill>
              </w:rPr>
              <w:t>181,875,000.00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45"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textAlignment w:val="auto"/>
              <w:rPr>
                <w:rFonts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lang w:val="en-US" w:eastAsia="zh-CN"/>
                <w14:textFill>
                  <w14:solidFill>
                    <w14:schemeClr w14:val="tx1"/>
                  </w14:solidFill>
                </w14:textFill>
              </w:rPr>
              <w:t>塔筒及其附属设备</w:t>
            </w:r>
          </w:p>
        </w:tc>
        <w:tc>
          <w:tcPr>
            <w:tcW w:w="4108"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jc w:val="center"/>
              <w:textAlignment w:val="auto"/>
              <w:rPr>
                <w:rFonts w:hint="eastAsia" w:ascii="仿宋_GB2312" w:hAnsi="仿宋_GB2312" w:eastAsia="仿宋_GB2312" w:cs="仿宋_GB2312"/>
                <w:color w:val="000000" w:themeColor="text1"/>
                <w:highlight w:val="none"/>
                <w:lang w:val="en-US" w:eastAsia="zh-CN"/>
                <w14:textFill>
                  <w14:solidFill>
                    <w14:schemeClr w14:val="tx1"/>
                  </w14:solidFill>
                </w14:textFill>
              </w:rPr>
            </w:pPr>
            <w:r>
              <w:rPr>
                <w:rFonts w:hint="eastAsia" w:ascii="仿宋_GB2312" w:hAnsi="仿宋_GB2312" w:eastAsia="仿宋_GB2312" w:cs="仿宋_GB2312"/>
                <w:color w:val="000000" w:themeColor="text1"/>
                <w:highlight w:val="none"/>
                <w:lang w:val="en-US" w:eastAsia="zh-CN"/>
                <w14:textFill>
                  <w14:solidFill>
                    <w14:schemeClr w14:val="tx1"/>
                  </w14:solidFill>
                </w14:textFill>
              </w:rPr>
              <w:t>43,139,295.00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45"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textAlignment w:val="auto"/>
              <w:rPr>
                <w:rFonts w:hint="eastAsia" w:ascii="Times New Roman" w:hAnsi="Times New Roman" w:cs="Times New Roman"/>
                <w:color w:val="000000" w:themeColor="text1"/>
                <w:highlight w:val="none"/>
                <w:lang w:val="en-US" w:eastAsia="zh-CN"/>
                <w14:textFill>
                  <w14:solidFill>
                    <w14:schemeClr w14:val="tx1"/>
                  </w14:solidFill>
                </w14:textFill>
              </w:rPr>
            </w:pPr>
            <w:r>
              <w:rPr>
                <w:rFonts w:hint="eastAsia" w:ascii="Times New Roman" w:hAnsi="Times New Roman" w:cs="Times New Roman"/>
                <w:color w:val="000000" w:themeColor="text1"/>
                <w:highlight w:val="none"/>
                <w:lang w:val="en-US" w:eastAsia="zh-CN"/>
                <w14:textFill>
                  <w14:solidFill>
                    <w14:schemeClr w14:val="tx1"/>
                  </w14:solidFill>
                </w14:textFill>
              </w:rPr>
              <w:t>建筑及基桩</w:t>
            </w:r>
          </w:p>
        </w:tc>
        <w:tc>
          <w:tcPr>
            <w:tcW w:w="4108"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jc w:val="center"/>
              <w:textAlignment w:val="auto"/>
              <w:rPr>
                <w:rFonts w:hint="eastAsia" w:ascii="仿宋_GB2312" w:hAnsi="仿宋_GB2312" w:eastAsia="仿宋_GB2312" w:cs="仿宋_GB2312"/>
                <w:color w:val="000000" w:themeColor="text1"/>
                <w:highlight w:val="none"/>
                <w:lang w:val="en-US" w:eastAsia="zh-CN"/>
                <w14:textFill>
                  <w14:solidFill>
                    <w14:schemeClr w14:val="tx1"/>
                  </w14:solidFill>
                </w14:textFill>
              </w:rPr>
            </w:pPr>
            <w:r>
              <w:rPr>
                <w:rFonts w:hint="eastAsia" w:ascii="仿宋_GB2312" w:hAnsi="仿宋_GB2312" w:eastAsia="仿宋_GB2312" w:cs="仿宋_GB2312"/>
                <w:color w:val="000000" w:themeColor="text1"/>
                <w:highlight w:val="none"/>
                <w:lang w:val="en-US" w:eastAsia="zh-CN"/>
                <w14:textFill>
                  <w14:solidFill>
                    <w14:schemeClr w14:val="tx1"/>
                  </w14:solidFill>
                </w14:textFill>
              </w:rPr>
              <w:t>41,526,379.00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45"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textAlignment w:val="auto"/>
              <w:rPr>
                <w:rFonts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lang w:val="en-US" w:eastAsia="zh-CN"/>
                <w14:textFill>
                  <w14:solidFill>
                    <w14:schemeClr w14:val="tx1"/>
                  </w14:solidFill>
                </w14:textFill>
              </w:rPr>
              <w:t>锚栓及其附件</w:t>
            </w:r>
          </w:p>
        </w:tc>
        <w:tc>
          <w:tcPr>
            <w:tcW w:w="4108"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jc w:val="center"/>
              <w:textAlignment w:val="auto"/>
              <w:rPr>
                <w:rFonts w:hint="eastAsia" w:ascii="仿宋_GB2312" w:hAnsi="仿宋_GB2312" w:eastAsia="仿宋_GB2312" w:cs="仿宋_GB2312"/>
                <w:color w:val="000000" w:themeColor="text1"/>
                <w:highlight w:val="none"/>
                <w:lang w:val="en-US" w:eastAsia="zh-CN"/>
                <w14:textFill>
                  <w14:solidFill>
                    <w14:schemeClr w14:val="tx1"/>
                  </w14:solidFill>
                </w14:textFill>
              </w:rPr>
            </w:pPr>
            <w:r>
              <w:rPr>
                <w:rFonts w:hint="eastAsia" w:ascii="仿宋_GB2312" w:hAnsi="仿宋_GB2312" w:eastAsia="仿宋_GB2312" w:cs="仿宋_GB2312"/>
                <w:color w:val="000000" w:themeColor="text1"/>
                <w:highlight w:val="none"/>
                <w:lang w:val="en-US" w:eastAsia="zh-CN"/>
                <w14:textFill>
                  <w14:solidFill>
                    <w14:schemeClr w14:val="tx1"/>
                  </w14:solidFill>
                </w14:textFill>
              </w:rPr>
              <w:t>14,284,499.36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45"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textAlignment w:val="auto"/>
              <w:rPr>
                <w:rFonts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lang w:val="en-US" w:eastAsia="zh-CN"/>
                <w14:textFill>
                  <w14:solidFill>
                    <w14:schemeClr w14:val="tx1"/>
                  </w14:solidFill>
                </w14:textFill>
              </w:rPr>
              <w:t>箱变</w:t>
            </w:r>
          </w:p>
        </w:tc>
        <w:tc>
          <w:tcPr>
            <w:tcW w:w="4108"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jc w:val="center"/>
              <w:textAlignment w:val="auto"/>
              <w:rPr>
                <w:rFonts w:hint="eastAsia" w:ascii="仿宋_GB2312" w:hAnsi="仿宋_GB2312" w:eastAsia="仿宋_GB2312" w:cs="仿宋_GB2312"/>
                <w:color w:val="000000" w:themeColor="text1"/>
                <w:highlight w:val="none"/>
                <w:lang w:val="en-US" w:eastAsia="zh-CN"/>
                <w14:textFill>
                  <w14:solidFill>
                    <w14:schemeClr w14:val="tx1"/>
                  </w14:solidFill>
                </w14:textFill>
              </w:rPr>
            </w:pPr>
            <w:r>
              <w:rPr>
                <w:rFonts w:hint="eastAsia" w:ascii="仿宋_GB2312" w:hAnsi="仿宋_GB2312" w:eastAsia="仿宋_GB2312" w:cs="仿宋_GB2312"/>
                <w:color w:val="000000" w:themeColor="text1"/>
                <w:highlight w:val="none"/>
                <w:lang w:val="en-US" w:eastAsia="zh-CN"/>
                <w14:textFill>
                  <w14:solidFill>
                    <w14:schemeClr w14:val="tx1"/>
                  </w14:solidFill>
                </w14:textFill>
              </w:rPr>
              <w:t>3,783,000.00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45"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textAlignment w:val="auto"/>
              <w:rPr>
                <w:rFonts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lang w:val="en-US" w:eastAsia="zh-CN"/>
                <w14:textFill>
                  <w14:solidFill>
                    <w14:schemeClr w14:val="tx1"/>
                  </w14:solidFill>
                </w14:textFill>
              </w:rPr>
              <w:t>升压站电气设备附属设备</w:t>
            </w:r>
          </w:p>
        </w:tc>
        <w:tc>
          <w:tcPr>
            <w:tcW w:w="4108"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jc w:val="center"/>
              <w:textAlignment w:val="auto"/>
              <w:rPr>
                <w:rFonts w:hint="eastAsia" w:ascii="仿宋_GB2312" w:hAnsi="仿宋_GB2312" w:eastAsia="仿宋_GB2312" w:cs="仿宋_GB2312"/>
                <w:color w:val="000000" w:themeColor="text1"/>
                <w:highlight w:val="none"/>
                <w:lang w:val="en-US" w:eastAsia="zh-CN"/>
                <w14:textFill>
                  <w14:solidFill>
                    <w14:schemeClr w14:val="tx1"/>
                  </w14:solidFill>
                </w14:textFill>
              </w:rPr>
            </w:pPr>
            <w:r>
              <w:rPr>
                <w:rFonts w:hint="eastAsia" w:ascii="仿宋_GB2312" w:hAnsi="仿宋_GB2312" w:eastAsia="仿宋_GB2312" w:cs="仿宋_GB2312"/>
                <w:color w:val="000000" w:themeColor="text1"/>
                <w:highlight w:val="none"/>
                <w:lang w:val="en-US" w:eastAsia="zh-CN"/>
                <w14:textFill>
                  <w14:solidFill>
                    <w14:schemeClr w14:val="tx1"/>
                  </w14:solidFill>
                </w14:textFill>
              </w:rPr>
              <w:t>21,523,621.00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3" w:type="dxa"/>
            <w:gridSpan w:val="2"/>
            <w:vAlign w:val="center"/>
          </w:tcPr>
          <w:p>
            <w:pPr>
              <w:keepNext w:val="0"/>
              <w:keepLines w:val="0"/>
              <w:widowControl/>
              <w:suppressLineNumbers w:val="0"/>
              <w:jc w:val="center"/>
              <w:rPr>
                <w:rFonts w:hint="eastAsia" w:ascii="宋体" w:hAnsi="宋体" w:eastAsia="宋体" w:cs="宋体"/>
                <w:color w:val="000000"/>
                <w:kern w:val="0"/>
                <w:sz w:val="20"/>
                <w:szCs w:val="20"/>
                <w:lang w:val="en-US" w:eastAsia="zh-CN" w:bidi="ar"/>
              </w:rPr>
            </w:pPr>
            <w:r>
              <w:rPr>
                <w:rFonts w:hint="eastAsia" w:ascii="Times New Roman" w:hAnsi="Times New Roman" w:cs="Times New Roman"/>
                <w:color w:val="000000" w:themeColor="text1"/>
                <w:highlight w:val="none"/>
                <w:lang w:val="en-US" w:eastAsia="zh-CN"/>
                <w14:textFill>
                  <w14:solidFill>
                    <w14:schemeClr w14:val="tx1"/>
                  </w14:solidFill>
                </w14:textFill>
              </w:rPr>
              <w:t>总保险金额：306,131,794.36</w:t>
            </w:r>
          </w:p>
        </w:tc>
      </w:tr>
    </w:tbl>
    <w:p>
      <w:pPr>
        <w:pStyle w:val="20"/>
        <w:ind w:left="560"/>
        <w:sectPr>
          <w:footerReference r:id="rId11" w:type="default"/>
          <w:pgSz w:w="11906" w:h="16838"/>
          <w:pgMar w:top="1440" w:right="1800" w:bottom="1440" w:left="1800" w:header="851" w:footer="992" w:gutter="0"/>
          <w:pgNumType w:start="1"/>
          <w:cols w:space="720" w:num="1"/>
          <w:docGrid w:type="lines" w:linePitch="312" w:charSpace="0"/>
        </w:sectPr>
      </w:pPr>
    </w:p>
    <w:p>
      <w:pPr>
        <w:numPr>
          <w:ilvl w:val="0"/>
          <w:numId w:val="2"/>
        </w:numPr>
        <w:ind w:firstLine="0"/>
        <w:jc w:val="center"/>
        <w:outlineLvl w:val="0"/>
        <w:rPr>
          <w:b/>
          <w:bCs/>
        </w:rPr>
      </w:pPr>
      <w:r>
        <w:rPr>
          <w:rFonts w:hint="eastAsia"/>
          <w:b/>
          <w:bCs/>
        </w:rPr>
        <w:t>机器损坏险保</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50"/>
        <w:gridCol w:w="64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50" w:type="dxa"/>
            <w:vAlign w:val="center"/>
          </w:tcPr>
          <w:p>
            <w:pPr>
              <w:keepNext w:val="0"/>
              <w:keepLines w:val="0"/>
              <w:pageBreakBefore w:val="0"/>
              <w:kinsoku/>
              <w:wordWrap/>
              <w:overflowPunct/>
              <w:topLinePunct w:val="0"/>
              <w:autoSpaceDE/>
              <w:autoSpaceDN/>
              <w:bidi w:val="0"/>
              <w:adjustRightInd/>
              <w:snapToGrid/>
              <w:spacing w:line="400" w:lineRule="exact"/>
              <w:jc w:val="distribute"/>
              <w:textAlignment w:val="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合同条款：</w:t>
            </w:r>
          </w:p>
        </w:tc>
        <w:tc>
          <w:tcPr>
            <w:tcW w:w="6472" w:type="dxa"/>
            <w:vAlign w:val="center"/>
          </w:tcPr>
          <w:p>
            <w:pPr>
              <w:keepNext w:val="0"/>
              <w:keepLines w:val="0"/>
              <w:pageBreakBefore w:val="0"/>
              <w:kinsoku/>
              <w:wordWrap/>
              <w:overflowPunct/>
              <w:topLinePunct w:val="0"/>
              <w:autoSpaceDE/>
              <w:autoSpaceDN/>
              <w:bidi w:val="0"/>
              <w:adjustRightInd/>
              <w:snapToGrid/>
              <w:spacing w:line="400" w:lineRule="exact"/>
              <w:jc w:val="left"/>
              <w:textAlignment w:val="auto"/>
              <w:rPr>
                <w:color w:val="000000" w:themeColor="text1"/>
                <w14:textFill>
                  <w14:solidFill>
                    <w14:schemeClr w14:val="tx1"/>
                  </w14:solidFill>
                </w14:textFill>
              </w:rPr>
            </w:pPr>
            <w:r>
              <w:rPr>
                <w:rFonts w:hint="eastAsia"/>
                <w:color w:val="000000" w:themeColor="text1"/>
                <w14:textFill>
                  <w14:solidFill>
                    <w14:schemeClr w14:val="tx1"/>
                  </w14:solidFill>
                </w14:textFill>
              </w:rPr>
              <w:t>按照保险公司向国家金融监督管理总局备案条款内容执行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keepNext w:val="0"/>
              <w:keepLines w:val="0"/>
              <w:pageBreakBefore w:val="0"/>
              <w:kinsoku/>
              <w:wordWrap/>
              <w:overflowPunct/>
              <w:topLinePunct w:val="0"/>
              <w:autoSpaceDE/>
              <w:autoSpaceDN/>
              <w:bidi w:val="0"/>
              <w:adjustRightInd/>
              <w:snapToGrid/>
              <w:spacing w:line="400" w:lineRule="exact"/>
              <w:jc w:val="distribute"/>
              <w:textAlignment w:val="auto"/>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投保人：</w:t>
            </w:r>
          </w:p>
        </w:tc>
        <w:tc>
          <w:tcPr>
            <w:tcW w:w="6472" w:type="dxa"/>
            <w:vAlign w:val="center"/>
          </w:tcPr>
          <w:p>
            <w:pPr>
              <w:keepNext w:val="0"/>
              <w:keepLines w:val="0"/>
              <w:pageBreakBefore w:val="0"/>
              <w:numPr>
                <w:ilvl w:val="0"/>
                <w:numId w:val="7"/>
              </w:numPr>
              <w:kinsoku/>
              <w:wordWrap/>
              <w:overflowPunct/>
              <w:topLinePunct w:val="0"/>
              <w:autoSpaceDE/>
              <w:autoSpaceDN/>
              <w:bidi w:val="0"/>
              <w:adjustRightInd/>
              <w:snapToGrid/>
              <w:spacing w:line="400" w:lineRule="exact"/>
              <w:ind w:left="420" w:hanging="420" w:hangingChars="150"/>
              <w:jc w:val="left"/>
              <w:textAlignment w:val="auto"/>
              <w:rPr>
                <w:color w:val="000000" w:themeColor="text1"/>
                <w14:textFill>
                  <w14:solidFill>
                    <w14:schemeClr w14:val="tx1"/>
                  </w14:solidFill>
                </w14:textFill>
              </w:rPr>
            </w:pPr>
            <w:r>
              <w:rPr>
                <w:rFonts w:hint="eastAsia"/>
                <w:color w:val="000000" w:themeColor="text1"/>
                <w14:textFill>
                  <w14:solidFill>
                    <w14:schemeClr w14:val="tx1"/>
                  </w14:solidFill>
                </w14:textFill>
              </w:rPr>
              <w:t>投保人名称：南网融资租赁有限公司</w:t>
            </w:r>
          </w:p>
          <w:p>
            <w:pPr>
              <w:keepNext w:val="0"/>
              <w:keepLines w:val="0"/>
              <w:pageBreakBefore w:val="0"/>
              <w:numPr>
                <w:ilvl w:val="0"/>
                <w:numId w:val="7"/>
              </w:numPr>
              <w:kinsoku/>
              <w:wordWrap/>
              <w:overflowPunct/>
              <w:topLinePunct w:val="0"/>
              <w:autoSpaceDE/>
              <w:autoSpaceDN/>
              <w:bidi w:val="0"/>
              <w:adjustRightInd/>
              <w:snapToGrid/>
              <w:spacing w:line="400" w:lineRule="exact"/>
              <w:ind w:left="420" w:hanging="420" w:hangingChars="150"/>
              <w:jc w:val="left"/>
              <w:textAlignment w:val="auto"/>
              <w:rPr>
                <w:color w:val="000000" w:themeColor="text1"/>
                <w14:textFill>
                  <w14:solidFill>
                    <w14:schemeClr w14:val="tx1"/>
                  </w14:solidFill>
                </w14:textFill>
              </w:rPr>
            </w:pPr>
            <w:r>
              <w:rPr>
                <w:rFonts w:hint="eastAsia"/>
                <w:color w:val="000000" w:themeColor="text1"/>
                <w14:textFill>
                  <w14:solidFill>
                    <w14:schemeClr w14:val="tx1"/>
                  </w14:solidFill>
                </w14:textFill>
              </w:rPr>
              <w:t>投保人地址：广东省广州市南沙区横沥镇明珠一街1号404房A209（仅限办公）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keepNext w:val="0"/>
              <w:keepLines w:val="0"/>
              <w:pageBreakBefore w:val="0"/>
              <w:kinsoku/>
              <w:wordWrap/>
              <w:overflowPunct/>
              <w:topLinePunct w:val="0"/>
              <w:autoSpaceDE/>
              <w:autoSpaceDN/>
              <w:bidi w:val="0"/>
              <w:adjustRightInd/>
              <w:snapToGrid/>
              <w:spacing w:line="400" w:lineRule="exact"/>
              <w:jc w:val="distribute"/>
              <w:textAlignment w:val="auto"/>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被保险人：</w:t>
            </w:r>
          </w:p>
        </w:tc>
        <w:tc>
          <w:tcPr>
            <w:tcW w:w="6472" w:type="dxa"/>
            <w:vAlign w:val="center"/>
          </w:tcPr>
          <w:p>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color w:val="000000" w:themeColor="text1"/>
                <w14:textFill>
                  <w14:solidFill>
                    <w14:schemeClr w14:val="tx1"/>
                  </w14:solidFill>
                </w14:textFill>
              </w:rPr>
            </w:pPr>
            <w:r>
              <w:rPr>
                <w:color w:val="000000" w:themeColor="text1"/>
                <w14:textFill>
                  <w14:solidFill>
                    <w14:schemeClr w14:val="tx1"/>
                  </w14:solidFill>
                </w14:textFill>
              </w:rPr>
              <w:t>南网融资租赁有限公司</w:t>
            </w:r>
          </w:p>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合阳天创新能源有限公司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keepNext w:val="0"/>
              <w:keepLines w:val="0"/>
              <w:pageBreakBefore w:val="0"/>
              <w:kinsoku/>
              <w:wordWrap/>
              <w:overflowPunct/>
              <w:topLinePunct w:val="0"/>
              <w:autoSpaceDE/>
              <w:autoSpaceDN/>
              <w:bidi w:val="0"/>
              <w:adjustRightInd/>
              <w:snapToGrid/>
              <w:spacing w:line="400" w:lineRule="exact"/>
              <w:jc w:val="distribute"/>
              <w:textAlignment w:val="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保险经纪人：</w:t>
            </w:r>
          </w:p>
        </w:tc>
        <w:tc>
          <w:tcPr>
            <w:tcW w:w="6472" w:type="dxa"/>
            <w:vAlign w:val="center"/>
          </w:tcPr>
          <w:p>
            <w:pPr>
              <w:keepNext w:val="0"/>
              <w:keepLines w:val="0"/>
              <w:pageBreakBefore w:val="0"/>
              <w:kinsoku/>
              <w:wordWrap/>
              <w:overflowPunct/>
              <w:topLinePunct w:val="0"/>
              <w:autoSpaceDE/>
              <w:autoSpaceDN/>
              <w:bidi w:val="0"/>
              <w:adjustRightInd/>
              <w:snapToGrid/>
              <w:spacing w:line="400" w:lineRule="exact"/>
              <w:jc w:val="left"/>
              <w:textAlignment w:val="auto"/>
              <w:rPr>
                <w:color w:val="000000" w:themeColor="text1"/>
                <w14:textFill>
                  <w14:solidFill>
                    <w14:schemeClr w14:val="tx1"/>
                  </w14:solidFill>
                </w14:textFill>
              </w:rPr>
            </w:pPr>
            <w:r>
              <w:rPr>
                <w:color w:val="000000" w:themeColor="text1"/>
                <w14:textFill>
                  <w14:solidFill>
                    <w14:schemeClr w14:val="tx1"/>
                  </w14:solidFill>
                </w14:textFill>
              </w:rPr>
              <w:t>瑞恒保险经纪有限责任公司</w:t>
            </w:r>
            <w:r>
              <w:rPr>
                <w:rFonts w:hint="eastAsia"/>
                <w:color w:val="000000" w:themeColor="text1"/>
                <w14:textFill>
                  <w14:solidFill>
                    <w14:schemeClr w14:val="tx1"/>
                  </w14:solidFill>
                </w14:textFill>
              </w:rPr>
              <w:t>广东</w:t>
            </w:r>
            <w:r>
              <w:rPr>
                <w:color w:val="000000" w:themeColor="text1"/>
                <w14:textFill>
                  <w14:solidFill>
                    <w14:schemeClr w14:val="tx1"/>
                  </w14:solidFill>
                </w14:textFill>
              </w:rPr>
              <w:t>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keepNext w:val="0"/>
              <w:keepLines w:val="0"/>
              <w:pageBreakBefore w:val="0"/>
              <w:kinsoku/>
              <w:wordWrap/>
              <w:overflowPunct/>
              <w:topLinePunct w:val="0"/>
              <w:autoSpaceDE/>
              <w:autoSpaceDN/>
              <w:bidi w:val="0"/>
              <w:adjustRightInd/>
              <w:snapToGrid/>
              <w:spacing w:line="400" w:lineRule="exact"/>
              <w:jc w:val="distribute"/>
              <w:textAlignment w:val="auto"/>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司法管辖：</w:t>
            </w:r>
          </w:p>
        </w:tc>
        <w:tc>
          <w:tcPr>
            <w:tcW w:w="6472" w:type="dxa"/>
            <w:vAlign w:val="center"/>
          </w:tcPr>
          <w:p>
            <w:pPr>
              <w:keepNext w:val="0"/>
              <w:keepLines w:val="0"/>
              <w:pageBreakBefore w:val="0"/>
              <w:kinsoku/>
              <w:wordWrap/>
              <w:overflowPunct/>
              <w:topLinePunct w:val="0"/>
              <w:autoSpaceDE/>
              <w:autoSpaceDN/>
              <w:bidi w:val="0"/>
              <w:adjustRightInd/>
              <w:snapToGrid/>
              <w:spacing w:line="400" w:lineRule="exact"/>
              <w:jc w:val="left"/>
              <w:textAlignment w:val="auto"/>
              <w:rPr>
                <w:color w:val="000000" w:themeColor="text1"/>
                <w14:textFill>
                  <w14:solidFill>
                    <w14:schemeClr w14:val="tx1"/>
                  </w14:solidFill>
                </w14:textFill>
              </w:rPr>
            </w:pPr>
            <w:r>
              <w:rPr>
                <w:color w:val="000000" w:themeColor="text1"/>
                <w14:textFill>
                  <w14:solidFill>
                    <w14:schemeClr w14:val="tx1"/>
                  </w14:solidFill>
                </w14:textFill>
              </w:rPr>
              <w:t>中华人民共和国司法管辖（港、澳、台除外）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keepNext w:val="0"/>
              <w:keepLines w:val="0"/>
              <w:pageBreakBefore w:val="0"/>
              <w:kinsoku/>
              <w:wordWrap/>
              <w:overflowPunct/>
              <w:topLinePunct w:val="0"/>
              <w:autoSpaceDE/>
              <w:autoSpaceDN/>
              <w:bidi w:val="0"/>
              <w:adjustRightInd/>
              <w:snapToGrid/>
              <w:spacing w:line="400" w:lineRule="exact"/>
              <w:jc w:val="distribute"/>
              <w:textAlignment w:val="auto"/>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投保项目：</w:t>
            </w:r>
          </w:p>
        </w:tc>
        <w:tc>
          <w:tcPr>
            <w:tcW w:w="6472"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Times New Roman" w:hAnsi="Times New Roman" w:eastAsia="仿宋_GB2312" w:cs="Times New Roman"/>
                <w:color w:val="000000" w:themeColor="text1"/>
                <w:kern w:val="2"/>
                <w:sz w:val="28"/>
                <w:szCs w:val="24"/>
                <w:lang w:val="en-US" w:eastAsia="zh-CN" w:bidi="ar-SA"/>
                <w14:textFill>
                  <w14:solidFill>
                    <w14:schemeClr w14:val="tx1"/>
                  </w14:solidFill>
                </w14:textFill>
              </w:rPr>
            </w:pPr>
            <w:r>
              <w:rPr>
                <w:rFonts w:hint="eastAsia"/>
                <w:color w:val="000000" w:themeColor="text1"/>
                <w14:textFill>
                  <w14:solidFill>
                    <w14:schemeClr w14:val="tx1"/>
                  </w14:solidFill>
                </w14:textFill>
              </w:rPr>
              <w:t>渭南合阳黑池坊50MW风电项目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050" w:type="dxa"/>
            <w:vAlign w:val="center"/>
          </w:tcPr>
          <w:p>
            <w:pPr>
              <w:keepNext w:val="0"/>
              <w:keepLines w:val="0"/>
              <w:pageBreakBefore w:val="0"/>
              <w:kinsoku/>
              <w:wordWrap/>
              <w:overflowPunct/>
              <w:topLinePunct w:val="0"/>
              <w:autoSpaceDE/>
              <w:autoSpaceDN/>
              <w:bidi w:val="0"/>
              <w:adjustRightInd/>
              <w:snapToGrid/>
              <w:spacing w:line="400" w:lineRule="exact"/>
              <w:jc w:val="distribute"/>
              <w:textAlignment w:val="auto"/>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项目地址：</w:t>
            </w:r>
          </w:p>
        </w:tc>
        <w:tc>
          <w:tcPr>
            <w:tcW w:w="6472"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Times New Roman" w:hAnsi="Times New Roman" w:eastAsia="仿宋_GB2312" w:cs="Times New Roman"/>
                <w:color w:val="000000" w:themeColor="text1"/>
                <w:kern w:val="2"/>
                <w:sz w:val="28"/>
                <w:szCs w:val="24"/>
                <w:lang w:val="en-US" w:eastAsia="zh-CN" w:bidi="ar-SA"/>
                <w14:textFill>
                  <w14:solidFill>
                    <w14:schemeClr w14:val="tx1"/>
                  </w14:solidFill>
                </w14:textFill>
              </w:rPr>
            </w:pPr>
            <w:r>
              <w:rPr>
                <w:rFonts w:hint="eastAsia"/>
                <w:color w:val="000000" w:themeColor="text1"/>
                <w:lang w:val="en-US" w:eastAsia="zh-CN"/>
                <w14:textFill>
                  <w14:solidFill>
                    <w14:schemeClr w14:val="tx1"/>
                  </w14:solidFill>
                </w14:textFill>
              </w:rPr>
              <w:t xml:space="preserve">陕西省渭南市合阳县黑池坊50MW风电场项目工程区域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keepNext w:val="0"/>
              <w:keepLines w:val="0"/>
              <w:pageBreakBefore w:val="0"/>
              <w:kinsoku/>
              <w:wordWrap/>
              <w:overflowPunct/>
              <w:topLinePunct w:val="0"/>
              <w:autoSpaceDE/>
              <w:autoSpaceDN/>
              <w:bidi w:val="0"/>
              <w:adjustRightInd/>
              <w:snapToGrid/>
              <w:spacing w:line="400" w:lineRule="exact"/>
              <w:jc w:val="distribute"/>
              <w:textAlignment w:val="auto"/>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保险标的：</w:t>
            </w:r>
          </w:p>
        </w:tc>
        <w:tc>
          <w:tcPr>
            <w:tcW w:w="6472" w:type="dxa"/>
            <w:vAlign w:val="center"/>
          </w:tcPr>
          <w:p>
            <w:pPr>
              <w:keepNext w:val="0"/>
              <w:keepLines w:val="0"/>
              <w:pageBreakBefore w:val="0"/>
              <w:kinsoku/>
              <w:wordWrap/>
              <w:overflowPunct/>
              <w:topLinePunct w:val="0"/>
              <w:autoSpaceDE/>
              <w:autoSpaceDN/>
              <w:bidi w:val="0"/>
              <w:adjustRightInd/>
              <w:snapToGrid/>
              <w:spacing w:line="400" w:lineRule="exact"/>
              <w:jc w:val="left"/>
              <w:textAlignment w:val="auto"/>
              <w:rPr>
                <w:color w:val="000000" w:themeColor="text1"/>
                <w:spacing w:val="1120"/>
                <w:kern w:val="0"/>
                <w14:textFill>
                  <w14:solidFill>
                    <w14:schemeClr w14:val="tx1"/>
                  </w14:solidFill>
                </w14:textFill>
              </w:rPr>
            </w:pPr>
            <w:r>
              <w:rPr>
                <w:rFonts w:hint="eastAsia"/>
                <w:color w:val="000000" w:themeColor="text1"/>
                <w14:textFill>
                  <w14:solidFill>
                    <w14:schemeClr w14:val="tx1"/>
                  </w14:solidFill>
                </w14:textFill>
              </w:rPr>
              <w:t>详见投保清单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keepNext w:val="0"/>
              <w:keepLines w:val="0"/>
              <w:pageBreakBefore w:val="0"/>
              <w:kinsoku/>
              <w:wordWrap/>
              <w:overflowPunct/>
              <w:topLinePunct w:val="0"/>
              <w:autoSpaceDE/>
              <w:autoSpaceDN/>
              <w:bidi w:val="0"/>
              <w:adjustRightInd/>
              <w:snapToGrid/>
              <w:spacing w:line="400" w:lineRule="exact"/>
              <w:jc w:val="distribute"/>
              <w:textAlignment w:val="auto"/>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保险金额：</w:t>
            </w:r>
          </w:p>
        </w:tc>
        <w:tc>
          <w:tcPr>
            <w:tcW w:w="6472" w:type="dxa"/>
            <w:vAlign w:val="center"/>
          </w:tcPr>
          <w:p>
            <w:pPr>
              <w:keepNext w:val="0"/>
              <w:keepLines w:val="0"/>
              <w:pageBreakBefore w:val="0"/>
              <w:kinsoku/>
              <w:wordWrap/>
              <w:overflowPunct/>
              <w:topLinePunct w:val="0"/>
              <w:autoSpaceDE/>
              <w:autoSpaceDN/>
              <w:bidi w:val="0"/>
              <w:adjustRightInd/>
              <w:snapToGrid/>
              <w:spacing w:line="400" w:lineRule="exact"/>
              <w:jc w:val="left"/>
              <w:textAlignment w:val="auto"/>
              <w:rPr>
                <w:color w:val="000000" w:themeColor="text1"/>
                <w14:textFill>
                  <w14:solidFill>
                    <w14:schemeClr w14:val="tx1"/>
                  </w14:solidFill>
                </w14:textFill>
              </w:rPr>
            </w:pPr>
            <w:r>
              <w:rPr>
                <w:rFonts w:hint="eastAsia"/>
                <w:color w:val="000000" w:themeColor="text1"/>
                <w14:textFill>
                  <w14:solidFill>
                    <w14:schemeClr w14:val="tx1"/>
                  </w14:solidFill>
                </w14:textFill>
              </w:rPr>
              <w:t>人民币：</w:t>
            </w:r>
            <w:r>
              <w:rPr>
                <w:rFonts w:hint="eastAsia"/>
                <w:color w:val="000000" w:themeColor="text1"/>
                <w:lang w:val="en-US" w:eastAsia="zh-CN"/>
                <w14:textFill>
                  <w14:solidFill>
                    <w14:schemeClr w14:val="tx1"/>
                  </w14:solidFill>
                </w14:textFill>
              </w:rPr>
              <w:t>264,605,415.36</w:t>
            </w:r>
            <w:r>
              <w:rPr>
                <w:rFonts w:hint="eastAsia"/>
                <w:color w:val="000000" w:themeColor="text1"/>
                <w14:textFill>
                  <w14:solidFill>
                    <w14:schemeClr w14:val="tx1"/>
                  </w14:solidFill>
                </w14:textFill>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keepNext w:val="0"/>
              <w:keepLines w:val="0"/>
              <w:pageBreakBefore w:val="0"/>
              <w:kinsoku/>
              <w:wordWrap/>
              <w:overflowPunct/>
              <w:topLinePunct w:val="0"/>
              <w:autoSpaceDE/>
              <w:autoSpaceDN/>
              <w:bidi w:val="0"/>
              <w:adjustRightInd/>
              <w:snapToGrid/>
              <w:spacing w:line="400" w:lineRule="exact"/>
              <w:jc w:val="distribute"/>
              <w:textAlignment w:val="auto"/>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保险年费率：</w:t>
            </w:r>
          </w:p>
        </w:tc>
        <w:tc>
          <w:tcPr>
            <w:tcW w:w="6472" w:type="dxa"/>
            <w:vAlign w:val="center"/>
          </w:tcPr>
          <w:p>
            <w:pPr>
              <w:keepNext w:val="0"/>
              <w:keepLines w:val="0"/>
              <w:pageBreakBefore w:val="0"/>
              <w:kinsoku/>
              <w:wordWrap/>
              <w:overflowPunct/>
              <w:topLinePunct w:val="0"/>
              <w:autoSpaceDE/>
              <w:autoSpaceDN/>
              <w:bidi w:val="0"/>
              <w:adjustRightInd/>
              <w:snapToGrid/>
              <w:spacing w:line="400" w:lineRule="exact"/>
              <w:jc w:val="left"/>
              <w:textAlignment w:val="auto"/>
              <w:rPr>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keepNext w:val="0"/>
              <w:keepLines w:val="0"/>
              <w:pageBreakBefore w:val="0"/>
              <w:kinsoku/>
              <w:wordWrap/>
              <w:overflowPunct/>
              <w:topLinePunct w:val="0"/>
              <w:autoSpaceDE/>
              <w:autoSpaceDN/>
              <w:bidi w:val="0"/>
              <w:adjustRightInd/>
              <w:snapToGrid/>
              <w:spacing w:line="400" w:lineRule="exact"/>
              <w:jc w:val="distribute"/>
              <w:textAlignment w:val="auto"/>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保险费用：</w:t>
            </w:r>
          </w:p>
        </w:tc>
        <w:tc>
          <w:tcPr>
            <w:tcW w:w="6472" w:type="dxa"/>
            <w:vAlign w:val="center"/>
          </w:tcPr>
          <w:p>
            <w:pPr>
              <w:keepNext w:val="0"/>
              <w:keepLines w:val="0"/>
              <w:pageBreakBefore w:val="0"/>
              <w:kinsoku/>
              <w:wordWrap/>
              <w:overflowPunct/>
              <w:topLinePunct w:val="0"/>
              <w:autoSpaceDE/>
              <w:autoSpaceDN/>
              <w:bidi w:val="0"/>
              <w:adjustRightInd/>
              <w:snapToGrid/>
              <w:spacing w:line="400" w:lineRule="exact"/>
              <w:jc w:val="left"/>
              <w:textAlignment w:val="auto"/>
              <w:rPr>
                <w:color w:val="000000" w:themeColor="text1"/>
                <w:spacing w:val="1120"/>
                <w:kern w:val="0"/>
                <w14:textFill>
                  <w14:solidFill>
                    <w14:schemeClr w14:val="tx1"/>
                  </w14:solidFill>
                </w14:textFill>
              </w:rPr>
            </w:pPr>
            <w:r>
              <w:rPr>
                <w:rFonts w:hint="eastAsia"/>
                <w:color w:val="000000" w:themeColor="text1"/>
                <w14:textFill>
                  <w14:solidFill>
                    <w14:schemeClr w14:val="tx1"/>
                  </w14:solidFill>
                </w14:textFill>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keepNext w:val="0"/>
              <w:keepLines w:val="0"/>
              <w:pageBreakBefore w:val="0"/>
              <w:kinsoku/>
              <w:wordWrap/>
              <w:overflowPunct/>
              <w:topLinePunct w:val="0"/>
              <w:autoSpaceDE/>
              <w:autoSpaceDN/>
              <w:bidi w:val="0"/>
              <w:adjustRightInd/>
              <w:snapToGrid/>
              <w:spacing w:line="400" w:lineRule="exact"/>
              <w:jc w:val="distribute"/>
              <w:textAlignment w:val="auto"/>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保险期限：</w:t>
            </w:r>
          </w:p>
        </w:tc>
        <w:tc>
          <w:tcPr>
            <w:tcW w:w="6472" w:type="dxa"/>
            <w:vAlign w:val="center"/>
          </w:tcPr>
          <w:p>
            <w:pPr>
              <w:keepNext w:val="0"/>
              <w:keepLines w:val="0"/>
              <w:pageBreakBefore w:val="0"/>
              <w:kinsoku/>
              <w:wordWrap/>
              <w:overflowPunct/>
              <w:topLinePunct w:val="0"/>
              <w:autoSpaceDE/>
              <w:autoSpaceDN/>
              <w:bidi w:val="0"/>
              <w:adjustRightInd/>
              <w:snapToGrid/>
              <w:spacing w:line="400" w:lineRule="exact"/>
              <w:jc w:val="left"/>
              <w:textAlignment w:val="auto"/>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2个月，</w:t>
            </w:r>
            <w:r>
              <w:rPr>
                <w:color w:val="000000" w:themeColor="text1"/>
                <w14:textFill>
                  <w14:solidFill>
                    <w14:schemeClr w14:val="tx1"/>
                  </w14:solidFill>
                </w14:textFill>
              </w:rPr>
              <w:t>具体日期以出单通知/投保单为准。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keepNext w:val="0"/>
              <w:keepLines w:val="0"/>
              <w:pageBreakBefore w:val="0"/>
              <w:kinsoku/>
              <w:wordWrap/>
              <w:overflowPunct/>
              <w:topLinePunct w:val="0"/>
              <w:autoSpaceDE/>
              <w:autoSpaceDN/>
              <w:bidi w:val="0"/>
              <w:adjustRightInd/>
              <w:snapToGrid/>
              <w:spacing w:line="400" w:lineRule="exact"/>
              <w:jc w:val="distribute"/>
              <w:textAlignment w:val="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保险责任：</w:t>
            </w:r>
          </w:p>
        </w:tc>
        <w:tc>
          <w:tcPr>
            <w:tcW w:w="6472" w:type="dxa"/>
            <w:vAlign w:val="center"/>
          </w:tcPr>
          <w:p>
            <w:pPr>
              <w:keepNext w:val="0"/>
              <w:keepLines w:val="0"/>
              <w:pageBreakBefore w:val="0"/>
              <w:kinsoku/>
              <w:wordWrap/>
              <w:overflowPunct/>
              <w:topLinePunct w:val="0"/>
              <w:autoSpaceDE/>
              <w:autoSpaceDN/>
              <w:bidi w:val="0"/>
              <w:adjustRightInd/>
              <w:snapToGrid/>
              <w:spacing w:line="400" w:lineRule="exact"/>
              <w:textAlignment w:val="auto"/>
              <w:rPr>
                <w:rFonts w:ascii="仿宋_GB2312" w:hAnsi="仿宋_GB2312" w:cs="仿宋_GB2312"/>
                <w:color w:val="000000" w:themeColor="text1"/>
                <w:szCs w:val="28"/>
                <w14:textFill>
                  <w14:solidFill>
                    <w14:schemeClr w14:val="tx1"/>
                  </w14:solidFill>
                </w14:textFill>
              </w:rPr>
            </w:pPr>
            <w:r>
              <w:rPr>
                <w:rFonts w:hint="eastAsia" w:ascii="仿宋_GB2312" w:hAnsi="仿宋_GB2312" w:cs="仿宋_GB2312"/>
                <w:color w:val="000000" w:themeColor="text1"/>
                <w:szCs w:val="28"/>
                <w14:textFill>
                  <w14:solidFill>
                    <w14:schemeClr w14:val="tx1"/>
                  </w14:solidFill>
                </w14:textFill>
              </w:rPr>
              <w:t>保险人按照保险单的规定，负责赔偿被保险人在保险期限内，因下列原因引起或构成突然的、不可预料的意外事故造成被保财产的物质损坏或灭失：</w:t>
            </w:r>
          </w:p>
          <w:p>
            <w:pPr>
              <w:keepNext w:val="0"/>
              <w:keepLines w:val="0"/>
              <w:pageBreakBefore w:val="0"/>
              <w:numPr>
                <w:ilvl w:val="0"/>
                <w:numId w:val="8"/>
              </w:numPr>
              <w:tabs>
                <w:tab w:val="left" w:pos="840"/>
              </w:tabs>
              <w:kinsoku/>
              <w:wordWrap/>
              <w:overflowPunct/>
              <w:topLinePunct w:val="0"/>
              <w:autoSpaceDE/>
              <w:autoSpaceDN/>
              <w:bidi w:val="0"/>
              <w:adjustRightInd/>
              <w:snapToGrid/>
              <w:spacing w:line="400" w:lineRule="exact"/>
              <w:ind w:left="0" w:firstLine="560" w:firstLineChars="200"/>
              <w:textAlignment w:val="auto"/>
              <w:rPr>
                <w:rFonts w:ascii="仿宋_GB2312" w:hAnsi="仿宋_GB2312" w:cs="仿宋_GB2312"/>
                <w:color w:val="000000" w:themeColor="text1"/>
                <w:szCs w:val="28"/>
                <w14:textFill>
                  <w14:solidFill>
                    <w14:schemeClr w14:val="tx1"/>
                  </w14:solidFill>
                </w14:textFill>
              </w:rPr>
            </w:pPr>
            <w:r>
              <w:rPr>
                <w:rFonts w:hint="eastAsia" w:ascii="仿宋_GB2312" w:hAnsi="仿宋_GB2312" w:cs="仿宋_GB2312"/>
                <w:color w:val="000000" w:themeColor="text1"/>
                <w:szCs w:val="28"/>
                <w14:textFill>
                  <w14:solidFill>
                    <w14:schemeClr w14:val="tx1"/>
                  </w14:solidFill>
                </w14:textFill>
              </w:rPr>
              <w:t>设计、制造或安装错误、铸造和原材料缺陷；</w:t>
            </w:r>
          </w:p>
          <w:p>
            <w:pPr>
              <w:keepNext w:val="0"/>
              <w:keepLines w:val="0"/>
              <w:pageBreakBefore w:val="0"/>
              <w:numPr>
                <w:ilvl w:val="0"/>
                <w:numId w:val="8"/>
              </w:numPr>
              <w:tabs>
                <w:tab w:val="left" w:pos="840"/>
              </w:tabs>
              <w:kinsoku/>
              <w:wordWrap/>
              <w:overflowPunct/>
              <w:topLinePunct w:val="0"/>
              <w:autoSpaceDE/>
              <w:autoSpaceDN/>
              <w:bidi w:val="0"/>
              <w:adjustRightInd/>
              <w:snapToGrid/>
              <w:spacing w:line="400" w:lineRule="exact"/>
              <w:ind w:left="0" w:firstLine="560" w:firstLineChars="200"/>
              <w:textAlignment w:val="auto"/>
              <w:rPr>
                <w:rFonts w:ascii="仿宋_GB2312" w:hAnsi="仿宋_GB2312" w:cs="仿宋_GB2312"/>
                <w:color w:val="000000" w:themeColor="text1"/>
                <w:szCs w:val="28"/>
                <w14:textFill>
                  <w14:solidFill>
                    <w14:schemeClr w14:val="tx1"/>
                  </w14:solidFill>
                </w14:textFill>
              </w:rPr>
            </w:pPr>
            <w:r>
              <w:rPr>
                <w:rFonts w:hint="eastAsia" w:ascii="仿宋_GB2312" w:hAnsi="仿宋_GB2312" w:cs="仿宋_GB2312"/>
                <w:color w:val="000000" w:themeColor="text1"/>
                <w:szCs w:val="28"/>
                <w14:textFill>
                  <w14:solidFill>
                    <w14:schemeClr w14:val="tx1"/>
                  </w14:solidFill>
                </w14:textFill>
              </w:rPr>
              <w:t>工人、技术人员操作错误、缺乏经验、技术不善、疏忽、过失、恶意行为；</w:t>
            </w:r>
          </w:p>
          <w:p>
            <w:pPr>
              <w:keepNext w:val="0"/>
              <w:keepLines w:val="0"/>
              <w:pageBreakBefore w:val="0"/>
              <w:numPr>
                <w:ilvl w:val="0"/>
                <w:numId w:val="8"/>
              </w:numPr>
              <w:tabs>
                <w:tab w:val="left" w:pos="840"/>
              </w:tabs>
              <w:kinsoku/>
              <w:wordWrap/>
              <w:overflowPunct/>
              <w:topLinePunct w:val="0"/>
              <w:autoSpaceDE/>
              <w:autoSpaceDN/>
              <w:bidi w:val="0"/>
              <w:adjustRightInd/>
              <w:snapToGrid/>
              <w:spacing w:line="400" w:lineRule="exact"/>
              <w:ind w:left="0" w:firstLine="560" w:firstLineChars="200"/>
              <w:textAlignment w:val="auto"/>
              <w:rPr>
                <w:rFonts w:ascii="仿宋_GB2312" w:hAnsi="仿宋_GB2312" w:cs="仿宋_GB2312"/>
                <w:color w:val="000000" w:themeColor="text1"/>
                <w:szCs w:val="28"/>
                <w14:textFill>
                  <w14:solidFill>
                    <w14:schemeClr w14:val="tx1"/>
                  </w14:solidFill>
                </w14:textFill>
              </w:rPr>
            </w:pPr>
            <w:r>
              <w:rPr>
                <w:rFonts w:hint="eastAsia" w:ascii="仿宋_GB2312" w:hAnsi="仿宋_GB2312" w:cs="仿宋_GB2312"/>
                <w:color w:val="000000" w:themeColor="text1"/>
                <w:szCs w:val="28"/>
                <w14:textFill>
                  <w14:solidFill>
                    <w14:schemeClr w14:val="tx1"/>
                  </w14:solidFill>
                </w14:textFill>
              </w:rPr>
              <w:t>离心力引起的断裂；</w:t>
            </w:r>
          </w:p>
          <w:p>
            <w:pPr>
              <w:keepNext w:val="0"/>
              <w:keepLines w:val="0"/>
              <w:pageBreakBefore w:val="0"/>
              <w:numPr>
                <w:ilvl w:val="0"/>
                <w:numId w:val="8"/>
              </w:numPr>
              <w:tabs>
                <w:tab w:val="left" w:pos="840"/>
              </w:tabs>
              <w:kinsoku/>
              <w:wordWrap/>
              <w:overflowPunct/>
              <w:topLinePunct w:val="0"/>
              <w:autoSpaceDE/>
              <w:autoSpaceDN/>
              <w:bidi w:val="0"/>
              <w:adjustRightInd/>
              <w:snapToGrid/>
              <w:spacing w:line="400" w:lineRule="exact"/>
              <w:ind w:left="0" w:firstLine="560" w:firstLineChars="200"/>
              <w:textAlignment w:val="auto"/>
              <w:rPr>
                <w:rFonts w:ascii="仿宋_GB2312" w:hAnsi="仿宋_GB2312" w:cs="仿宋_GB2312"/>
                <w:color w:val="000000" w:themeColor="text1"/>
                <w:szCs w:val="28"/>
                <w14:textFill>
                  <w14:solidFill>
                    <w14:schemeClr w14:val="tx1"/>
                  </w14:solidFill>
                </w14:textFill>
              </w:rPr>
            </w:pPr>
            <w:r>
              <w:rPr>
                <w:rFonts w:hint="eastAsia" w:ascii="仿宋_GB2312" w:hAnsi="仿宋_GB2312" w:cs="仿宋_GB2312"/>
                <w:color w:val="000000" w:themeColor="text1"/>
                <w:szCs w:val="28"/>
                <w14:textFill>
                  <w14:solidFill>
                    <w14:schemeClr w14:val="tx1"/>
                  </w14:solidFill>
                </w14:textFill>
              </w:rPr>
              <w:t>超负荷、超电压、碰线、电弧、漏电、短路、大气放电、感应电及其它电气原因；</w:t>
            </w:r>
          </w:p>
          <w:p>
            <w:pPr>
              <w:keepNext w:val="0"/>
              <w:keepLines w:val="0"/>
              <w:pageBreakBefore w:val="0"/>
              <w:numPr>
                <w:ilvl w:val="0"/>
                <w:numId w:val="8"/>
              </w:numPr>
              <w:tabs>
                <w:tab w:val="left" w:pos="840"/>
              </w:tabs>
              <w:kinsoku/>
              <w:wordWrap/>
              <w:overflowPunct/>
              <w:topLinePunct w:val="0"/>
              <w:autoSpaceDE/>
              <w:autoSpaceDN/>
              <w:bidi w:val="0"/>
              <w:adjustRightInd/>
              <w:snapToGrid/>
              <w:spacing w:line="400" w:lineRule="exact"/>
              <w:ind w:left="0" w:firstLine="560" w:firstLineChars="200"/>
              <w:textAlignment w:val="auto"/>
              <w:rPr>
                <w:color w:val="000000" w:themeColor="text1"/>
                <w14:textFill>
                  <w14:solidFill>
                    <w14:schemeClr w14:val="tx1"/>
                  </w14:solidFill>
                </w14:textFill>
              </w:rPr>
            </w:pPr>
            <w:r>
              <w:rPr>
                <w:rFonts w:hint="eastAsia" w:ascii="仿宋_GB2312" w:hAnsi="仿宋_GB2312" w:cs="仿宋_GB2312"/>
                <w:color w:val="000000" w:themeColor="text1"/>
                <w:szCs w:val="28"/>
                <w14:textFill>
                  <w14:solidFill>
                    <w14:schemeClr w14:val="tx1"/>
                  </w14:solidFill>
                </w14:textFill>
              </w:rPr>
              <w:t>除保单之“除外责任”项下规定以外的其它原因。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keepNext w:val="0"/>
              <w:keepLines w:val="0"/>
              <w:pageBreakBefore w:val="0"/>
              <w:kinsoku/>
              <w:wordWrap/>
              <w:overflowPunct/>
              <w:topLinePunct w:val="0"/>
              <w:autoSpaceDE/>
              <w:autoSpaceDN/>
              <w:bidi w:val="0"/>
              <w:adjustRightInd/>
              <w:snapToGrid/>
              <w:spacing w:line="400" w:lineRule="exact"/>
              <w:jc w:val="distribute"/>
              <w:textAlignment w:val="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免赔额：</w:t>
            </w:r>
          </w:p>
        </w:tc>
        <w:tc>
          <w:tcPr>
            <w:tcW w:w="6472" w:type="dxa"/>
            <w:vAlign w:val="center"/>
          </w:tcPr>
          <w:p>
            <w:pPr>
              <w:keepNext w:val="0"/>
              <w:keepLines w:val="0"/>
              <w:pageBreakBefore w:val="0"/>
              <w:kinsoku/>
              <w:wordWrap/>
              <w:overflowPunct/>
              <w:topLinePunct w:val="0"/>
              <w:autoSpaceDE/>
              <w:autoSpaceDN/>
              <w:bidi w:val="0"/>
              <w:adjustRightInd/>
              <w:snapToGrid/>
              <w:spacing w:line="400" w:lineRule="exact"/>
              <w:jc w:val="left"/>
              <w:textAlignment w:val="auto"/>
              <w:rPr>
                <w:color w:val="000000" w:themeColor="text1"/>
                <w14:textFill>
                  <w14:solidFill>
                    <w14:schemeClr w14:val="tx1"/>
                  </w14:solidFill>
                </w14:textFill>
              </w:rPr>
            </w:pPr>
            <w:r>
              <w:rPr>
                <w:rFonts w:hint="eastAsia"/>
                <w:color w:val="000000" w:themeColor="text1"/>
                <w:lang w:eastAsia="zh-Hans"/>
                <w14:textFill>
                  <w14:solidFill>
                    <w14:schemeClr w14:val="tx1"/>
                  </w14:solidFill>
                </w14:textFill>
              </w:rPr>
              <w:t>本保单每次事故绝对免赔额为</w:t>
            </w:r>
            <w:r>
              <w:rPr>
                <w:rFonts w:hint="eastAsia"/>
                <w:color w:val="000000" w:themeColor="text1"/>
                <w:lang w:val="en-US" w:eastAsia="zh-CN"/>
                <w14:textFill>
                  <w14:solidFill>
                    <w14:schemeClr w14:val="tx1"/>
                  </w14:solidFill>
                </w14:textFill>
              </w:rPr>
              <w:t>人民币</w:t>
            </w:r>
            <w:r>
              <w:rPr>
                <w:color w:val="000000" w:themeColor="text1"/>
                <w14:textFill>
                  <w14:solidFill>
                    <w14:schemeClr w14:val="tx1"/>
                  </w14:solidFill>
                </w14:textFill>
              </w:rPr>
              <w:t>5</w:t>
            </w:r>
            <w:r>
              <w:rPr>
                <w:rFonts w:hint="eastAsia"/>
                <w:color w:val="000000" w:themeColor="text1"/>
                <w14:textFill>
                  <w14:solidFill>
                    <w14:schemeClr w14:val="tx1"/>
                  </w14:solidFill>
                </w14:textFill>
              </w:rPr>
              <w:t>万元</w:t>
            </w:r>
            <w:r>
              <w:rPr>
                <w:rFonts w:hint="eastAsia"/>
                <w:color w:val="000000" w:themeColor="text1"/>
                <w:lang w:eastAsia="zh-Hans"/>
                <w14:textFill>
                  <w14:solidFill>
                    <w14:schemeClr w14:val="tx1"/>
                  </w14:solidFill>
                </w14:textFill>
              </w:rPr>
              <w:t>或损失金额的1</w:t>
            </w:r>
            <w:r>
              <w:rPr>
                <w:color w:val="000000" w:themeColor="text1"/>
                <w14:textFill>
                  <w14:solidFill>
                    <w14:schemeClr w14:val="tx1"/>
                  </w14:solidFill>
                </w14:textFill>
              </w:rPr>
              <w:t>0</w:t>
            </w:r>
            <w:r>
              <w:rPr>
                <w:rFonts w:hint="eastAsia"/>
                <w:color w:val="000000" w:themeColor="text1"/>
                <w:lang w:eastAsia="zh-Hans"/>
                <w14:textFill>
                  <w14:solidFill>
                    <w14:schemeClr w14:val="tx1"/>
                  </w14:solidFill>
                </w14:textFill>
              </w:rPr>
              <w:t>%，两者以高者为准。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keepNext w:val="0"/>
              <w:keepLines w:val="0"/>
              <w:pageBreakBefore w:val="0"/>
              <w:kinsoku/>
              <w:wordWrap/>
              <w:overflowPunct/>
              <w:topLinePunct w:val="0"/>
              <w:autoSpaceDE/>
              <w:autoSpaceDN/>
              <w:bidi w:val="0"/>
              <w:adjustRightInd/>
              <w:snapToGrid/>
              <w:spacing w:line="400" w:lineRule="exact"/>
              <w:jc w:val="distribute"/>
              <w:textAlignment w:val="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特别约定：</w:t>
            </w:r>
          </w:p>
        </w:tc>
        <w:tc>
          <w:tcPr>
            <w:tcW w:w="6472" w:type="dxa"/>
            <w:vAlign w:val="center"/>
          </w:tcPr>
          <w:p>
            <w:pPr>
              <w:keepNext w:val="0"/>
              <w:keepLines w:val="0"/>
              <w:pageBreakBefore w:val="0"/>
              <w:numPr>
                <w:ilvl w:val="0"/>
                <w:numId w:val="9"/>
              </w:numPr>
              <w:kinsoku/>
              <w:wordWrap/>
              <w:overflowPunct/>
              <w:topLinePunct w:val="0"/>
              <w:autoSpaceDE/>
              <w:autoSpaceDN/>
              <w:bidi w:val="0"/>
              <w:adjustRightInd/>
              <w:snapToGrid/>
              <w:spacing w:line="400" w:lineRule="exact"/>
              <w:jc w:val="left"/>
              <w:textAlignment w:val="auto"/>
              <w:rPr>
                <w:rFonts w:hint="default"/>
                <w:lang w:val="en-US" w:eastAsia="zh-Hans"/>
              </w:rPr>
            </w:pPr>
            <w:r>
              <w:rPr>
                <w:rFonts w:hint="default"/>
                <w:lang w:val="en-US" w:eastAsia="zh-Hans"/>
              </w:rPr>
              <w:t>兹经保险双方同意，发生保险事故时，被保险人应及时通知保险人，同时可以按照有关规范要求，立即组织开展必要的抢险工作，如果因此无法保留现场，不影响被保险人的索赔效力，但被保险人应做好相关记录。若条件许可，被保险人应做好对第一现场情况的拍照或录像工作。且保险人应以被保险人提供现场照片（数码、胶卷等均可）或其他材料、损失清单及其他证明材料作为赔付理算依据，不得以未参与现场查勘为由拒赔或减少赔付。</w:t>
            </w:r>
          </w:p>
          <w:p>
            <w:pPr>
              <w:keepNext w:val="0"/>
              <w:keepLines w:val="0"/>
              <w:pageBreakBefore w:val="0"/>
              <w:numPr>
                <w:ilvl w:val="0"/>
                <w:numId w:val="9"/>
              </w:numPr>
              <w:kinsoku/>
              <w:wordWrap/>
              <w:overflowPunct/>
              <w:topLinePunct w:val="0"/>
              <w:autoSpaceDE/>
              <w:autoSpaceDN/>
              <w:bidi w:val="0"/>
              <w:adjustRightInd/>
              <w:snapToGrid/>
              <w:spacing w:line="400" w:lineRule="exact"/>
              <w:jc w:val="left"/>
              <w:textAlignment w:val="auto"/>
              <w:rPr>
                <w:lang w:eastAsia="zh-Hans"/>
              </w:rPr>
            </w:pPr>
            <w:r>
              <w:rPr>
                <w:rFonts w:hint="default"/>
                <w:lang w:val="en-US" w:eastAsia="zh-Hans"/>
              </w:rPr>
              <w:t>兹经保险双方同意，对于因自然灾害而导致的保险事故，自然灾害的定量数据以当地气象台测量的事故发生时数据为准。</w:t>
            </w:r>
          </w:p>
          <w:p>
            <w:pPr>
              <w:keepNext w:val="0"/>
              <w:keepLines w:val="0"/>
              <w:pageBreakBefore w:val="0"/>
              <w:numPr>
                <w:ilvl w:val="0"/>
                <w:numId w:val="9"/>
              </w:numPr>
              <w:kinsoku/>
              <w:wordWrap/>
              <w:overflowPunct/>
              <w:topLinePunct w:val="0"/>
              <w:autoSpaceDE/>
              <w:autoSpaceDN/>
              <w:bidi w:val="0"/>
              <w:adjustRightInd/>
              <w:snapToGrid/>
              <w:spacing w:line="400" w:lineRule="exact"/>
              <w:jc w:val="left"/>
              <w:textAlignment w:val="auto"/>
              <w:rPr>
                <w:lang w:eastAsia="zh-Hans"/>
              </w:rPr>
            </w:pPr>
            <w:r>
              <w:rPr>
                <w:rFonts w:hint="eastAsia"/>
              </w:rPr>
              <w:t>本保单第一受益人为南网融资租赁有限公司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keepNext w:val="0"/>
              <w:keepLines w:val="0"/>
              <w:pageBreakBefore w:val="0"/>
              <w:kinsoku/>
              <w:wordWrap/>
              <w:overflowPunct/>
              <w:topLinePunct w:val="0"/>
              <w:autoSpaceDE/>
              <w:autoSpaceDN/>
              <w:bidi w:val="0"/>
              <w:adjustRightInd/>
              <w:snapToGrid/>
              <w:spacing w:line="400" w:lineRule="exact"/>
              <w:jc w:val="distribute"/>
              <w:textAlignment w:val="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扩展条款：</w:t>
            </w:r>
          </w:p>
        </w:tc>
        <w:tc>
          <w:tcPr>
            <w:tcW w:w="6472"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textAlignment w:val="auto"/>
            </w:pPr>
            <w:r>
              <w:rPr>
                <w:rFonts w:hint="eastAsia"/>
                <w:lang w:val="en-US" w:eastAsia="zh-CN"/>
              </w:rPr>
              <w:t>1、</w:t>
            </w:r>
            <w:r>
              <w:rPr>
                <w:rFonts w:hint="eastAsia"/>
              </w:rPr>
              <w:t>附加自动恢复保险金额</w:t>
            </w:r>
            <w:r>
              <w:rPr>
                <w:rFonts w:hint="eastAsia"/>
              </w:rPr>
              <w:br w:type="textWrapping"/>
            </w:r>
            <w:r>
              <w:rPr>
                <w:rFonts w:hint="eastAsia"/>
                <w:lang w:val="en-US" w:eastAsia="zh-CN"/>
              </w:rPr>
              <w:t>2、</w:t>
            </w:r>
            <w:r>
              <w:rPr>
                <w:rFonts w:hint="eastAsia"/>
              </w:rPr>
              <w:t>附加专业费用保险（每次事故赔偿限额100万元，累计赔偿限额500万元）</w:t>
            </w:r>
            <w:r>
              <w:rPr>
                <w:rFonts w:hint="eastAsia"/>
              </w:rPr>
              <w:br w:type="textWrapping"/>
            </w:r>
            <w:r>
              <w:rPr>
                <w:rFonts w:hint="eastAsia"/>
                <w:lang w:val="en-US" w:eastAsia="zh-CN"/>
              </w:rPr>
              <w:t>3、</w:t>
            </w:r>
            <w:r>
              <w:rPr>
                <w:rFonts w:hint="eastAsia"/>
              </w:rPr>
              <w:t>附加特别费用（每次事故赔偿限额100万元，累计赔偿限额500万元）</w:t>
            </w:r>
            <w:r>
              <w:rPr>
                <w:rFonts w:hint="eastAsia"/>
              </w:rPr>
              <w:br w:type="textWrapping"/>
            </w:r>
            <w:r>
              <w:rPr>
                <w:rFonts w:hint="eastAsia"/>
                <w:lang w:val="en-US" w:eastAsia="zh-CN"/>
              </w:rPr>
              <w:t>4、</w:t>
            </w:r>
            <w:r>
              <w:rPr>
                <w:rFonts w:hint="eastAsia"/>
              </w:rPr>
              <w:t>附加预付赔款保险</w:t>
            </w:r>
            <w:r>
              <w:rPr>
                <w:rFonts w:hint="eastAsia"/>
              </w:rPr>
              <w:br w:type="textWrapping"/>
            </w:r>
            <w:r>
              <w:rPr>
                <w:rFonts w:hint="eastAsia"/>
                <w:lang w:val="en-US" w:eastAsia="zh-CN"/>
              </w:rPr>
              <w:t>5、</w:t>
            </w:r>
            <w:r>
              <w:rPr>
                <w:rFonts w:hint="eastAsia"/>
              </w:rPr>
              <w:t>附加成对或成套财产条款</w:t>
            </w:r>
            <w:r>
              <w:rPr>
                <w:rFonts w:hint="eastAsia"/>
              </w:rPr>
              <w:br w:type="textWrapping"/>
            </w:r>
            <w:r>
              <w:rPr>
                <w:rFonts w:hint="eastAsia"/>
                <w:lang w:val="en-US" w:eastAsia="zh-CN"/>
              </w:rPr>
              <w:t>6、</w:t>
            </w:r>
            <w:r>
              <w:rPr>
                <w:rFonts w:hint="eastAsia"/>
              </w:rPr>
              <w:t>附加紧急抢险保险</w:t>
            </w:r>
            <w:r>
              <w:rPr>
                <w:rFonts w:hint="eastAsia"/>
              </w:rPr>
              <w:br w:type="textWrapping"/>
            </w:r>
            <w:r>
              <w:rPr>
                <w:rFonts w:hint="eastAsia"/>
                <w:lang w:val="en-US" w:eastAsia="zh-CN"/>
              </w:rPr>
              <w:t>7、</w:t>
            </w:r>
            <w:r>
              <w:rPr>
                <w:rFonts w:hint="eastAsia"/>
              </w:rPr>
              <w:t>附加清理残骸费用保险（每次事故赔偿限额100万元，累计赔偿限额500万元）</w:t>
            </w:r>
            <w:r>
              <w:rPr>
                <w:rFonts w:hint="eastAsia"/>
              </w:rPr>
              <w:br w:type="textWrapping"/>
            </w:r>
            <w:r>
              <w:rPr>
                <w:rFonts w:hint="eastAsia"/>
                <w:lang w:val="en-US" w:eastAsia="zh-CN"/>
              </w:rPr>
              <w:t>8、</w:t>
            </w:r>
            <w:r>
              <w:rPr>
                <w:rFonts w:hint="eastAsia"/>
              </w:rPr>
              <w:t>附加索赔费用保险（每次事故赔偿限额100万元，累计赔偿限额500万元）</w:t>
            </w:r>
            <w:r>
              <w:rPr>
                <w:rFonts w:hint="eastAsia"/>
              </w:rPr>
              <w:br w:type="textWrapping"/>
            </w:r>
            <w:r>
              <w:rPr>
                <w:rFonts w:hint="eastAsia"/>
                <w:lang w:val="en-US" w:eastAsia="zh-CN"/>
              </w:rPr>
              <w:t>9、</w:t>
            </w:r>
            <w:r>
              <w:rPr>
                <w:rFonts w:hint="eastAsia"/>
              </w:rPr>
              <w:t>临时保护措施保险</w:t>
            </w:r>
            <w:r>
              <w:rPr>
                <w:rFonts w:hint="eastAsia"/>
              </w:rPr>
              <w:br w:type="textWrapping"/>
            </w:r>
            <w:r>
              <w:rPr>
                <w:rFonts w:hint="eastAsia"/>
                <w:lang w:val="en-US" w:eastAsia="zh-CN"/>
              </w:rPr>
              <w:t>10、</w:t>
            </w:r>
            <w:r>
              <w:rPr>
                <w:rFonts w:hint="eastAsia"/>
              </w:rPr>
              <w:t>附加错误和遗漏保险</w:t>
            </w:r>
            <w:r>
              <w:rPr>
                <w:rFonts w:hint="eastAsia"/>
              </w:rPr>
              <w:br w:type="textWrapping"/>
            </w:r>
            <w:r>
              <w:rPr>
                <w:rFonts w:hint="eastAsia"/>
                <w:lang w:val="en-US" w:eastAsia="zh-CN"/>
              </w:rPr>
              <w:t>11、</w:t>
            </w:r>
            <w:r>
              <w:rPr>
                <w:rFonts w:hint="eastAsia"/>
              </w:rPr>
              <w:t>附加检修保险</w:t>
            </w:r>
            <w:r>
              <w:rPr>
                <w:rFonts w:hint="eastAsia"/>
              </w:rPr>
              <w:br w:type="textWrapping"/>
            </w:r>
            <w:r>
              <w:rPr>
                <w:rFonts w:hint="eastAsia"/>
                <w:lang w:val="en-US" w:eastAsia="zh-CN"/>
              </w:rPr>
              <w:t>12、</w:t>
            </w:r>
            <w:r>
              <w:rPr>
                <w:rFonts w:hint="eastAsia"/>
              </w:rPr>
              <w:t>附加抢险施救保险（每次事故赔偿限额100万元，累计赔偿限额500万元）</w:t>
            </w:r>
          </w:p>
        </w:tc>
      </w:tr>
    </w:tbl>
    <w:p>
      <w:pPr>
        <w:pStyle w:val="20"/>
        <w:ind w:left="560"/>
      </w:pPr>
    </w:p>
    <w:p>
      <w:pPr>
        <w:pStyle w:val="20"/>
        <w:ind w:left="560"/>
      </w:pPr>
    </w:p>
    <w:p>
      <w:pPr>
        <w:pStyle w:val="20"/>
        <w:ind w:left="560"/>
      </w:pPr>
    </w:p>
    <w:tbl>
      <w:tblPr>
        <w:tblStyle w:val="22"/>
        <w:tblpPr w:leftFromText="180" w:rightFromText="180" w:vertAnchor="text" w:horzAnchor="page" w:tblpX="1792" w:tblpY="637"/>
        <w:tblOverlap w:val="never"/>
        <w:tblW w:w="91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045"/>
        <w:gridCol w:w="41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045" w:type="dxa"/>
            <w:vAlign w:val="center"/>
          </w:tcPr>
          <w:p>
            <w:pPr>
              <w:keepNext w:val="0"/>
              <w:keepLines w:val="0"/>
              <w:widowControl/>
              <w:suppressLineNumbers w:val="0"/>
              <w:jc w:val="center"/>
              <w:rPr>
                <w:rFonts w:hint="eastAsia" w:ascii="Times New Roman" w:hAnsi="Times New Roman" w:cs="Times New Roman"/>
                <w:b/>
                <w:bCs/>
                <w:lang w:val="en-US" w:eastAsia="zh-CN"/>
              </w:rPr>
            </w:pPr>
            <w:r>
              <w:rPr>
                <w:rFonts w:hint="eastAsia" w:ascii="Times New Roman" w:hAnsi="Times New Roman" w:cs="Times New Roman"/>
                <w:b/>
                <w:bCs/>
                <w:lang w:val="en-US" w:eastAsia="zh-CN"/>
              </w:rPr>
              <w:t>保险标的物</w:t>
            </w:r>
          </w:p>
        </w:tc>
        <w:tc>
          <w:tcPr>
            <w:tcW w:w="4108" w:type="dxa"/>
            <w:vAlign w:val="center"/>
          </w:tcPr>
          <w:p>
            <w:pPr>
              <w:keepNext w:val="0"/>
              <w:keepLines w:val="0"/>
              <w:widowControl/>
              <w:suppressLineNumbers w:val="0"/>
              <w:jc w:val="center"/>
              <w:rPr>
                <w:rFonts w:hint="eastAsia" w:ascii="Times New Roman" w:hAnsi="Times New Roman" w:cs="Times New Roman"/>
                <w:b/>
                <w:bCs/>
                <w:lang w:val="en-US" w:eastAsia="zh-CN"/>
              </w:rPr>
            </w:pPr>
            <w:r>
              <w:rPr>
                <w:rFonts w:hint="eastAsia" w:ascii="Times New Roman" w:hAnsi="Times New Roman" w:cs="Times New Roman"/>
                <w:b/>
                <w:bCs/>
                <w:lang w:val="en-US" w:eastAsia="zh-CN"/>
              </w:rPr>
              <w:t>保险金额（元）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45" w:type="dxa"/>
            <w:vAlign w:val="center"/>
          </w:tcPr>
          <w:p>
            <w:pPr>
              <w:keepNext w:val="0"/>
              <w:keepLines w:val="0"/>
              <w:widowControl/>
              <w:suppressLineNumbers w:val="0"/>
              <w:jc w:val="center"/>
              <w:rPr>
                <w:rFonts w:hint="eastAsia" w:ascii="Times New Roman" w:hAnsi="Times New Roman" w:cs="Times New Roman"/>
                <w:lang w:val="en-US" w:eastAsia="zh-CN"/>
              </w:rPr>
            </w:pPr>
            <w:r>
              <w:rPr>
                <w:rFonts w:hint="eastAsia" w:ascii="Times New Roman" w:hAnsi="Times New Roman" w:cs="Times New Roman"/>
                <w:lang w:val="en-US" w:eastAsia="zh-CN"/>
              </w:rPr>
              <w:t>风电机组及其附属设备（HW3/2500华仪风能有限公司）</w:t>
            </w:r>
          </w:p>
        </w:tc>
        <w:tc>
          <w:tcPr>
            <w:tcW w:w="4108" w:type="dxa"/>
            <w:vAlign w:val="center"/>
          </w:tcPr>
          <w:p>
            <w:pPr>
              <w:keepNext w:val="0"/>
              <w:keepLines w:val="0"/>
              <w:widowControl/>
              <w:suppressLineNumbers w:val="0"/>
              <w:jc w:val="center"/>
              <w:rPr>
                <w:rFonts w:hint="eastAsia" w:ascii="Times New Roman" w:hAnsi="Times New Roman" w:cs="Times New Roman"/>
                <w:lang w:val="en-US" w:eastAsia="zh-CN"/>
              </w:rPr>
            </w:pPr>
            <w:r>
              <w:rPr>
                <w:rFonts w:hint="eastAsia" w:ascii="Times New Roman" w:hAnsi="Times New Roman" w:cs="Times New Roman"/>
                <w:lang w:val="en-US" w:eastAsia="zh-CN"/>
              </w:rPr>
              <w:t>181,875,000.00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045" w:type="dxa"/>
            <w:vAlign w:val="center"/>
          </w:tcPr>
          <w:p>
            <w:pPr>
              <w:keepNext w:val="0"/>
              <w:keepLines w:val="0"/>
              <w:widowControl/>
              <w:suppressLineNumbers w:val="0"/>
              <w:jc w:val="center"/>
              <w:rPr>
                <w:rFonts w:hint="eastAsia" w:ascii="Times New Roman" w:hAnsi="Times New Roman" w:cs="Times New Roman"/>
                <w:lang w:val="en-US" w:eastAsia="zh-CN"/>
              </w:rPr>
            </w:pPr>
            <w:r>
              <w:rPr>
                <w:rFonts w:hint="eastAsia" w:ascii="Times New Roman" w:hAnsi="Times New Roman" w:cs="Times New Roman"/>
                <w:lang w:val="en-US" w:eastAsia="zh-CN"/>
              </w:rPr>
              <w:t>塔筒及其附属设备</w:t>
            </w:r>
          </w:p>
        </w:tc>
        <w:tc>
          <w:tcPr>
            <w:tcW w:w="4108" w:type="dxa"/>
            <w:vAlign w:val="center"/>
          </w:tcPr>
          <w:p>
            <w:pPr>
              <w:keepNext w:val="0"/>
              <w:keepLines w:val="0"/>
              <w:widowControl/>
              <w:suppressLineNumbers w:val="0"/>
              <w:jc w:val="center"/>
              <w:rPr>
                <w:rFonts w:hint="eastAsia" w:ascii="Times New Roman" w:hAnsi="Times New Roman" w:cs="Times New Roman"/>
                <w:lang w:val="en-US" w:eastAsia="zh-CN"/>
              </w:rPr>
            </w:pPr>
            <w:r>
              <w:rPr>
                <w:rFonts w:hint="eastAsia" w:ascii="Times New Roman" w:hAnsi="Times New Roman" w:cs="Times New Roman"/>
                <w:lang w:val="en-US" w:eastAsia="zh-CN"/>
              </w:rPr>
              <w:t>43,139,295.00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45" w:type="dxa"/>
            <w:vAlign w:val="center"/>
          </w:tcPr>
          <w:p>
            <w:pPr>
              <w:keepNext w:val="0"/>
              <w:keepLines w:val="0"/>
              <w:widowControl/>
              <w:suppressLineNumbers w:val="0"/>
              <w:jc w:val="center"/>
              <w:rPr>
                <w:rFonts w:hint="eastAsia" w:ascii="Times New Roman" w:hAnsi="Times New Roman" w:cs="Times New Roman"/>
                <w:lang w:val="en-US" w:eastAsia="zh-CN"/>
              </w:rPr>
            </w:pPr>
            <w:r>
              <w:rPr>
                <w:rFonts w:hint="eastAsia" w:ascii="Times New Roman" w:hAnsi="Times New Roman" w:cs="Times New Roman"/>
                <w:lang w:val="en-US" w:eastAsia="zh-CN"/>
              </w:rPr>
              <w:t>锚栓及其附件</w:t>
            </w:r>
          </w:p>
        </w:tc>
        <w:tc>
          <w:tcPr>
            <w:tcW w:w="4108" w:type="dxa"/>
            <w:vAlign w:val="center"/>
          </w:tcPr>
          <w:p>
            <w:pPr>
              <w:keepNext w:val="0"/>
              <w:keepLines w:val="0"/>
              <w:widowControl/>
              <w:suppressLineNumbers w:val="0"/>
              <w:jc w:val="center"/>
              <w:rPr>
                <w:rFonts w:hint="eastAsia" w:ascii="Times New Roman" w:hAnsi="Times New Roman" w:cs="Times New Roman"/>
                <w:lang w:val="en-US" w:eastAsia="zh-CN"/>
              </w:rPr>
            </w:pPr>
            <w:r>
              <w:rPr>
                <w:rFonts w:hint="eastAsia" w:ascii="Times New Roman" w:hAnsi="Times New Roman" w:cs="Times New Roman"/>
                <w:lang w:val="en-US" w:eastAsia="zh-CN"/>
              </w:rPr>
              <w:t>14,284,499.36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45" w:type="dxa"/>
            <w:vAlign w:val="center"/>
          </w:tcPr>
          <w:p>
            <w:pPr>
              <w:keepNext w:val="0"/>
              <w:keepLines w:val="0"/>
              <w:widowControl/>
              <w:suppressLineNumbers w:val="0"/>
              <w:jc w:val="center"/>
              <w:rPr>
                <w:rFonts w:hint="eastAsia" w:ascii="Times New Roman" w:hAnsi="Times New Roman" w:cs="Times New Roman"/>
                <w:lang w:val="en-US" w:eastAsia="zh-CN"/>
              </w:rPr>
            </w:pPr>
            <w:r>
              <w:rPr>
                <w:rFonts w:hint="eastAsia" w:ascii="Times New Roman" w:hAnsi="Times New Roman" w:cs="Times New Roman"/>
                <w:lang w:val="en-US" w:eastAsia="zh-CN"/>
              </w:rPr>
              <w:t>箱变</w:t>
            </w:r>
          </w:p>
        </w:tc>
        <w:tc>
          <w:tcPr>
            <w:tcW w:w="4108" w:type="dxa"/>
            <w:vAlign w:val="center"/>
          </w:tcPr>
          <w:p>
            <w:pPr>
              <w:keepNext w:val="0"/>
              <w:keepLines w:val="0"/>
              <w:widowControl/>
              <w:suppressLineNumbers w:val="0"/>
              <w:jc w:val="center"/>
              <w:rPr>
                <w:rFonts w:hint="eastAsia" w:ascii="Times New Roman" w:hAnsi="Times New Roman" w:cs="Times New Roman"/>
                <w:lang w:val="en-US" w:eastAsia="zh-CN"/>
              </w:rPr>
            </w:pPr>
            <w:r>
              <w:rPr>
                <w:rFonts w:hint="eastAsia" w:ascii="Times New Roman" w:hAnsi="Times New Roman" w:cs="Times New Roman"/>
                <w:lang w:val="en-US" w:eastAsia="zh-CN"/>
              </w:rPr>
              <w:t>3,783,000.00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45" w:type="dxa"/>
            <w:vAlign w:val="center"/>
          </w:tcPr>
          <w:p>
            <w:pPr>
              <w:keepNext w:val="0"/>
              <w:keepLines w:val="0"/>
              <w:widowControl/>
              <w:suppressLineNumbers w:val="0"/>
              <w:jc w:val="center"/>
              <w:rPr>
                <w:rFonts w:hint="eastAsia" w:ascii="Times New Roman" w:hAnsi="Times New Roman" w:cs="Times New Roman"/>
                <w:lang w:val="en-US" w:eastAsia="zh-CN"/>
              </w:rPr>
            </w:pPr>
            <w:r>
              <w:rPr>
                <w:rFonts w:hint="eastAsia" w:ascii="Times New Roman" w:hAnsi="Times New Roman" w:cs="Times New Roman"/>
                <w:lang w:val="en-US" w:eastAsia="zh-CN"/>
              </w:rPr>
              <w:t>升压站电气设备附属设备</w:t>
            </w:r>
          </w:p>
        </w:tc>
        <w:tc>
          <w:tcPr>
            <w:tcW w:w="4108" w:type="dxa"/>
            <w:vAlign w:val="center"/>
          </w:tcPr>
          <w:p>
            <w:pPr>
              <w:keepNext w:val="0"/>
              <w:keepLines w:val="0"/>
              <w:widowControl/>
              <w:suppressLineNumbers w:val="0"/>
              <w:jc w:val="center"/>
              <w:rPr>
                <w:rFonts w:hint="eastAsia" w:ascii="Times New Roman" w:hAnsi="Times New Roman" w:cs="Times New Roman"/>
                <w:lang w:val="en-US" w:eastAsia="zh-CN"/>
              </w:rPr>
            </w:pPr>
            <w:r>
              <w:rPr>
                <w:rFonts w:hint="eastAsia" w:ascii="Times New Roman" w:hAnsi="Times New Roman" w:cs="Times New Roman"/>
                <w:lang w:val="en-US" w:eastAsia="zh-CN"/>
              </w:rPr>
              <w:t>21,523,621.00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3" w:type="dxa"/>
            <w:gridSpan w:val="2"/>
            <w:vAlign w:val="center"/>
          </w:tcPr>
          <w:p>
            <w:pPr>
              <w:keepNext w:val="0"/>
              <w:keepLines w:val="0"/>
              <w:widowControl/>
              <w:suppressLineNumbers w:val="0"/>
              <w:jc w:val="center"/>
              <w:rPr>
                <w:rFonts w:hint="eastAsia" w:ascii="Times New Roman" w:hAnsi="Times New Roman" w:cs="Times New Roman"/>
                <w:lang w:val="en-US" w:eastAsia="zh-CN"/>
              </w:rPr>
            </w:pPr>
            <w:r>
              <w:rPr>
                <w:rFonts w:hint="eastAsia" w:ascii="Times New Roman" w:hAnsi="Times New Roman" w:cs="Times New Roman"/>
                <w:lang w:val="en-US" w:eastAsia="zh-CN"/>
              </w:rPr>
              <w:t>总保险金额：264,605,415.36</w:t>
            </w:r>
          </w:p>
        </w:tc>
      </w:tr>
    </w:tbl>
    <w:p>
      <w:r>
        <w:br w:type="page"/>
      </w:r>
    </w:p>
    <w:p>
      <w:pPr>
        <w:pStyle w:val="20"/>
        <w:ind w:left="0" w:leftChars="0" w:firstLine="0" w:firstLineChars="0"/>
        <w:sectPr>
          <w:pgSz w:w="11906" w:h="16838"/>
          <w:pgMar w:top="1440" w:right="1800" w:bottom="1440" w:left="1800" w:header="851" w:footer="992" w:gutter="0"/>
          <w:cols w:space="720" w:num="1"/>
          <w:docGrid w:type="lines" w:linePitch="312" w:charSpace="0"/>
        </w:sectPr>
      </w:pPr>
    </w:p>
    <w:p>
      <w:pPr>
        <w:numPr>
          <w:ilvl w:val="0"/>
          <w:numId w:val="2"/>
        </w:numPr>
        <w:ind w:firstLine="0"/>
        <w:jc w:val="center"/>
        <w:outlineLvl w:val="0"/>
        <w:rPr>
          <w:b/>
          <w:bCs/>
        </w:rPr>
      </w:pPr>
      <w:r>
        <w:rPr>
          <w:rFonts w:hint="eastAsia"/>
          <w:b/>
          <w:bCs/>
        </w:rPr>
        <w:t>公众责任险</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50"/>
        <w:gridCol w:w="64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distribute"/>
              <w:textAlignment w:val="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合同条款：</w:t>
            </w:r>
          </w:p>
        </w:tc>
        <w:tc>
          <w:tcPr>
            <w:tcW w:w="6472"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color w:val="000000" w:themeColor="text1"/>
                <w14:textFill>
                  <w14:solidFill>
                    <w14:schemeClr w14:val="tx1"/>
                  </w14:solidFill>
                </w14:textFill>
              </w:rPr>
            </w:pPr>
            <w:r>
              <w:rPr>
                <w:rFonts w:hint="eastAsia"/>
                <w:color w:val="000000" w:themeColor="text1"/>
                <w14:textFill>
                  <w14:solidFill>
                    <w14:schemeClr w14:val="tx1"/>
                  </w14:solidFill>
                </w14:textFill>
              </w:rPr>
              <w:t>按照保险公司向国家金融监督管理总局备案条款内容执行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distribute"/>
              <w:textAlignment w:val="auto"/>
              <w:rPr>
                <w:b/>
                <w:bCs/>
                <w:color w:val="000000" w:themeColor="text1"/>
                <w:spacing w:val="1120"/>
                <w:kern w:val="0"/>
                <w14:textFill>
                  <w14:solidFill>
                    <w14:schemeClr w14:val="tx1"/>
                  </w14:solidFill>
                </w14:textFill>
              </w:rPr>
            </w:pPr>
            <w:r>
              <w:rPr>
                <w:rFonts w:hint="eastAsia"/>
                <w:b/>
                <w:bCs/>
                <w:color w:val="000000" w:themeColor="text1"/>
                <w:kern w:val="0"/>
                <w14:textFill>
                  <w14:solidFill>
                    <w14:schemeClr w14:val="tx1"/>
                  </w14:solidFill>
                </w14:textFill>
              </w:rPr>
              <w:t>投保人</w:t>
            </w:r>
            <w:r>
              <w:rPr>
                <w:rFonts w:hint="eastAsia"/>
                <w:b/>
                <w:bCs/>
                <w:color w:val="000000" w:themeColor="text1"/>
                <w14:textFill>
                  <w14:solidFill>
                    <w14:schemeClr w14:val="tx1"/>
                  </w14:solidFill>
                </w14:textFill>
              </w:rPr>
              <w:t>：</w:t>
            </w:r>
          </w:p>
        </w:tc>
        <w:tc>
          <w:tcPr>
            <w:tcW w:w="6472" w:type="dxa"/>
            <w:vAlign w:val="center"/>
          </w:tcPr>
          <w:p>
            <w:pPr>
              <w:keepNext w:val="0"/>
              <w:keepLines w:val="0"/>
              <w:pageBreakBefore w:val="0"/>
              <w:widowControl w:val="0"/>
              <w:numPr>
                <w:ilvl w:val="0"/>
                <w:numId w:val="10"/>
              </w:numPr>
              <w:kinsoku/>
              <w:wordWrap/>
              <w:overflowPunct/>
              <w:topLinePunct w:val="0"/>
              <w:autoSpaceDE/>
              <w:autoSpaceDN/>
              <w:bidi w:val="0"/>
              <w:adjustRightInd/>
              <w:snapToGrid/>
              <w:spacing w:line="400" w:lineRule="exact"/>
              <w:ind w:left="420" w:hanging="420" w:hangingChars="150"/>
              <w:jc w:val="left"/>
              <w:textAlignment w:val="auto"/>
              <w:rPr>
                <w:color w:val="000000" w:themeColor="text1"/>
                <w14:textFill>
                  <w14:solidFill>
                    <w14:schemeClr w14:val="tx1"/>
                  </w14:solidFill>
                </w14:textFill>
              </w:rPr>
            </w:pPr>
            <w:r>
              <w:rPr>
                <w:rFonts w:hint="eastAsia"/>
                <w:color w:val="000000" w:themeColor="text1"/>
                <w14:textFill>
                  <w14:solidFill>
                    <w14:schemeClr w14:val="tx1"/>
                  </w14:solidFill>
                </w14:textFill>
              </w:rPr>
              <w:t>投保人名称：南网融资租赁有限公司</w:t>
            </w:r>
          </w:p>
          <w:p>
            <w:pPr>
              <w:keepNext w:val="0"/>
              <w:keepLines w:val="0"/>
              <w:pageBreakBefore w:val="0"/>
              <w:widowControl w:val="0"/>
              <w:numPr>
                <w:ilvl w:val="0"/>
                <w:numId w:val="10"/>
              </w:numPr>
              <w:kinsoku/>
              <w:wordWrap/>
              <w:overflowPunct/>
              <w:topLinePunct w:val="0"/>
              <w:autoSpaceDE/>
              <w:autoSpaceDN/>
              <w:bidi w:val="0"/>
              <w:adjustRightInd/>
              <w:snapToGrid/>
              <w:spacing w:line="400" w:lineRule="exact"/>
              <w:ind w:left="420" w:hanging="420" w:hangingChars="150"/>
              <w:jc w:val="left"/>
              <w:textAlignment w:val="auto"/>
              <w:rPr>
                <w:color w:val="000000" w:themeColor="text1"/>
                <w14:textFill>
                  <w14:solidFill>
                    <w14:schemeClr w14:val="tx1"/>
                  </w14:solidFill>
                </w14:textFill>
              </w:rPr>
            </w:pPr>
            <w:r>
              <w:rPr>
                <w:rFonts w:hint="eastAsia"/>
                <w:color w:val="000000" w:themeColor="text1"/>
                <w14:textFill>
                  <w14:solidFill>
                    <w14:schemeClr w14:val="tx1"/>
                  </w14:solidFill>
                </w14:textFill>
              </w:rPr>
              <w:t>投保人地址：广东省广州市南沙区横沥镇明珠一街1号404房A209（仅限办公）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distribute"/>
              <w:textAlignment w:val="auto"/>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被保险人：</w:t>
            </w:r>
          </w:p>
        </w:tc>
        <w:tc>
          <w:tcPr>
            <w:tcW w:w="6472"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color w:val="000000" w:themeColor="text1"/>
                <w14:textFill>
                  <w14:solidFill>
                    <w14:schemeClr w14:val="tx1"/>
                  </w14:solidFill>
                </w14:textFill>
              </w:rPr>
            </w:pPr>
            <w:r>
              <w:rPr>
                <w:color w:val="000000" w:themeColor="text1"/>
                <w14:textFill>
                  <w14:solidFill>
                    <w14:schemeClr w14:val="tx1"/>
                  </w14:solidFill>
                </w14:textFill>
              </w:rPr>
              <w:t>南网融资租赁有限公司</w:t>
            </w:r>
          </w:p>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color w:val="000000" w:themeColor="text1"/>
                <w:spacing w:val="1120"/>
                <w:kern w:val="0"/>
                <w14:textFill>
                  <w14:solidFill>
                    <w14:schemeClr w14:val="tx1"/>
                  </w14:solidFill>
                </w14:textFill>
              </w:rPr>
            </w:pPr>
            <w:r>
              <w:rPr>
                <w:rFonts w:hint="eastAsia"/>
                <w:color w:val="000000" w:themeColor="text1"/>
                <w:lang w:val="en-US" w:eastAsia="zh-CN"/>
                <w14:textFill>
                  <w14:solidFill>
                    <w14:schemeClr w14:val="tx1"/>
                  </w14:solidFill>
                </w14:textFill>
              </w:rPr>
              <w:t>合阳天创新能源有限公司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distribute"/>
              <w:textAlignment w:val="auto"/>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保险经纪人：</w:t>
            </w:r>
          </w:p>
        </w:tc>
        <w:tc>
          <w:tcPr>
            <w:tcW w:w="6472"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color w:val="000000" w:themeColor="text1"/>
                <w14:textFill>
                  <w14:solidFill>
                    <w14:schemeClr w14:val="tx1"/>
                  </w14:solidFill>
                </w14:textFill>
              </w:rPr>
            </w:pPr>
            <w:r>
              <w:rPr>
                <w:color w:val="000000" w:themeColor="text1"/>
                <w14:textFill>
                  <w14:solidFill>
                    <w14:schemeClr w14:val="tx1"/>
                  </w14:solidFill>
                </w14:textFill>
              </w:rPr>
              <w:t>瑞恒保险经纪有限责任公司</w:t>
            </w:r>
            <w:r>
              <w:rPr>
                <w:rFonts w:hint="eastAsia"/>
                <w:color w:val="000000" w:themeColor="text1"/>
                <w14:textFill>
                  <w14:solidFill>
                    <w14:schemeClr w14:val="tx1"/>
                  </w14:solidFill>
                </w14:textFill>
              </w:rPr>
              <w:t>广东</w:t>
            </w:r>
            <w:r>
              <w:rPr>
                <w:color w:val="000000" w:themeColor="text1"/>
                <w14:textFill>
                  <w14:solidFill>
                    <w14:schemeClr w14:val="tx1"/>
                  </w14:solidFill>
                </w14:textFill>
              </w:rPr>
              <w:t>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distribute"/>
              <w:textAlignment w:val="auto"/>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司法管辖：</w:t>
            </w:r>
          </w:p>
        </w:tc>
        <w:tc>
          <w:tcPr>
            <w:tcW w:w="6472"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color w:val="000000" w:themeColor="text1"/>
                <w:spacing w:val="920"/>
                <w:kern w:val="0"/>
                <w14:textFill>
                  <w14:solidFill>
                    <w14:schemeClr w14:val="tx1"/>
                  </w14:solidFill>
                </w14:textFill>
              </w:rPr>
            </w:pPr>
            <w:r>
              <w:rPr>
                <w:color w:val="000000" w:themeColor="text1"/>
                <w14:textFill>
                  <w14:solidFill>
                    <w14:schemeClr w14:val="tx1"/>
                  </w14:solidFill>
                </w14:textFill>
              </w:rPr>
              <w:t>中华人民共和国司法管辖（港、澳、台除外）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distribute"/>
              <w:textAlignment w:val="auto"/>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投保项目：</w:t>
            </w:r>
          </w:p>
        </w:tc>
        <w:tc>
          <w:tcPr>
            <w:tcW w:w="6472"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color w:val="000000" w:themeColor="text1"/>
                <w:spacing w:val="1120"/>
                <w:kern w:val="0"/>
                <w14:textFill>
                  <w14:solidFill>
                    <w14:schemeClr w14:val="tx1"/>
                  </w14:solidFill>
                </w14:textFill>
              </w:rPr>
            </w:pPr>
            <w:r>
              <w:rPr>
                <w:rFonts w:hint="eastAsia"/>
                <w:color w:val="000000" w:themeColor="text1"/>
                <w14:textFill>
                  <w14:solidFill>
                    <w14:schemeClr w14:val="tx1"/>
                  </w14:solidFill>
                </w14:textFill>
              </w:rPr>
              <w:t>渭南合阳黑池坊50MW风电项目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distribute"/>
              <w:textAlignment w:val="auto"/>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项目地址：</w:t>
            </w:r>
          </w:p>
        </w:tc>
        <w:tc>
          <w:tcPr>
            <w:tcW w:w="6472"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color w:val="000000" w:themeColor="text1"/>
                <w:spacing w:val="1120"/>
                <w:kern w:val="0"/>
                <w14:textFill>
                  <w14:solidFill>
                    <w14:schemeClr w14:val="tx1"/>
                  </w14:solidFill>
                </w14:textFill>
              </w:rPr>
            </w:pPr>
            <w:r>
              <w:rPr>
                <w:rFonts w:hint="eastAsia"/>
                <w:color w:val="000000" w:themeColor="text1"/>
                <w:lang w:val="en-US" w:eastAsia="zh-CN"/>
                <w14:textFill>
                  <w14:solidFill>
                    <w14:schemeClr w14:val="tx1"/>
                  </w14:solidFill>
                </w14:textFill>
              </w:rPr>
              <w:t xml:space="preserve">陕西省渭南市合阳县黑池坊50MW风电场项目工程区域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distribute"/>
              <w:textAlignment w:val="auto"/>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保险标的：</w:t>
            </w:r>
          </w:p>
        </w:tc>
        <w:tc>
          <w:tcPr>
            <w:tcW w:w="6472"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color w:val="000000" w:themeColor="text1"/>
                <w:spacing w:val="1120"/>
                <w:kern w:val="0"/>
                <w14:textFill>
                  <w14:solidFill>
                    <w14:schemeClr w14:val="tx1"/>
                  </w14:solidFill>
                </w14:textFill>
              </w:rPr>
            </w:pPr>
            <w:r>
              <w:rPr>
                <w:rFonts w:hint="eastAsia"/>
                <w:color w:val="000000" w:themeColor="text1"/>
                <w14:textFill>
                  <w14:solidFill>
                    <w14:schemeClr w14:val="tx1"/>
                  </w14:solidFill>
                </w14:textFill>
              </w:rPr>
              <w:t>详见投保清单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distribute"/>
              <w:textAlignment w:val="auto"/>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保险金额：</w:t>
            </w:r>
          </w:p>
        </w:tc>
        <w:tc>
          <w:tcPr>
            <w:tcW w:w="6472"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color w:val="000000" w:themeColor="text1"/>
                <w14:textFill>
                  <w14:solidFill>
                    <w14:schemeClr w14:val="tx1"/>
                  </w14:solidFill>
                </w14:textFill>
              </w:rPr>
            </w:pPr>
            <w:r>
              <w:rPr>
                <w:rFonts w:hint="eastAsia"/>
                <w:color w:val="000000" w:themeColor="text1"/>
                <w14:textFill>
                  <w14:solidFill>
                    <w14:schemeClr w14:val="tx1"/>
                  </w14:solidFill>
                </w14:textFill>
              </w:rPr>
              <w:t>累计事故赔偿限额为人民币</w:t>
            </w:r>
            <w:r>
              <w:rPr>
                <w:rFonts w:hint="eastAsia"/>
                <w:color w:val="000000" w:themeColor="text1"/>
                <w:lang w:val="en-US" w:eastAsia="zh-CN"/>
                <w14:textFill>
                  <w14:solidFill>
                    <w14:schemeClr w14:val="tx1"/>
                  </w14:solidFill>
                </w14:textFill>
              </w:rPr>
              <w:t>10</w:t>
            </w:r>
            <w:r>
              <w:rPr>
                <w:rFonts w:hint="eastAsia"/>
                <w:color w:val="000000" w:themeColor="text1"/>
                <w14:textFill>
                  <w14:solidFill>
                    <w14:schemeClr w14:val="tx1"/>
                  </w14:solidFill>
                </w14:textFill>
              </w:rPr>
              <w:t>00万元；</w:t>
            </w:r>
          </w:p>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color w:val="000000" w:themeColor="text1"/>
                <w14:textFill>
                  <w14:solidFill>
                    <w14:schemeClr w14:val="tx1"/>
                  </w14:solidFill>
                </w14:textFill>
              </w:rPr>
            </w:pPr>
            <w:r>
              <w:rPr>
                <w:rFonts w:hint="eastAsia"/>
                <w:color w:val="000000" w:themeColor="text1"/>
                <w14:textFill>
                  <w14:solidFill>
                    <w14:schemeClr w14:val="tx1"/>
                  </w14:solidFill>
                </w14:textFill>
              </w:rPr>
              <w:t>每次事故赔偿限额人民币</w:t>
            </w:r>
            <w:r>
              <w:rPr>
                <w:rFonts w:hint="eastAsia"/>
                <w:color w:val="000000" w:themeColor="text1"/>
                <w:lang w:val="en-US" w:eastAsia="zh-CN"/>
                <w14:textFill>
                  <w14:solidFill>
                    <w14:schemeClr w14:val="tx1"/>
                  </w14:solidFill>
                </w14:textFill>
              </w:rPr>
              <w:t>10</w:t>
            </w:r>
            <w:r>
              <w:rPr>
                <w:color w:val="000000" w:themeColor="text1"/>
                <w14:textFill>
                  <w14:solidFill>
                    <w14:schemeClr w14:val="tx1"/>
                  </w14:solidFill>
                </w14:textFill>
              </w:rPr>
              <w:t>0</w:t>
            </w:r>
            <w:r>
              <w:rPr>
                <w:rFonts w:hint="eastAsia"/>
                <w:color w:val="000000" w:themeColor="text1"/>
                <w14:textFill>
                  <w14:solidFill>
                    <w14:schemeClr w14:val="tx1"/>
                  </w14:solidFill>
                </w14:textFill>
              </w:rPr>
              <w:t>0万元；</w:t>
            </w:r>
          </w:p>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color w:val="000000" w:themeColor="text1"/>
                <w14:textFill>
                  <w14:solidFill>
                    <w14:schemeClr w14:val="tx1"/>
                  </w14:solidFill>
                </w14:textFill>
              </w:rPr>
            </w:pPr>
            <w:r>
              <w:rPr>
                <w:rFonts w:hint="eastAsia"/>
                <w:color w:val="000000" w:themeColor="text1"/>
                <w14:textFill>
                  <w14:solidFill>
                    <w14:schemeClr w14:val="tx1"/>
                  </w14:solidFill>
                </w14:textFill>
              </w:rPr>
              <w:t>每人每次事故人身伤亡赔偿限额为人民币</w:t>
            </w:r>
            <w:r>
              <w:rPr>
                <w:color w:val="000000" w:themeColor="text1"/>
                <w14:textFill>
                  <w14:solidFill>
                    <w14:schemeClr w14:val="tx1"/>
                  </w14:solidFill>
                </w14:textFill>
              </w:rPr>
              <w:t>10</w:t>
            </w:r>
            <w:r>
              <w:rPr>
                <w:rFonts w:hint="eastAsia"/>
                <w:color w:val="000000" w:themeColor="text1"/>
                <w14:textFill>
                  <w14:solidFill>
                    <w14:schemeClr w14:val="tx1"/>
                  </w14:solidFill>
                </w14:textFill>
              </w:rPr>
              <w:t>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distribute"/>
              <w:textAlignment w:val="auto"/>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保险年费率：</w:t>
            </w:r>
          </w:p>
        </w:tc>
        <w:tc>
          <w:tcPr>
            <w:tcW w:w="6472"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b/>
                <w:color w:val="FF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distribute"/>
              <w:textAlignment w:val="auto"/>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保险费用：</w:t>
            </w:r>
          </w:p>
        </w:tc>
        <w:tc>
          <w:tcPr>
            <w:tcW w:w="6472"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color w:val="000000" w:themeColor="text1"/>
                <w:spacing w:val="1"/>
                <w:w w:val="94"/>
                <w:kern w:val="0"/>
                <w14:textFill>
                  <w14:solidFill>
                    <w14:schemeClr w14:val="tx1"/>
                  </w14:solidFill>
                </w14:textFill>
              </w:rPr>
            </w:pPr>
            <w:r>
              <w:rPr>
                <w:rFonts w:hint="eastAsia"/>
                <w:color w:val="000000" w:themeColor="text1"/>
                <w14:textFill>
                  <w14:solidFill>
                    <w14:schemeClr w14:val="tx1"/>
                  </w14:solidFill>
                </w14:textFill>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distribute"/>
              <w:textAlignment w:val="auto"/>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保险期限：</w:t>
            </w:r>
          </w:p>
        </w:tc>
        <w:tc>
          <w:tcPr>
            <w:tcW w:w="6472"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2个月，</w:t>
            </w:r>
            <w:r>
              <w:rPr>
                <w:color w:val="000000" w:themeColor="text1"/>
                <w14:textFill>
                  <w14:solidFill>
                    <w14:schemeClr w14:val="tx1"/>
                  </w14:solidFill>
                </w14:textFill>
              </w:rPr>
              <w:t>具体日期以出单通知/投保单为准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distribute"/>
              <w:textAlignment w:val="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保险责任：</w:t>
            </w:r>
          </w:p>
        </w:tc>
        <w:tc>
          <w:tcPr>
            <w:tcW w:w="6472" w:type="dxa"/>
            <w:vAlign w:val="center"/>
          </w:tcPr>
          <w:p>
            <w:pPr>
              <w:keepNext w:val="0"/>
              <w:keepLines w:val="0"/>
              <w:pageBreakBefore w:val="0"/>
              <w:widowControl w:val="0"/>
              <w:numPr>
                <w:ilvl w:val="0"/>
                <w:numId w:val="11"/>
              </w:numPr>
              <w:kinsoku/>
              <w:wordWrap/>
              <w:overflowPunct/>
              <w:topLinePunct w:val="0"/>
              <w:autoSpaceDE/>
              <w:autoSpaceDN/>
              <w:bidi w:val="0"/>
              <w:adjustRightInd/>
              <w:snapToGrid/>
              <w:spacing w:line="400" w:lineRule="exact"/>
              <w:jc w:val="left"/>
              <w:textAlignment w:val="auto"/>
              <w:rPr>
                <w:color w:val="000000" w:themeColor="text1"/>
                <w14:textFill>
                  <w14:solidFill>
                    <w14:schemeClr w14:val="tx1"/>
                  </w14:solidFill>
                </w14:textFill>
              </w:rPr>
            </w:pPr>
            <w:r>
              <w:rPr>
                <w:rFonts w:hint="eastAsia"/>
                <w:color w:val="000000" w:themeColor="text1"/>
                <w14:textFill>
                  <w14:solidFill>
                    <w14:schemeClr w14:val="tx1"/>
                  </w14:solidFill>
                </w14:textFill>
              </w:rPr>
              <w:t>在保险期间内，被保险人在保险单/保险合同明细表列明的区域范围内，合法从事经营范围内的业务时发生意外事故造成第三者的人身伤亡或财产损失，依照中华人民共和国法律（不包括港澳台地区法律）应由被保险人承担的经济赔偿责任，保险人按照本保险合同约定负责赔偿。</w:t>
            </w:r>
          </w:p>
          <w:p>
            <w:pPr>
              <w:keepNext w:val="0"/>
              <w:keepLines w:val="0"/>
              <w:pageBreakBefore w:val="0"/>
              <w:widowControl w:val="0"/>
              <w:numPr>
                <w:ilvl w:val="0"/>
                <w:numId w:val="11"/>
              </w:numPr>
              <w:kinsoku/>
              <w:wordWrap/>
              <w:overflowPunct/>
              <w:topLinePunct w:val="0"/>
              <w:autoSpaceDE/>
              <w:autoSpaceDN/>
              <w:bidi w:val="0"/>
              <w:adjustRightInd/>
              <w:snapToGrid/>
              <w:spacing w:line="400" w:lineRule="exact"/>
              <w:jc w:val="left"/>
              <w:textAlignment w:val="auto"/>
              <w:rPr>
                <w:color w:val="000000" w:themeColor="text1"/>
                <w14:textFill>
                  <w14:solidFill>
                    <w14:schemeClr w14:val="tx1"/>
                  </w14:solidFill>
                </w14:textFill>
              </w:rPr>
            </w:pPr>
            <w:r>
              <w:rPr>
                <w:rFonts w:hint="eastAsia"/>
                <w:color w:val="000000" w:themeColor="text1"/>
                <w14:textFill>
                  <w14:solidFill>
                    <w14:schemeClr w14:val="tx1"/>
                  </w14:solidFill>
                </w14:textFill>
              </w:rPr>
              <w:t>保险事故发生后，被保险人因保险事故而被提起仲裁或者诉讼的，对应由被保险人支付的仲裁或诉讼费用以及事先经保险人书面同意支付的其他必要的、合理的费用（以下简称“法律费用”），保险人按照本保险合同约定也负责赔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distribute"/>
              <w:textAlignment w:val="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免赔额：</w:t>
            </w:r>
          </w:p>
        </w:tc>
        <w:tc>
          <w:tcPr>
            <w:tcW w:w="6472" w:type="dxa"/>
            <w:vAlign w:val="center"/>
          </w:tcPr>
          <w:p>
            <w:pPr>
              <w:keepNext w:val="0"/>
              <w:keepLines w:val="0"/>
              <w:pageBreakBefore w:val="0"/>
              <w:widowControl w:val="0"/>
              <w:numPr>
                <w:ilvl w:val="0"/>
                <w:numId w:val="12"/>
              </w:numPr>
              <w:kinsoku/>
              <w:wordWrap/>
              <w:overflowPunct/>
              <w:topLinePunct w:val="0"/>
              <w:autoSpaceDE/>
              <w:autoSpaceDN/>
              <w:bidi w:val="0"/>
              <w:adjustRightInd/>
              <w:snapToGrid/>
              <w:spacing w:line="400" w:lineRule="exact"/>
              <w:jc w:val="left"/>
              <w:textAlignment w:val="auto"/>
              <w:rPr>
                <w:color w:val="000000" w:themeColor="text1"/>
                <w:lang w:eastAsia="zh-Hans"/>
                <w14:textFill>
                  <w14:solidFill>
                    <w14:schemeClr w14:val="tx1"/>
                  </w14:solidFill>
                </w14:textFill>
              </w:rPr>
            </w:pPr>
            <w:r>
              <w:rPr>
                <w:rFonts w:hint="eastAsia"/>
                <w:color w:val="000000" w:themeColor="text1"/>
                <w:lang w:eastAsia="zh-Hans"/>
                <w14:textFill>
                  <w14:solidFill>
                    <w14:schemeClr w14:val="tx1"/>
                  </w14:solidFill>
                </w14:textFill>
              </w:rPr>
              <w:t>本保单每次事故财产损失绝对免赔额为</w:t>
            </w:r>
            <w:r>
              <w:rPr>
                <w:rFonts w:hint="eastAsia"/>
                <w:color w:val="000000" w:themeColor="text1"/>
                <w:lang w:val="en-US" w:eastAsia="zh-CN"/>
                <w14:textFill>
                  <w14:solidFill>
                    <w14:schemeClr w14:val="tx1"/>
                  </w14:solidFill>
                </w14:textFill>
              </w:rPr>
              <w:t>人民币5000</w:t>
            </w:r>
            <w:r>
              <w:rPr>
                <w:rFonts w:hint="eastAsia"/>
                <w:color w:val="000000" w:themeColor="text1"/>
                <w:lang w:eastAsia="zh-Hans"/>
                <w14:textFill>
                  <w14:solidFill>
                    <w14:schemeClr w14:val="tx1"/>
                  </w14:solidFill>
                </w14:textFill>
              </w:rPr>
              <w:t>元或损失金额的</w:t>
            </w:r>
            <w:r>
              <w:rPr>
                <w:color w:val="000000" w:themeColor="text1"/>
                <w:lang w:eastAsia="zh-Hans"/>
                <w14:textFill>
                  <w14:solidFill>
                    <w14:schemeClr w14:val="tx1"/>
                  </w14:solidFill>
                </w14:textFill>
              </w:rPr>
              <w:t>1</w:t>
            </w:r>
            <w:r>
              <w:rPr>
                <w:rFonts w:hint="eastAsia"/>
                <w:color w:val="000000" w:themeColor="text1"/>
                <w:lang w:eastAsia="zh-Hans"/>
                <w14:textFill>
                  <w14:solidFill>
                    <w14:schemeClr w14:val="tx1"/>
                  </w14:solidFill>
                </w14:textFill>
              </w:rPr>
              <w:t>0%，两者以高者为准。</w:t>
            </w:r>
          </w:p>
          <w:p>
            <w:pPr>
              <w:keepNext w:val="0"/>
              <w:keepLines w:val="0"/>
              <w:pageBreakBefore w:val="0"/>
              <w:widowControl w:val="0"/>
              <w:numPr>
                <w:ilvl w:val="0"/>
                <w:numId w:val="12"/>
              </w:numPr>
              <w:kinsoku/>
              <w:wordWrap/>
              <w:overflowPunct/>
              <w:topLinePunct w:val="0"/>
              <w:autoSpaceDE/>
              <w:autoSpaceDN/>
              <w:bidi w:val="0"/>
              <w:adjustRightInd/>
              <w:snapToGrid/>
              <w:spacing w:line="400" w:lineRule="exact"/>
              <w:jc w:val="left"/>
              <w:textAlignment w:val="auto"/>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人身伤亡无免赔。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distribute"/>
              <w:textAlignment w:val="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特别约定：</w:t>
            </w:r>
          </w:p>
        </w:tc>
        <w:tc>
          <w:tcPr>
            <w:tcW w:w="6472"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left"/>
              <w:textAlignment w:val="auto"/>
              <w:rPr>
                <w:rFonts w:hint="eastAsia" w:eastAsia="仿宋_GB2312"/>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distribute"/>
              <w:textAlignment w:val="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扩展条款：</w:t>
            </w:r>
          </w:p>
        </w:tc>
        <w:tc>
          <w:tcPr>
            <w:tcW w:w="6472"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textAlignment w:val="auto"/>
              <w:rPr>
                <w:rFonts w:hint="eastAsia" w:ascii="仿宋_GB2312" w:hAnsi="仿宋_GB2312" w:cs="仿宋_GB2312"/>
                <w:color w:val="auto"/>
                <w:sz w:val="32"/>
                <w:szCs w:val="32"/>
                <w:highlight w:val="none"/>
                <w:lang w:eastAsia="zh-CN"/>
              </w:rPr>
            </w:pPr>
            <w:r>
              <w:rPr>
                <w:rFonts w:hint="eastAsia"/>
                <w:color w:val="000000" w:themeColor="text1"/>
                <w:lang w:val="en-US" w:eastAsia="zh-CN"/>
                <w14:textFill>
                  <w14:solidFill>
                    <w14:schemeClr w14:val="tx1"/>
                  </w14:solidFill>
                </w14:textFill>
              </w:rPr>
              <w:t>1、公众责任保险附加火灾或爆炸责任保险（每次事故赔偿限额人民币500万元）</w:t>
            </w:r>
            <w:r>
              <w:rPr>
                <w:rFonts w:hint="eastAsia"/>
                <w:color w:val="000000" w:themeColor="text1"/>
                <w:lang w:val="en-US" w:eastAsia="zh-CN"/>
                <w14:textFill>
                  <w14:solidFill>
                    <w14:schemeClr w14:val="tx1"/>
                  </w14:solidFill>
                </w14:textFill>
              </w:rPr>
              <w:br w:type="textWrapping"/>
            </w:r>
            <w:r>
              <w:rPr>
                <w:rFonts w:hint="eastAsia"/>
                <w:color w:val="000000" w:themeColor="text1"/>
                <w:lang w:val="en-US" w:eastAsia="zh-CN"/>
                <w14:textFill>
                  <w14:solidFill>
                    <w14:schemeClr w14:val="tx1"/>
                  </w14:solidFill>
                </w14:textFill>
              </w:rPr>
              <w:t>2、公众责任保险附加建筑物改变责任保险（每次事故赔偿限额人民币500万元）</w:t>
            </w:r>
            <w:r>
              <w:rPr>
                <w:rFonts w:hint="eastAsia"/>
                <w:color w:val="000000" w:themeColor="text1"/>
                <w:lang w:val="en-US" w:eastAsia="zh-CN"/>
                <w14:textFill>
                  <w14:solidFill>
                    <w14:schemeClr w14:val="tx1"/>
                  </w14:solidFill>
                </w14:textFill>
              </w:rPr>
              <w:br w:type="textWrapping"/>
            </w:r>
            <w:r>
              <w:rPr>
                <w:rFonts w:hint="eastAsia"/>
                <w:color w:val="000000" w:themeColor="text1"/>
                <w:lang w:val="en-US" w:eastAsia="zh-CN"/>
                <w14:textFill>
                  <w14:solidFill>
                    <w14:schemeClr w14:val="tx1"/>
                  </w14:solidFill>
                </w14:textFill>
              </w:rPr>
              <w:t>3、公众责任保险附加急救费用保险（每次事故赔偿限额人民币500万元）</w:t>
            </w:r>
            <w:r>
              <w:rPr>
                <w:rFonts w:hint="eastAsia"/>
                <w:color w:val="000000" w:themeColor="text1"/>
                <w:lang w:val="en-US" w:eastAsia="zh-CN"/>
                <w14:textFill>
                  <w14:solidFill>
                    <w14:schemeClr w14:val="tx1"/>
                  </w14:solidFill>
                </w14:textFill>
              </w:rPr>
              <w:br w:type="textWrapping"/>
            </w:r>
            <w:r>
              <w:rPr>
                <w:rFonts w:hint="eastAsia"/>
                <w:color w:val="000000" w:themeColor="text1"/>
                <w:lang w:val="en-US" w:eastAsia="zh-CN"/>
                <w14:textFill>
                  <w14:solidFill>
                    <w14:schemeClr w14:val="tx1"/>
                  </w14:solidFill>
                </w14:textFill>
              </w:rPr>
              <w:t>4、公众责任保险附加交叉责任保险（每次事故赔偿限额人民币500万元）</w:t>
            </w:r>
            <w:r>
              <w:rPr>
                <w:rFonts w:hint="eastAsia"/>
                <w:color w:val="000000" w:themeColor="text1"/>
                <w:lang w:val="en-US" w:eastAsia="zh-CN"/>
                <w14:textFill>
                  <w14:solidFill>
                    <w14:schemeClr w14:val="tx1"/>
                  </w14:solidFill>
                </w14:textFill>
              </w:rPr>
              <w:br w:type="textWrapping"/>
            </w:r>
            <w:r>
              <w:rPr>
                <w:rFonts w:hint="eastAsia"/>
                <w:color w:val="000000" w:themeColor="text1"/>
                <w:lang w:val="en-US" w:eastAsia="zh-CN"/>
                <w14:textFill>
                  <w14:solidFill>
                    <w14:schemeClr w14:val="tx1"/>
                  </w14:solidFill>
                </w14:textFill>
              </w:rPr>
              <w:t>5、公众责任保险附加意外事故污染责任保险（每次事故赔偿限额人民币500万元）</w:t>
            </w:r>
            <w:bookmarkStart w:id="0" w:name="_GoBack"/>
            <w:bookmarkEnd w:id="0"/>
            <w:r>
              <w:rPr>
                <w:rFonts w:hint="eastAsia"/>
                <w:color w:val="000000" w:themeColor="text1"/>
                <w:lang w:val="en-US" w:eastAsia="zh-CN"/>
                <w14:textFill>
                  <w14:solidFill>
                    <w14:schemeClr w14:val="tx1"/>
                  </w14:solidFill>
                </w14:textFill>
              </w:rPr>
              <w:br w:type="textWrapping"/>
            </w:r>
            <w:r>
              <w:rPr>
                <w:rFonts w:hint="eastAsia"/>
                <w:color w:val="000000" w:themeColor="text1"/>
                <w:lang w:val="en-US" w:eastAsia="zh-CN"/>
                <w14:textFill>
                  <w14:solidFill>
                    <w14:schemeClr w14:val="tx1"/>
                  </w14:solidFill>
                </w14:textFill>
              </w:rPr>
              <w:t>6、公众责任保险附加第三者人身侵害责任保险</w:t>
            </w:r>
            <w:r>
              <w:rPr>
                <w:rFonts w:hint="eastAsia"/>
                <w:color w:val="000000" w:themeColor="text1"/>
                <w:lang w:val="en-US" w:eastAsia="zh-CN"/>
                <w14:textFill>
                  <w14:solidFill>
                    <w14:schemeClr w14:val="tx1"/>
                  </w14:solidFill>
                </w14:textFill>
              </w:rPr>
              <w:br w:type="textWrapping"/>
            </w:r>
            <w:r>
              <w:rPr>
                <w:rFonts w:hint="eastAsia"/>
                <w:color w:val="000000" w:themeColor="text1"/>
                <w:lang w:val="en-US" w:eastAsia="zh-CN"/>
                <w14:textFill>
                  <w14:solidFill>
                    <w14:schemeClr w14:val="tx1"/>
                  </w14:solidFill>
                </w14:textFill>
              </w:rPr>
              <w:t>7、公众责任保险附加董事及高级管理人员个人第三者责任保险</w:t>
            </w:r>
            <w:r>
              <w:rPr>
                <w:rFonts w:hint="eastAsia"/>
                <w:color w:val="000000" w:themeColor="text1"/>
                <w:lang w:val="en-US" w:eastAsia="zh-CN"/>
                <w14:textFill>
                  <w14:solidFill>
                    <w14:schemeClr w14:val="tx1"/>
                  </w14:solidFill>
                </w14:textFill>
              </w:rPr>
              <w:br w:type="textWrapping"/>
            </w:r>
            <w:r>
              <w:rPr>
                <w:rFonts w:hint="eastAsia"/>
                <w:color w:val="000000" w:themeColor="text1"/>
                <w:lang w:val="en-US" w:eastAsia="zh-CN"/>
                <w14:textFill>
                  <w14:solidFill>
                    <w14:schemeClr w14:val="tx1"/>
                  </w14:solidFill>
                </w14:textFill>
              </w:rPr>
              <w:t>8、公众责任保险附加无过失责任保险</w:t>
            </w:r>
          </w:p>
        </w:tc>
      </w:tr>
    </w:tbl>
    <w:p>
      <w:pPr>
        <w:pStyle w:val="20"/>
        <w:ind w:left="0" w:leftChars="0" w:firstLine="0"/>
      </w:pPr>
    </w:p>
    <w:sectPr>
      <w:pgSz w:w="11906" w:h="16838"/>
      <w:pgMar w:top="1440" w:right="1800" w:bottom="1440" w:left="1800"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Microsoft JhengHei">
    <w:panose1 w:val="020B0604030504040204"/>
    <w:charset w:val="88"/>
    <w:family w:val="swiss"/>
    <w:pitch w:val="default"/>
    <w:sig w:usb0="000002A7" w:usb1="28CF4400" w:usb2="00000016" w:usb3="00000000" w:csb0="00100009"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560"/>
      <w:jc w:val="center"/>
    </w:pPr>
  </w:p>
  <w:p>
    <w:pPr>
      <w:pStyle w:val="13"/>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pPr>
                          <w:r>
                            <w:rPr>
                              <w:rFonts w:hint="eastAsia"/>
                            </w:rPr>
                            <w:t xml:space="preserve">第 </w:t>
                          </w:r>
                          <w:r>
                            <w:fldChar w:fldCharType="begin"/>
                          </w:r>
                          <w:r>
                            <w:instrText xml:space="preserve"> PAGE \* MERGEFORMAT </w:instrText>
                          </w:r>
                          <w:r>
                            <w:fldChar w:fldCharType="separate"/>
                          </w:r>
                          <w:r>
                            <w:t>2</w:t>
                          </w:r>
                          <w:r>
                            <w:fldChar w:fldCharType="end"/>
                          </w:r>
                          <w:r>
                            <w:rPr>
                              <w:rFonts w:hint="eastAsia"/>
                            </w:rPr>
                            <w:t xml:space="preserve"> 页 \ 共 </w:t>
                          </w:r>
                          <w:r>
                            <w:fldChar w:fldCharType="begin"/>
                          </w:r>
                          <w:r>
                            <w:instrText xml:space="preserve"> =</w:instrText>
                          </w:r>
                          <w:r>
                            <w:fldChar w:fldCharType="begin"/>
                          </w:r>
                          <w:r>
                            <w:instrText xml:space="preserve"> numpages </w:instrText>
                          </w:r>
                          <w:r>
                            <w:fldChar w:fldCharType="separate"/>
                          </w:r>
                          <w:r>
                            <w:instrText xml:space="preserve">11</w:instrText>
                          </w:r>
                          <w:r>
                            <w:fldChar w:fldCharType="end"/>
                          </w:r>
                          <w:r>
                            <w:instrText xml:space="preserve">-1 </w:instrText>
                          </w:r>
                          <w:r>
                            <w:fldChar w:fldCharType="separate"/>
                          </w:r>
                          <w:r>
                            <w:t>10</w:t>
                          </w:r>
                          <w:r>
                            <w:fldChar w:fldCharType="end"/>
                          </w:r>
                          <w: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pPr>
                      <w:pStyle w:val="13"/>
                    </w:pPr>
                    <w:r>
                      <w:rPr>
                        <w:rFonts w:hint="eastAsia"/>
                      </w:rPr>
                      <w:t xml:space="preserve">第 </w:t>
                    </w:r>
                    <w:r>
                      <w:fldChar w:fldCharType="begin"/>
                    </w:r>
                    <w:r>
                      <w:instrText xml:space="preserve"> PAGE \* MERGEFORMAT </w:instrText>
                    </w:r>
                    <w:r>
                      <w:fldChar w:fldCharType="separate"/>
                    </w:r>
                    <w:r>
                      <w:t>2</w:t>
                    </w:r>
                    <w:r>
                      <w:fldChar w:fldCharType="end"/>
                    </w:r>
                    <w:r>
                      <w:rPr>
                        <w:rFonts w:hint="eastAsia"/>
                      </w:rPr>
                      <w:t xml:space="preserve"> 页 \ 共 </w:t>
                    </w:r>
                    <w:r>
                      <w:fldChar w:fldCharType="begin"/>
                    </w:r>
                    <w:r>
                      <w:instrText xml:space="preserve"> =</w:instrText>
                    </w:r>
                    <w:r>
                      <w:fldChar w:fldCharType="begin"/>
                    </w:r>
                    <w:r>
                      <w:instrText xml:space="preserve"> numpages </w:instrText>
                    </w:r>
                    <w:r>
                      <w:fldChar w:fldCharType="separate"/>
                    </w:r>
                    <w:r>
                      <w:instrText xml:space="preserve">11</w:instrText>
                    </w:r>
                    <w:r>
                      <w:fldChar w:fldCharType="end"/>
                    </w:r>
                    <w:r>
                      <w:instrText xml:space="preserve">-1 </w:instrText>
                    </w:r>
                    <w:r>
                      <w:fldChar w:fldCharType="separate"/>
                    </w:r>
                    <w:r>
                      <w:t>10</w:t>
                    </w:r>
                    <w:r>
                      <w:fldChar w:fldCharType="end"/>
                    </w:r>
                    <w:r>
                      <w:t xml:space="preserve"> </w:t>
                    </w:r>
                    <w:r>
                      <w:rPr>
                        <w:rFonts w:hint="eastAsia"/>
                      </w:rPr>
                      <w:t>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3365CF"/>
    <w:multiLevelType w:val="singleLevel"/>
    <w:tmpl w:val="843365CF"/>
    <w:lvl w:ilvl="0" w:tentative="0">
      <w:start w:val="1"/>
      <w:numFmt w:val="decimal"/>
      <w:suff w:val="nothing"/>
      <w:lvlText w:val="%1、"/>
      <w:lvlJc w:val="left"/>
      <w:rPr>
        <w:rFonts w:hint="default"/>
        <w:color w:val="000000" w:themeColor="text1"/>
        <w14:textFill>
          <w14:solidFill>
            <w14:schemeClr w14:val="tx1"/>
          </w14:solidFill>
        </w14:textFill>
      </w:rPr>
    </w:lvl>
  </w:abstractNum>
  <w:abstractNum w:abstractNumId="1">
    <w:nsid w:val="9A9267BE"/>
    <w:multiLevelType w:val="singleLevel"/>
    <w:tmpl w:val="9A9267BE"/>
    <w:lvl w:ilvl="0" w:tentative="0">
      <w:start w:val="1"/>
      <w:numFmt w:val="decimal"/>
      <w:suff w:val="nothing"/>
      <w:lvlText w:val="%1、"/>
      <w:lvlJc w:val="left"/>
      <w:rPr>
        <w:rFonts w:hint="default"/>
        <w:color w:val="000000" w:themeColor="text1"/>
        <w14:textFill>
          <w14:solidFill>
            <w14:schemeClr w14:val="tx1"/>
          </w14:solidFill>
        </w14:textFill>
      </w:rPr>
    </w:lvl>
  </w:abstractNum>
  <w:abstractNum w:abstractNumId="2">
    <w:nsid w:val="A0C48EDA"/>
    <w:multiLevelType w:val="singleLevel"/>
    <w:tmpl w:val="A0C48EDA"/>
    <w:lvl w:ilvl="0" w:tentative="0">
      <w:start w:val="1"/>
      <w:numFmt w:val="chineseCounting"/>
      <w:suff w:val="nothing"/>
      <w:lvlText w:val="%1、"/>
      <w:lvlJc w:val="left"/>
      <w:pPr>
        <w:ind w:left="0" w:firstLine="420"/>
      </w:pPr>
      <w:rPr>
        <w:rFonts w:hint="eastAsia"/>
      </w:rPr>
    </w:lvl>
  </w:abstractNum>
  <w:abstractNum w:abstractNumId="3">
    <w:nsid w:val="B6502A50"/>
    <w:multiLevelType w:val="singleLevel"/>
    <w:tmpl w:val="B6502A50"/>
    <w:lvl w:ilvl="0" w:tentative="0">
      <w:start w:val="1"/>
      <w:numFmt w:val="decimal"/>
      <w:suff w:val="nothing"/>
      <w:lvlText w:val="%1、"/>
      <w:lvlJc w:val="left"/>
      <w:rPr>
        <w:rFonts w:hint="default"/>
        <w:color w:val="000000" w:themeColor="text1"/>
        <w14:textFill>
          <w14:solidFill>
            <w14:schemeClr w14:val="tx1"/>
          </w14:solidFill>
        </w14:textFill>
      </w:rPr>
    </w:lvl>
  </w:abstractNum>
  <w:abstractNum w:abstractNumId="4">
    <w:nsid w:val="C21F6AD7"/>
    <w:multiLevelType w:val="singleLevel"/>
    <w:tmpl w:val="C21F6AD7"/>
    <w:lvl w:ilvl="0" w:tentative="0">
      <w:start w:val="1"/>
      <w:numFmt w:val="decimal"/>
      <w:suff w:val="nothing"/>
      <w:lvlText w:val="%1、"/>
      <w:lvlJc w:val="left"/>
      <w:rPr>
        <w:rFonts w:hint="default"/>
        <w:color w:val="000000" w:themeColor="text1"/>
        <w14:textFill>
          <w14:solidFill>
            <w14:schemeClr w14:val="tx1"/>
          </w14:solidFill>
        </w14:textFill>
      </w:rPr>
    </w:lvl>
  </w:abstractNum>
  <w:abstractNum w:abstractNumId="5">
    <w:nsid w:val="D61BA1AE"/>
    <w:multiLevelType w:val="singleLevel"/>
    <w:tmpl w:val="D61BA1AE"/>
    <w:lvl w:ilvl="0" w:tentative="0">
      <w:start w:val="1"/>
      <w:numFmt w:val="decimal"/>
      <w:suff w:val="nothing"/>
      <w:lvlText w:val="%1、"/>
      <w:lvlJc w:val="left"/>
      <w:rPr>
        <w:rFonts w:hint="default"/>
        <w:color w:val="000000" w:themeColor="text1"/>
        <w14:textFill>
          <w14:solidFill>
            <w14:schemeClr w14:val="tx1"/>
          </w14:solidFill>
        </w14:textFill>
      </w:rPr>
    </w:lvl>
  </w:abstractNum>
  <w:abstractNum w:abstractNumId="6">
    <w:nsid w:val="E9819119"/>
    <w:multiLevelType w:val="singleLevel"/>
    <w:tmpl w:val="E9819119"/>
    <w:lvl w:ilvl="0" w:tentative="0">
      <w:start w:val="1"/>
      <w:numFmt w:val="decimal"/>
      <w:lvlText w:val="%1."/>
      <w:lvlJc w:val="left"/>
      <w:pPr>
        <w:ind w:left="425" w:hanging="425"/>
      </w:pPr>
      <w:rPr>
        <w:rFonts w:hint="default"/>
        <w:color w:val="000000" w:themeColor="text1"/>
        <w14:textFill>
          <w14:solidFill>
            <w14:schemeClr w14:val="tx1"/>
          </w14:solidFill>
        </w14:textFill>
      </w:rPr>
    </w:lvl>
  </w:abstractNum>
  <w:abstractNum w:abstractNumId="7">
    <w:nsid w:val="FA02F2AD"/>
    <w:multiLevelType w:val="singleLevel"/>
    <w:tmpl w:val="FA02F2AD"/>
    <w:lvl w:ilvl="0" w:tentative="0">
      <w:start w:val="1"/>
      <w:numFmt w:val="decimal"/>
      <w:suff w:val="nothing"/>
      <w:lvlText w:val="%1、"/>
      <w:lvlJc w:val="left"/>
      <w:rPr>
        <w:rFonts w:hint="default"/>
        <w:color w:val="000000" w:themeColor="text1"/>
        <w14:textFill>
          <w14:solidFill>
            <w14:schemeClr w14:val="tx1"/>
          </w14:solidFill>
        </w14:textFill>
      </w:rPr>
    </w:lvl>
  </w:abstractNum>
  <w:abstractNum w:abstractNumId="8">
    <w:nsid w:val="3F56AFA5"/>
    <w:multiLevelType w:val="singleLevel"/>
    <w:tmpl w:val="3F56AFA5"/>
    <w:lvl w:ilvl="0" w:tentative="0">
      <w:start w:val="1"/>
      <w:numFmt w:val="decimal"/>
      <w:pStyle w:val="27"/>
      <w:lvlText w:val="%1."/>
      <w:lvlJc w:val="left"/>
      <w:pPr>
        <w:ind w:left="425" w:hanging="425"/>
      </w:pPr>
      <w:rPr>
        <w:rFonts w:hint="default"/>
        <w:b w:val="0"/>
        <w:bCs w:val="0"/>
        <w:color w:val="000000" w:themeColor="text1"/>
        <w14:textFill>
          <w14:solidFill>
            <w14:schemeClr w14:val="tx1"/>
          </w14:solidFill>
        </w14:textFill>
      </w:rPr>
    </w:lvl>
  </w:abstractNum>
  <w:abstractNum w:abstractNumId="9">
    <w:nsid w:val="4B8D697E"/>
    <w:multiLevelType w:val="singleLevel"/>
    <w:tmpl w:val="4B8D697E"/>
    <w:lvl w:ilvl="0" w:tentative="0">
      <w:start w:val="1"/>
      <w:numFmt w:val="decimal"/>
      <w:suff w:val="nothing"/>
      <w:lvlText w:val="%1、"/>
      <w:lvlJc w:val="left"/>
      <w:rPr>
        <w:rFonts w:hint="default"/>
        <w:color w:val="000000" w:themeColor="text1"/>
        <w14:textFill>
          <w14:solidFill>
            <w14:schemeClr w14:val="tx1"/>
          </w14:solidFill>
        </w14:textFill>
      </w:rPr>
    </w:lvl>
  </w:abstractNum>
  <w:abstractNum w:abstractNumId="10">
    <w:nsid w:val="58A07144"/>
    <w:multiLevelType w:val="singleLevel"/>
    <w:tmpl w:val="58A07144"/>
    <w:lvl w:ilvl="0" w:tentative="0">
      <w:start w:val="1"/>
      <w:numFmt w:val="decimal"/>
      <w:suff w:val="nothing"/>
      <w:lvlText w:val="%1、"/>
      <w:lvlJc w:val="left"/>
      <w:rPr>
        <w:rFonts w:hint="default"/>
        <w:color w:val="000000" w:themeColor="text1"/>
        <w14:textFill>
          <w14:solidFill>
            <w14:schemeClr w14:val="tx1"/>
          </w14:solidFill>
        </w14:textFill>
      </w:rPr>
    </w:lvl>
  </w:abstractNum>
  <w:abstractNum w:abstractNumId="11">
    <w:nsid w:val="642F1C80"/>
    <w:multiLevelType w:val="singleLevel"/>
    <w:tmpl w:val="642F1C80"/>
    <w:lvl w:ilvl="0" w:tentative="0">
      <w:start w:val="1"/>
      <w:numFmt w:val="decimal"/>
      <w:suff w:val="nothing"/>
      <w:lvlText w:val="%1、"/>
      <w:lvlJc w:val="left"/>
      <w:rPr>
        <w:rFonts w:hint="default"/>
        <w:color w:val="000000" w:themeColor="text1"/>
        <w14:textFill>
          <w14:solidFill>
            <w14:schemeClr w14:val="tx1"/>
          </w14:solidFill>
        </w14:textFill>
      </w:rPr>
    </w:lvl>
  </w:abstractNum>
  <w:num w:numId="1">
    <w:abstractNumId w:val="8"/>
  </w:num>
  <w:num w:numId="2">
    <w:abstractNumId w:val="2"/>
  </w:num>
  <w:num w:numId="3">
    <w:abstractNumId w:val="7"/>
  </w:num>
  <w:num w:numId="4">
    <w:abstractNumId w:val="3"/>
  </w:num>
  <w:num w:numId="5">
    <w:abstractNumId w:val="9"/>
  </w:num>
  <w:num w:numId="6">
    <w:abstractNumId w:val="5"/>
  </w:num>
  <w:num w:numId="7">
    <w:abstractNumId w:val="11"/>
  </w:num>
  <w:num w:numId="8">
    <w:abstractNumId w:val="6"/>
  </w:num>
  <w:num w:numId="9">
    <w:abstractNumId w:val="0"/>
  </w:num>
  <w:num w:numId="10">
    <w:abstractNumId w:val="1"/>
  </w:num>
  <w:num w:numId="11">
    <w:abstractNumId w:val="4"/>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RhZGJkNDQwZWNjNDFjMjBhYjU1NzM2OWZkOTI3OTgifQ=="/>
  </w:docVars>
  <w:rsids>
    <w:rsidRoot w:val="00A95EC0"/>
    <w:rsid w:val="000F1926"/>
    <w:rsid w:val="002515F6"/>
    <w:rsid w:val="00387C6B"/>
    <w:rsid w:val="003C3563"/>
    <w:rsid w:val="00776AAF"/>
    <w:rsid w:val="008D5A78"/>
    <w:rsid w:val="00A939B7"/>
    <w:rsid w:val="00A95EC0"/>
    <w:rsid w:val="00CA6B5B"/>
    <w:rsid w:val="00D03B86"/>
    <w:rsid w:val="00D05E0C"/>
    <w:rsid w:val="00D95295"/>
    <w:rsid w:val="00F73E22"/>
    <w:rsid w:val="01017FB5"/>
    <w:rsid w:val="013E5A33"/>
    <w:rsid w:val="01B779D9"/>
    <w:rsid w:val="01F34FBF"/>
    <w:rsid w:val="020134F6"/>
    <w:rsid w:val="020E4C47"/>
    <w:rsid w:val="02640146"/>
    <w:rsid w:val="02756264"/>
    <w:rsid w:val="027E29A5"/>
    <w:rsid w:val="029A47EC"/>
    <w:rsid w:val="02C42045"/>
    <w:rsid w:val="02DF2912"/>
    <w:rsid w:val="02EC0514"/>
    <w:rsid w:val="030A403F"/>
    <w:rsid w:val="0364372E"/>
    <w:rsid w:val="039F0765"/>
    <w:rsid w:val="03AE3097"/>
    <w:rsid w:val="03EA2EFC"/>
    <w:rsid w:val="03EC63FF"/>
    <w:rsid w:val="040E657C"/>
    <w:rsid w:val="04154986"/>
    <w:rsid w:val="04336DBD"/>
    <w:rsid w:val="04C44DDD"/>
    <w:rsid w:val="04D055BA"/>
    <w:rsid w:val="04F76435"/>
    <w:rsid w:val="05176BDE"/>
    <w:rsid w:val="05750484"/>
    <w:rsid w:val="05C71FA7"/>
    <w:rsid w:val="05DC0DD7"/>
    <w:rsid w:val="05DD4469"/>
    <w:rsid w:val="05F0383D"/>
    <w:rsid w:val="06805C4E"/>
    <w:rsid w:val="068A5B0F"/>
    <w:rsid w:val="06BC5A81"/>
    <w:rsid w:val="0722013F"/>
    <w:rsid w:val="076808B4"/>
    <w:rsid w:val="07D8540A"/>
    <w:rsid w:val="08273270"/>
    <w:rsid w:val="08A03E34"/>
    <w:rsid w:val="08E9332E"/>
    <w:rsid w:val="093C2007"/>
    <w:rsid w:val="09D0027E"/>
    <w:rsid w:val="09DC1D0D"/>
    <w:rsid w:val="09F73380"/>
    <w:rsid w:val="09FF7E17"/>
    <w:rsid w:val="0A06755F"/>
    <w:rsid w:val="0A197F04"/>
    <w:rsid w:val="0A4669AA"/>
    <w:rsid w:val="0A595171"/>
    <w:rsid w:val="0A6854C4"/>
    <w:rsid w:val="0AB54FE3"/>
    <w:rsid w:val="0B1411F9"/>
    <w:rsid w:val="0B1C785F"/>
    <w:rsid w:val="0B240C0C"/>
    <w:rsid w:val="0B724F56"/>
    <w:rsid w:val="0B7329D8"/>
    <w:rsid w:val="0B9909DD"/>
    <w:rsid w:val="0BA231F9"/>
    <w:rsid w:val="0BBE4B7C"/>
    <w:rsid w:val="0BCB3067"/>
    <w:rsid w:val="0BE07789"/>
    <w:rsid w:val="0BEE02D9"/>
    <w:rsid w:val="0C100E63"/>
    <w:rsid w:val="0C5E2FF1"/>
    <w:rsid w:val="0C663265"/>
    <w:rsid w:val="0C897FA2"/>
    <w:rsid w:val="0CB2012F"/>
    <w:rsid w:val="0CD70C8A"/>
    <w:rsid w:val="0CE81364"/>
    <w:rsid w:val="0CEF1ADF"/>
    <w:rsid w:val="0D082D43"/>
    <w:rsid w:val="0D864FAD"/>
    <w:rsid w:val="0DB13287"/>
    <w:rsid w:val="0EE0601A"/>
    <w:rsid w:val="0F00480E"/>
    <w:rsid w:val="0F276507"/>
    <w:rsid w:val="0F4C210A"/>
    <w:rsid w:val="0F562964"/>
    <w:rsid w:val="0F826CA8"/>
    <w:rsid w:val="0F9F2C4F"/>
    <w:rsid w:val="0FB107CE"/>
    <w:rsid w:val="0FB66E54"/>
    <w:rsid w:val="0FD932B8"/>
    <w:rsid w:val="0FFC7994"/>
    <w:rsid w:val="10142A71"/>
    <w:rsid w:val="105D2504"/>
    <w:rsid w:val="10920C6C"/>
    <w:rsid w:val="10EE21C3"/>
    <w:rsid w:val="115E5F0B"/>
    <w:rsid w:val="11717BFF"/>
    <w:rsid w:val="11A76E76"/>
    <w:rsid w:val="11D351A7"/>
    <w:rsid w:val="11F500D5"/>
    <w:rsid w:val="120C4DAA"/>
    <w:rsid w:val="12234768"/>
    <w:rsid w:val="12247721"/>
    <w:rsid w:val="122A1B26"/>
    <w:rsid w:val="123F412E"/>
    <w:rsid w:val="12464E3E"/>
    <w:rsid w:val="126614AA"/>
    <w:rsid w:val="129763BC"/>
    <w:rsid w:val="12AE6B32"/>
    <w:rsid w:val="12C87390"/>
    <w:rsid w:val="12DE5A77"/>
    <w:rsid w:val="130F285F"/>
    <w:rsid w:val="13155AB7"/>
    <w:rsid w:val="13203BF8"/>
    <w:rsid w:val="13584DCD"/>
    <w:rsid w:val="13A01CAC"/>
    <w:rsid w:val="13B0563C"/>
    <w:rsid w:val="13B26760"/>
    <w:rsid w:val="13B54854"/>
    <w:rsid w:val="144D471F"/>
    <w:rsid w:val="146156BC"/>
    <w:rsid w:val="147E7347"/>
    <w:rsid w:val="149C1E0F"/>
    <w:rsid w:val="14B0757C"/>
    <w:rsid w:val="14E46170"/>
    <w:rsid w:val="15DF1566"/>
    <w:rsid w:val="15F06EF0"/>
    <w:rsid w:val="17035E9F"/>
    <w:rsid w:val="172614BC"/>
    <w:rsid w:val="176F3141"/>
    <w:rsid w:val="177E7B6A"/>
    <w:rsid w:val="17DE0D84"/>
    <w:rsid w:val="180F3AEF"/>
    <w:rsid w:val="187B13C6"/>
    <w:rsid w:val="18856299"/>
    <w:rsid w:val="18A51F2B"/>
    <w:rsid w:val="18D17E85"/>
    <w:rsid w:val="18DA72A7"/>
    <w:rsid w:val="190B378E"/>
    <w:rsid w:val="19166537"/>
    <w:rsid w:val="194B570C"/>
    <w:rsid w:val="195A37C0"/>
    <w:rsid w:val="197A7E75"/>
    <w:rsid w:val="19993FDF"/>
    <w:rsid w:val="19EA4D01"/>
    <w:rsid w:val="1A17678E"/>
    <w:rsid w:val="1A2950FA"/>
    <w:rsid w:val="1A447D83"/>
    <w:rsid w:val="1A4C041A"/>
    <w:rsid w:val="1A4E2C4E"/>
    <w:rsid w:val="1A6F4CB9"/>
    <w:rsid w:val="1A9966B3"/>
    <w:rsid w:val="1AC92D98"/>
    <w:rsid w:val="1AD34E44"/>
    <w:rsid w:val="1B1062F2"/>
    <w:rsid w:val="1B1E4952"/>
    <w:rsid w:val="1B4310CA"/>
    <w:rsid w:val="1B557AF8"/>
    <w:rsid w:val="1B951DCE"/>
    <w:rsid w:val="1C282642"/>
    <w:rsid w:val="1C326290"/>
    <w:rsid w:val="1C791147"/>
    <w:rsid w:val="1C92426F"/>
    <w:rsid w:val="1CAB3B14"/>
    <w:rsid w:val="1CB7360E"/>
    <w:rsid w:val="1CCD05BB"/>
    <w:rsid w:val="1CDC7B67"/>
    <w:rsid w:val="1CEE1164"/>
    <w:rsid w:val="1CFF3EEB"/>
    <w:rsid w:val="1D0C6137"/>
    <w:rsid w:val="1D166A47"/>
    <w:rsid w:val="1D2E40EE"/>
    <w:rsid w:val="1D714AF2"/>
    <w:rsid w:val="1DFBFDC3"/>
    <w:rsid w:val="1E305C7A"/>
    <w:rsid w:val="1EAD4A31"/>
    <w:rsid w:val="1F3C6914"/>
    <w:rsid w:val="1F581FEC"/>
    <w:rsid w:val="1F655993"/>
    <w:rsid w:val="1F8D4ED2"/>
    <w:rsid w:val="1FF361DA"/>
    <w:rsid w:val="2043117D"/>
    <w:rsid w:val="20876C71"/>
    <w:rsid w:val="2112725A"/>
    <w:rsid w:val="21596959"/>
    <w:rsid w:val="21775CF7"/>
    <w:rsid w:val="21855725"/>
    <w:rsid w:val="219D3366"/>
    <w:rsid w:val="21A53343"/>
    <w:rsid w:val="21C173F0"/>
    <w:rsid w:val="21C7641A"/>
    <w:rsid w:val="21ED5BF4"/>
    <w:rsid w:val="21F44012"/>
    <w:rsid w:val="222E099D"/>
    <w:rsid w:val="225A40A6"/>
    <w:rsid w:val="22F464E8"/>
    <w:rsid w:val="230E380E"/>
    <w:rsid w:val="233A52F5"/>
    <w:rsid w:val="235D2694"/>
    <w:rsid w:val="237830E2"/>
    <w:rsid w:val="23BB04AF"/>
    <w:rsid w:val="23E54EA9"/>
    <w:rsid w:val="240901AB"/>
    <w:rsid w:val="240D222E"/>
    <w:rsid w:val="24683E4B"/>
    <w:rsid w:val="24A55EAE"/>
    <w:rsid w:val="24E76A0D"/>
    <w:rsid w:val="2546669D"/>
    <w:rsid w:val="25587502"/>
    <w:rsid w:val="25854F49"/>
    <w:rsid w:val="258C4EA7"/>
    <w:rsid w:val="25EF714A"/>
    <w:rsid w:val="25F66AD5"/>
    <w:rsid w:val="26405C4F"/>
    <w:rsid w:val="26847C73"/>
    <w:rsid w:val="268F1252"/>
    <w:rsid w:val="26D63BC5"/>
    <w:rsid w:val="27005585"/>
    <w:rsid w:val="27716366"/>
    <w:rsid w:val="27B71780"/>
    <w:rsid w:val="27D946EC"/>
    <w:rsid w:val="27E806D5"/>
    <w:rsid w:val="28357004"/>
    <w:rsid w:val="28656FFC"/>
    <w:rsid w:val="28700CDE"/>
    <w:rsid w:val="289F0C32"/>
    <w:rsid w:val="28AE59C9"/>
    <w:rsid w:val="2900512A"/>
    <w:rsid w:val="293A46B3"/>
    <w:rsid w:val="29421AC0"/>
    <w:rsid w:val="29583FB4"/>
    <w:rsid w:val="29620C42"/>
    <w:rsid w:val="296944DE"/>
    <w:rsid w:val="29A10DE1"/>
    <w:rsid w:val="2A093A87"/>
    <w:rsid w:val="2A376DEC"/>
    <w:rsid w:val="2A3B1CD8"/>
    <w:rsid w:val="2A505038"/>
    <w:rsid w:val="2AA2189F"/>
    <w:rsid w:val="2B1D22CA"/>
    <w:rsid w:val="2B3A1BFB"/>
    <w:rsid w:val="2B582D97"/>
    <w:rsid w:val="2B6D6618"/>
    <w:rsid w:val="2B7F6D91"/>
    <w:rsid w:val="2BBC55BB"/>
    <w:rsid w:val="2BD23073"/>
    <w:rsid w:val="2BDB79C9"/>
    <w:rsid w:val="2BFD51BC"/>
    <w:rsid w:val="2C7460FF"/>
    <w:rsid w:val="2C753B81"/>
    <w:rsid w:val="2C983D35"/>
    <w:rsid w:val="2CAE687E"/>
    <w:rsid w:val="2CD5741D"/>
    <w:rsid w:val="2CDA6D3A"/>
    <w:rsid w:val="2D022062"/>
    <w:rsid w:val="2D315959"/>
    <w:rsid w:val="2D5629F9"/>
    <w:rsid w:val="2D832A39"/>
    <w:rsid w:val="2DB609B3"/>
    <w:rsid w:val="2DCB2E2D"/>
    <w:rsid w:val="2DD072B5"/>
    <w:rsid w:val="2E40666F"/>
    <w:rsid w:val="2E6B07B8"/>
    <w:rsid w:val="2EA5203E"/>
    <w:rsid w:val="2EFD44A4"/>
    <w:rsid w:val="2EFE22BE"/>
    <w:rsid w:val="2F0A52E6"/>
    <w:rsid w:val="2F5856F4"/>
    <w:rsid w:val="302C7114"/>
    <w:rsid w:val="307305E8"/>
    <w:rsid w:val="309E11B0"/>
    <w:rsid w:val="30D8296F"/>
    <w:rsid w:val="313D1E3A"/>
    <w:rsid w:val="31482A93"/>
    <w:rsid w:val="314F4B38"/>
    <w:rsid w:val="31666628"/>
    <w:rsid w:val="31CD20C4"/>
    <w:rsid w:val="32121533"/>
    <w:rsid w:val="323B59A2"/>
    <w:rsid w:val="325E612F"/>
    <w:rsid w:val="326D3EB5"/>
    <w:rsid w:val="32CE54EA"/>
    <w:rsid w:val="32D86E66"/>
    <w:rsid w:val="32ED7F9D"/>
    <w:rsid w:val="330D0A76"/>
    <w:rsid w:val="331577B1"/>
    <w:rsid w:val="331F2E75"/>
    <w:rsid w:val="334F39D5"/>
    <w:rsid w:val="33541C4A"/>
    <w:rsid w:val="33991811"/>
    <w:rsid w:val="33B52879"/>
    <w:rsid w:val="34630F1A"/>
    <w:rsid w:val="34A42225"/>
    <w:rsid w:val="34A634BD"/>
    <w:rsid w:val="34DA0BF7"/>
    <w:rsid w:val="34F02DEC"/>
    <w:rsid w:val="354808D2"/>
    <w:rsid w:val="356658F1"/>
    <w:rsid w:val="35C054BC"/>
    <w:rsid w:val="360833DF"/>
    <w:rsid w:val="36315202"/>
    <w:rsid w:val="36724CC2"/>
    <w:rsid w:val="36D77A12"/>
    <w:rsid w:val="36DC01E8"/>
    <w:rsid w:val="372C3815"/>
    <w:rsid w:val="37AA2C03"/>
    <w:rsid w:val="37D747A3"/>
    <w:rsid w:val="37FF2C80"/>
    <w:rsid w:val="389B732F"/>
    <w:rsid w:val="389E2ED7"/>
    <w:rsid w:val="38A04DB5"/>
    <w:rsid w:val="38F10A22"/>
    <w:rsid w:val="38F31AFC"/>
    <w:rsid w:val="3920332C"/>
    <w:rsid w:val="394013CF"/>
    <w:rsid w:val="39782EA9"/>
    <w:rsid w:val="39900A80"/>
    <w:rsid w:val="3992765E"/>
    <w:rsid w:val="39956483"/>
    <w:rsid w:val="3A0D1385"/>
    <w:rsid w:val="3A1122D3"/>
    <w:rsid w:val="3A5E3604"/>
    <w:rsid w:val="3AE55B2F"/>
    <w:rsid w:val="3B4B0235"/>
    <w:rsid w:val="3B725C22"/>
    <w:rsid w:val="3B926F4C"/>
    <w:rsid w:val="3B936E97"/>
    <w:rsid w:val="3C2506B9"/>
    <w:rsid w:val="3C4A068D"/>
    <w:rsid w:val="3C780106"/>
    <w:rsid w:val="3CF30821"/>
    <w:rsid w:val="3D070254"/>
    <w:rsid w:val="3D5001A7"/>
    <w:rsid w:val="3D647253"/>
    <w:rsid w:val="3D712EC0"/>
    <w:rsid w:val="3D7E60CE"/>
    <w:rsid w:val="3D9875C9"/>
    <w:rsid w:val="3DB35EA6"/>
    <w:rsid w:val="3DB835A6"/>
    <w:rsid w:val="3DF70654"/>
    <w:rsid w:val="3E0074A7"/>
    <w:rsid w:val="3E057CD0"/>
    <w:rsid w:val="3E0D47FE"/>
    <w:rsid w:val="3E104D62"/>
    <w:rsid w:val="3E4C07C1"/>
    <w:rsid w:val="3E833A1C"/>
    <w:rsid w:val="3EB7468B"/>
    <w:rsid w:val="3F2D1CB6"/>
    <w:rsid w:val="3F540410"/>
    <w:rsid w:val="3F5C41C8"/>
    <w:rsid w:val="3F5E1222"/>
    <w:rsid w:val="403779FC"/>
    <w:rsid w:val="40576ADD"/>
    <w:rsid w:val="405979E7"/>
    <w:rsid w:val="40C44283"/>
    <w:rsid w:val="40E83499"/>
    <w:rsid w:val="40FC2074"/>
    <w:rsid w:val="40FD2315"/>
    <w:rsid w:val="41087C9E"/>
    <w:rsid w:val="41184CDA"/>
    <w:rsid w:val="42004812"/>
    <w:rsid w:val="42143C78"/>
    <w:rsid w:val="422D2835"/>
    <w:rsid w:val="4232397A"/>
    <w:rsid w:val="429A0ACF"/>
    <w:rsid w:val="42E17B48"/>
    <w:rsid w:val="42F57A31"/>
    <w:rsid w:val="432D6B81"/>
    <w:rsid w:val="435B4C6C"/>
    <w:rsid w:val="436E5A51"/>
    <w:rsid w:val="439D2BEB"/>
    <w:rsid w:val="43D37D6C"/>
    <w:rsid w:val="44310994"/>
    <w:rsid w:val="44516A87"/>
    <w:rsid w:val="44A25670"/>
    <w:rsid w:val="44F617B2"/>
    <w:rsid w:val="4583011C"/>
    <w:rsid w:val="458441C7"/>
    <w:rsid w:val="458C2D7C"/>
    <w:rsid w:val="45953444"/>
    <w:rsid w:val="46153AB0"/>
    <w:rsid w:val="46162F6F"/>
    <w:rsid w:val="46DD5122"/>
    <w:rsid w:val="46E95465"/>
    <w:rsid w:val="46EE3AEB"/>
    <w:rsid w:val="47024846"/>
    <w:rsid w:val="473E03F2"/>
    <w:rsid w:val="475A0C1C"/>
    <w:rsid w:val="476C7D0C"/>
    <w:rsid w:val="476E21A5"/>
    <w:rsid w:val="4790133B"/>
    <w:rsid w:val="47C307BC"/>
    <w:rsid w:val="47C5042F"/>
    <w:rsid w:val="47D927EF"/>
    <w:rsid w:val="47DE1803"/>
    <w:rsid w:val="47EC180F"/>
    <w:rsid w:val="48077E3B"/>
    <w:rsid w:val="480E0C56"/>
    <w:rsid w:val="48B70E3F"/>
    <w:rsid w:val="493A36B0"/>
    <w:rsid w:val="493E5939"/>
    <w:rsid w:val="49B22075"/>
    <w:rsid w:val="49B37AF6"/>
    <w:rsid w:val="4A393C30"/>
    <w:rsid w:val="4A3D0831"/>
    <w:rsid w:val="4A8345D8"/>
    <w:rsid w:val="4AA04C39"/>
    <w:rsid w:val="4B1E683D"/>
    <w:rsid w:val="4B477F0D"/>
    <w:rsid w:val="4B4A2F35"/>
    <w:rsid w:val="4B4F1A19"/>
    <w:rsid w:val="4B5C3E27"/>
    <w:rsid w:val="4BC60300"/>
    <w:rsid w:val="4BF81888"/>
    <w:rsid w:val="4C694B6C"/>
    <w:rsid w:val="4C6F2B63"/>
    <w:rsid w:val="4CBB0D0C"/>
    <w:rsid w:val="4CED3AC0"/>
    <w:rsid w:val="4CF04DD5"/>
    <w:rsid w:val="4D3D03C8"/>
    <w:rsid w:val="4D4B12BA"/>
    <w:rsid w:val="4D7F6B60"/>
    <w:rsid w:val="4DBA1420"/>
    <w:rsid w:val="4DC04E9E"/>
    <w:rsid w:val="4E0F0B49"/>
    <w:rsid w:val="4E146DA6"/>
    <w:rsid w:val="4E152629"/>
    <w:rsid w:val="4E447B0E"/>
    <w:rsid w:val="4E506F8B"/>
    <w:rsid w:val="4E6C4ECC"/>
    <w:rsid w:val="4E733E11"/>
    <w:rsid w:val="4E853BE2"/>
    <w:rsid w:val="4E9142C1"/>
    <w:rsid w:val="4E996E58"/>
    <w:rsid w:val="4ECB68D5"/>
    <w:rsid w:val="4EDA48FF"/>
    <w:rsid w:val="4EE6167D"/>
    <w:rsid w:val="4EEC1008"/>
    <w:rsid w:val="4F170F52"/>
    <w:rsid w:val="4F422705"/>
    <w:rsid w:val="4F433488"/>
    <w:rsid w:val="4F6B5159"/>
    <w:rsid w:val="4F711151"/>
    <w:rsid w:val="4FA07BB2"/>
    <w:rsid w:val="4FA253B3"/>
    <w:rsid w:val="4FB35F2B"/>
    <w:rsid w:val="4FCA4258"/>
    <w:rsid w:val="4FDC2C97"/>
    <w:rsid w:val="50B618F8"/>
    <w:rsid w:val="50E124C9"/>
    <w:rsid w:val="50E56BC4"/>
    <w:rsid w:val="51313B46"/>
    <w:rsid w:val="51F27101"/>
    <w:rsid w:val="52152B39"/>
    <w:rsid w:val="52225A65"/>
    <w:rsid w:val="525C54AC"/>
    <w:rsid w:val="52766056"/>
    <w:rsid w:val="52F41359"/>
    <w:rsid w:val="53211D72"/>
    <w:rsid w:val="53310FA1"/>
    <w:rsid w:val="53BB1C6B"/>
    <w:rsid w:val="53E83D39"/>
    <w:rsid w:val="540A2916"/>
    <w:rsid w:val="54176ACC"/>
    <w:rsid w:val="545E3978"/>
    <w:rsid w:val="54961EB4"/>
    <w:rsid w:val="54C25C1B"/>
    <w:rsid w:val="54C97D2C"/>
    <w:rsid w:val="550020EE"/>
    <w:rsid w:val="550F3292"/>
    <w:rsid w:val="551C4AFD"/>
    <w:rsid w:val="557C414F"/>
    <w:rsid w:val="55B15523"/>
    <w:rsid w:val="55E03E74"/>
    <w:rsid w:val="562059F2"/>
    <w:rsid w:val="56493019"/>
    <w:rsid w:val="56553E33"/>
    <w:rsid w:val="569D1B97"/>
    <w:rsid w:val="56A83D82"/>
    <w:rsid w:val="56AB4841"/>
    <w:rsid w:val="56BE4E46"/>
    <w:rsid w:val="56D774FE"/>
    <w:rsid w:val="57077481"/>
    <w:rsid w:val="5725734D"/>
    <w:rsid w:val="57553D15"/>
    <w:rsid w:val="57816CD0"/>
    <w:rsid w:val="57B30791"/>
    <w:rsid w:val="57CF2661"/>
    <w:rsid w:val="580A43FE"/>
    <w:rsid w:val="58352C42"/>
    <w:rsid w:val="58425A16"/>
    <w:rsid w:val="584D2475"/>
    <w:rsid w:val="58B15E90"/>
    <w:rsid w:val="58F3217D"/>
    <w:rsid w:val="59972C8B"/>
    <w:rsid w:val="5999618E"/>
    <w:rsid w:val="59AE4AAE"/>
    <w:rsid w:val="59FF0246"/>
    <w:rsid w:val="5A34074A"/>
    <w:rsid w:val="5A4259A7"/>
    <w:rsid w:val="5A826950"/>
    <w:rsid w:val="5AAC5686"/>
    <w:rsid w:val="5AB843C0"/>
    <w:rsid w:val="5B1B5558"/>
    <w:rsid w:val="5B6F6839"/>
    <w:rsid w:val="5B796DF4"/>
    <w:rsid w:val="5B831794"/>
    <w:rsid w:val="5BAF47BE"/>
    <w:rsid w:val="5BF062E2"/>
    <w:rsid w:val="5C585689"/>
    <w:rsid w:val="5C5B10AC"/>
    <w:rsid w:val="5CA6628A"/>
    <w:rsid w:val="5CC453C1"/>
    <w:rsid w:val="5CC468A3"/>
    <w:rsid w:val="5CD80250"/>
    <w:rsid w:val="5CF11312"/>
    <w:rsid w:val="5D107A3F"/>
    <w:rsid w:val="5D5B1700"/>
    <w:rsid w:val="5E091AF6"/>
    <w:rsid w:val="5E0971FE"/>
    <w:rsid w:val="5E5D146B"/>
    <w:rsid w:val="5E66601D"/>
    <w:rsid w:val="5E70314F"/>
    <w:rsid w:val="5E790822"/>
    <w:rsid w:val="5EDA7888"/>
    <w:rsid w:val="5F065FDA"/>
    <w:rsid w:val="5F174FBD"/>
    <w:rsid w:val="5F342BF5"/>
    <w:rsid w:val="5F456359"/>
    <w:rsid w:val="5F6B1C04"/>
    <w:rsid w:val="5FA4593F"/>
    <w:rsid w:val="5FB641AF"/>
    <w:rsid w:val="5FBE2290"/>
    <w:rsid w:val="5FCE5CF8"/>
    <w:rsid w:val="5FE53CE4"/>
    <w:rsid w:val="60052B10"/>
    <w:rsid w:val="60330419"/>
    <w:rsid w:val="6034494B"/>
    <w:rsid w:val="605A0CD5"/>
    <w:rsid w:val="60610711"/>
    <w:rsid w:val="60A44A07"/>
    <w:rsid w:val="60E87EAF"/>
    <w:rsid w:val="610770C4"/>
    <w:rsid w:val="61416F4F"/>
    <w:rsid w:val="617C6D65"/>
    <w:rsid w:val="61953DA6"/>
    <w:rsid w:val="61954E1C"/>
    <w:rsid w:val="61A62640"/>
    <w:rsid w:val="61AE3F4C"/>
    <w:rsid w:val="61D87997"/>
    <w:rsid w:val="62181132"/>
    <w:rsid w:val="62242352"/>
    <w:rsid w:val="62365827"/>
    <w:rsid w:val="62461F93"/>
    <w:rsid w:val="62767F2E"/>
    <w:rsid w:val="628D3A49"/>
    <w:rsid w:val="62E82CD5"/>
    <w:rsid w:val="62FE2236"/>
    <w:rsid w:val="630C3698"/>
    <w:rsid w:val="631C0CB0"/>
    <w:rsid w:val="634A6574"/>
    <w:rsid w:val="63604219"/>
    <w:rsid w:val="63BA20AB"/>
    <w:rsid w:val="63D22FD5"/>
    <w:rsid w:val="643C2370"/>
    <w:rsid w:val="644450D9"/>
    <w:rsid w:val="647755C8"/>
    <w:rsid w:val="648325E9"/>
    <w:rsid w:val="64B63248"/>
    <w:rsid w:val="64D52842"/>
    <w:rsid w:val="653A7EB8"/>
    <w:rsid w:val="65407390"/>
    <w:rsid w:val="654218BA"/>
    <w:rsid w:val="656132CA"/>
    <w:rsid w:val="6586721C"/>
    <w:rsid w:val="659A3A64"/>
    <w:rsid w:val="659F4C25"/>
    <w:rsid w:val="65D7505D"/>
    <w:rsid w:val="65EF7ACC"/>
    <w:rsid w:val="660A2875"/>
    <w:rsid w:val="661F44CA"/>
    <w:rsid w:val="66252CC1"/>
    <w:rsid w:val="662B33A8"/>
    <w:rsid w:val="662B662D"/>
    <w:rsid w:val="664C7A0B"/>
    <w:rsid w:val="66613222"/>
    <w:rsid w:val="6676192F"/>
    <w:rsid w:val="669671FC"/>
    <w:rsid w:val="66971D49"/>
    <w:rsid w:val="66A92D8A"/>
    <w:rsid w:val="66B06D03"/>
    <w:rsid w:val="66B40EEB"/>
    <w:rsid w:val="66DB37E1"/>
    <w:rsid w:val="671D44D0"/>
    <w:rsid w:val="67703441"/>
    <w:rsid w:val="67DC3DF5"/>
    <w:rsid w:val="67EF2EEF"/>
    <w:rsid w:val="6838524A"/>
    <w:rsid w:val="6861575B"/>
    <w:rsid w:val="686D14DA"/>
    <w:rsid w:val="68A13881"/>
    <w:rsid w:val="68AE6453"/>
    <w:rsid w:val="69124CA8"/>
    <w:rsid w:val="69A11233"/>
    <w:rsid w:val="69D05529"/>
    <w:rsid w:val="6A724D32"/>
    <w:rsid w:val="6AC21899"/>
    <w:rsid w:val="6ACF3DC7"/>
    <w:rsid w:val="6ADA79BD"/>
    <w:rsid w:val="6B6B7FEF"/>
    <w:rsid w:val="6BCB198F"/>
    <w:rsid w:val="6C3E0B26"/>
    <w:rsid w:val="6C6E3873"/>
    <w:rsid w:val="6D3B7744"/>
    <w:rsid w:val="6D5152D9"/>
    <w:rsid w:val="6D642862"/>
    <w:rsid w:val="6DB278B5"/>
    <w:rsid w:val="6E2A0034"/>
    <w:rsid w:val="6E594F60"/>
    <w:rsid w:val="6E5B536B"/>
    <w:rsid w:val="6E6A372E"/>
    <w:rsid w:val="6E6A45B3"/>
    <w:rsid w:val="6F0B6421"/>
    <w:rsid w:val="6F1E315D"/>
    <w:rsid w:val="6F4F630E"/>
    <w:rsid w:val="6F9260B5"/>
    <w:rsid w:val="6FF034B5"/>
    <w:rsid w:val="70256751"/>
    <w:rsid w:val="70560F05"/>
    <w:rsid w:val="70AB0365"/>
    <w:rsid w:val="70B161CC"/>
    <w:rsid w:val="70D55B19"/>
    <w:rsid w:val="70E24673"/>
    <w:rsid w:val="70FA2ABC"/>
    <w:rsid w:val="71F83F6A"/>
    <w:rsid w:val="7205731D"/>
    <w:rsid w:val="72306EC0"/>
    <w:rsid w:val="726B22F7"/>
    <w:rsid w:val="72781263"/>
    <w:rsid w:val="72955527"/>
    <w:rsid w:val="72A417A5"/>
    <w:rsid w:val="72AC1B0B"/>
    <w:rsid w:val="72C53ED8"/>
    <w:rsid w:val="73022BE3"/>
    <w:rsid w:val="73047240"/>
    <w:rsid w:val="73193962"/>
    <w:rsid w:val="73262C77"/>
    <w:rsid w:val="734F3E3C"/>
    <w:rsid w:val="73A942DC"/>
    <w:rsid w:val="73C94A1F"/>
    <w:rsid w:val="73CF60B1"/>
    <w:rsid w:val="73D759A6"/>
    <w:rsid w:val="73F52064"/>
    <w:rsid w:val="742833D9"/>
    <w:rsid w:val="746A6F79"/>
    <w:rsid w:val="747A70DE"/>
    <w:rsid w:val="749A7B88"/>
    <w:rsid w:val="74AA11A1"/>
    <w:rsid w:val="74B65FBF"/>
    <w:rsid w:val="74C57E5F"/>
    <w:rsid w:val="74CE1506"/>
    <w:rsid w:val="74E35880"/>
    <w:rsid w:val="7502674F"/>
    <w:rsid w:val="750A6AE9"/>
    <w:rsid w:val="754D572B"/>
    <w:rsid w:val="75AE4C20"/>
    <w:rsid w:val="75BD46DB"/>
    <w:rsid w:val="75D62AD8"/>
    <w:rsid w:val="75F96975"/>
    <w:rsid w:val="760363EE"/>
    <w:rsid w:val="762811E9"/>
    <w:rsid w:val="764F7F92"/>
    <w:rsid w:val="766259C8"/>
    <w:rsid w:val="7687AC1A"/>
    <w:rsid w:val="76CB109D"/>
    <w:rsid w:val="76ED0185"/>
    <w:rsid w:val="77C32BE5"/>
    <w:rsid w:val="77F923B9"/>
    <w:rsid w:val="78020B8B"/>
    <w:rsid w:val="782234E4"/>
    <w:rsid w:val="78FD2CD7"/>
    <w:rsid w:val="7919782F"/>
    <w:rsid w:val="79217ACA"/>
    <w:rsid w:val="794F1893"/>
    <w:rsid w:val="7961363C"/>
    <w:rsid w:val="797B03BB"/>
    <w:rsid w:val="797D77D1"/>
    <w:rsid w:val="797E23E2"/>
    <w:rsid w:val="79AD76AE"/>
    <w:rsid w:val="79CA0C6C"/>
    <w:rsid w:val="79ED4424"/>
    <w:rsid w:val="7A4D62A0"/>
    <w:rsid w:val="7A894C71"/>
    <w:rsid w:val="7AFA2D92"/>
    <w:rsid w:val="7B357261"/>
    <w:rsid w:val="7BA74D77"/>
    <w:rsid w:val="7BAD4BF5"/>
    <w:rsid w:val="7BDFB067"/>
    <w:rsid w:val="7C030272"/>
    <w:rsid w:val="7C295844"/>
    <w:rsid w:val="7C412EEA"/>
    <w:rsid w:val="7C582B10"/>
    <w:rsid w:val="7C8D33F8"/>
    <w:rsid w:val="7C970711"/>
    <w:rsid w:val="7CA06787"/>
    <w:rsid w:val="7CC72281"/>
    <w:rsid w:val="7CD7395C"/>
    <w:rsid w:val="7CDD0179"/>
    <w:rsid w:val="7DC73FEB"/>
    <w:rsid w:val="7DD97789"/>
    <w:rsid w:val="7DE0456D"/>
    <w:rsid w:val="7E0002A6"/>
    <w:rsid w:val="7E7D4A13"/>
    <w:rsid w:val="7E8D7F3F"/>
    <w:rsid w:val="7EAD4F60"/>
    <w:rsid w:val="7EF34B21"/>
    <w:rsid w:val="7EF757B3"/>
    <w:rsid w:val="7EFE1AE9"/>
    <w:rsid w:val="7F174C12"/>
    <w:rsid w:val="7F4E72EA"/>
    <w:rsid w:val="7F552613"/>
    <w:rsid w:val="7F5A3979"/>
    <w:rsid w:val="7FF00986"/>
    <w:rsid w:val="7FFF7920"/>
    <w:rsid w:val="7FFF7AD4"/>
    <w:rsid w:val="FAFF98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qFormat="1"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iPriority="99"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60" w:lineRule="exact"/>
      <w:jc w:val="both"/>
    </w:pPr>
    <w:rPr>
      <w:rFonts w:ascii="Times New Roman" w:hAnsi="Times New Roman" w:eastAsia="仿宋_GB2312" w:cs="Times New Roman"/>
      <w:kern w:val="2"/>
      <w:sz w:val="28"/>
      <w:szCs w:val="24"/>
      <w:lang w:val="en-US" w:eastAsia="zh-CN" w:bidi="ar-SA"/>
    </w:rPr>
  </w:style>
  <w:style w:type="paragraph" w:styleId="3">
    <w:name w:val="heading 1"/>
    <w:basedOn w:val="1"/>
    <w:next w:val="1"/>
    <w:link w:val="25"/>
    <w:qFormat/>
    <w:uiPriority w:val="0"/>
    <w:pPr>
      <w:keepNext/>
      <w:keepLines/>
      <w:spacing w:before="100" w:beforeLines="100" w:after="100" w:afterLines="100" w:line="360" w:lineRule="auto"/>
      <w:jc w:val="left"/>
      <w:outlineLvl w:val="0"/>
    </w:pPr>
    <w:rPr>
      <w:rFonts w:ascii="Calibri" w:hAnsi="Calibri" w:eastAsia="宋体"/>
      <w:b/>
      <w:bCs/>
      <w:kern w:val="44"/>
      <w:sz w:val="32"/>
      <w:szCs w:val="44"/>
    </w:rPr>
  </w:style>
  <w:style w:type="paragraph" w:styleId="4">
    <w:name w:val="heading 2"/>
    <w:basedOn w:val="1"/>
    <w:next w:val="1"/>
    <w:link w:val="26"/>
    <w:unhideWhenUsed/>
    <w:qFormat/>
    <w:uiPriority w:val="0"/>
    <w:pPr>
      <w:keepNext/>
      <w:keepLines/>
      <w:spacing w:before="100" w:beforeLines="100" w:after="100" w:afterLines="100" w:line="240" w:lineRule="auto"/>
      <w:ind w:firstLine="883" w:firstLineChars="200"/>
      <w:jc w:val="left"/>
      <w:outlineLvl w:val="1"/>
    </w:pPr>
    <w:rPr>
      <w:rFonts w:ascii="Arial" w:hAnsi="Arial" w:eastAsia="宋体"/>
      <w:b/>
      <w:bCs/>
      <w:kern w:val="0"/>
      <w:szCs w:val="28"/>
    </w:rPr>
  </w:style>
  <w:style w:type="paragraph" w:styleId="5">
    <w:name w:val="heading 3"/>
    <w:basedOn w:val="1"/>
    <w:next w:val="1"/>
    <w:unhideWhenUsed/>
    <w:qFormat/>
    <w:uiPriority w:val="0"/>
    <w:pPr>
      <w:spacing w:before="50" w:beforeLines="50" w:after="50" w:afterLines="50"/>
      <w:ind w:firstLine="440" w:firstLineChars="200"/>
      <w:outlineLvl w:val="2"/>
    </w:pPr>
    <w:rPr>
      <w:rFonts w:cs="Microsoft JhengHei"/>
      <w:b/>
      <w:bCs/>
      <w:szCs w:val="30"/>
    </w:rPr>
  </w:style>
  <w:style w:type="paragraph" w:styleId="6">
    <w:name w:val="heading 4"/>
    <w:basedOn w:val="1"/>
    <w:next w:val="1"/>
    <w:unhideWhenUsed/>
    <w:qFormat/>
    <w:uiPriority w:val="0"/>
    <w:pPr>
      <w:keepNext/>
      <w:keepLines/>
      <w:spacing w:before="280" w:after="290" w:line="372" w:lineRule="auto"/>
      <w:outlineLvl w:val="3"/>
    </w:pPr>
    <w:rPr>
      <w:rFonts w:ascii="Arial" w:hAnsi="Arial" w:eastAsia="黑体"/>
      <w:b/>
    </w:rPr>
  </w:style>
  <w:style w:type="character" w:default="1" w:styleId="23">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2">
    <w:name w:val="Normal Indent"/>
    <w:basedOn w:val="1"/>
    <w:qFormat/>
    <w:uiPriority w:val="0"/>
    <w:pPr>
      <w:snapToGrid w:val="0"/>
      <w:spacing w:line="312" w:lineRule="atLeast"/>
      <w:ind w:firstLine="420"/>
    </w:pPr>
    <w:rPr>
      <w:lang w:eastAsia="en-US"/>
    </w:rPr>
  </w:style>
  <w:style w:type="paragraph" w:styleId="7">
    <w:name w:val="annotation text"/>
    <w:basedOn w:val="1"/>
    <w:qFormat/>
    <w:uiPriority w:val="0"/>
    <w:pPr>
      <w:jc w:val="left"/>
    </w:pPr>
  </w:style>
  <w:style w:type="paragraph" w:styleId="8">
    <w:name w:val="Body Text"/>
    <w:basedOn w:val="1"/>
    <w:next w:val="9"/>
    <w:qFormat/>
    <w:uiPriority w:val="0"/>
    <w:pPr>
      <w:spacing w:after="120"/>
    </w:pPr>
  </w:style>
  <w:style w:type="paragraph" w:styleId="9">
    <w:name w:val="Title"/>
    <w:basedOn w:val="1"/>
    <w:next w:val="1"/>
    <w:qFormat/>
    <w:uiPriority w:val="0"/>
    <w:pPr>
      <w:snapToGrid w:val="0"/>
      <w:spacing w:before="100" w:after="100" w:line="360" w:lineRule="auto"/>
      <w:jc w:val="center"/>
      <w:outlineLvl w:val="0"/>
    </w:pPr>
    <w:rPr>
      <w:rFonts w:ascii="Arial" w:hAnsi="Arial" w:eastAsia="楷体"/>
      <w:b/>
      <w:szCs w:val="20"/>
    </w:rPr>
  </w:style>
  <w:style w:type="paragraph" w:styleId="10">
    <w:name w:val="Body Text Indent"/>
    <w:basedOn w:val="1"/>
    <w:qFormat/>
    <w:uiPriority w:val="0"/>
    <w:pPr>
      <w:adjustRightInd w:val="0"/>
      <w:ind w:left="180"/>
      <w:textAlignment w:val="baseline"/>
    </w:pPr>
    <w:rPr>
      <w:rFonts w:ascii="宋体" w:eastAsia="仿宋"/>
      <w:b/>
      <w:kern w:val="0"/>
      <w:szCs w:val="20"/>
    </w:rPr>
  </w:style>
  <w:style w:type="paragraph" w:styleId="11">
    <w:name w:val="Block Text"/>
    <w:basedOn w:val="1"/>
    <w:next w:val="1"/>
    <w:unhideWhenUsed/>
    <w:qFormat/>
    <w:uiPriority w:val="99"/>
    <w:pPr>
      <w:spacing w:after="120"/>
      <w:ind w:left="1440" w:leftChars="700" w:right="700" w:rightChars="700"/>
    </w:pPr>
  </w:style>
  <w:style w:type="paragraph" w:styleId="12">
    <w:name w:val="Plain Text"/>
    <w:basedOn w:val="1"/>
    <w:qFormat/>
    <w:uiPriority w:val="0"/>
    <w:rPr>
      <w:rFonts w:ascii="宋体" w:hAnsi="Courier New"/>
    </w:rPr>
  </w:style>
  <w:style w:type="paragraph" w:styleId="13">
    <w:name w:val="footer"/>
    <w:basedOn w:val="1"/>
    <w:qFormat/>
    <w:uiPriority w:val="0"/>
    <w:pPr>
      <w:tabs>
        <w:tab w:val="center" w:pos="4153"/>
        <w:tab w:val="right" w:pos="8306"/>
      </w:tabs>
      <w:snapToGrid w:val="0"/>
      <w:jc w:val="left"/>
    </w:pPr>
    <w:rPr>
      <w:sz w:val="18"/>
    </w:rPr>
  </w:style>
  <w:style w:type="paragraph" w:styleId="1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pPr>
    <w:rPr>
      <w:sz w:val="18"/>
    </w:rPr>
  </w:style>
  <w:style w:type="paragraph" w:styleId="15">
    <w:name w:val="footnote text"/>
    <w:basedOn w:val="1"/>
    <w:qFormat/>
    <w:uiPriority w:val="0"/>
    <w:pPr>
      <w:snapToGrid w:val="0"/>
      <w:jc w:val="left"/>
    </w:pPr>
    <w:rPr>
      <w:sz w:val="18"/>
    </w:rPr>
  </w:style>
  <w:style w:type="paragraph" w:styleId="16">
    <w:name w:val="table of figures"/>
    <w:basedOn w:val="1"/>
    <w:next w:val="1"/>
    <w:qFormat/>
    <w:uiPriority w:val="0"/>
    <w:pPr>
      <w:ind w:left="200" w:leftChars="200" w:hanging="200" w:hangingChars="200"/>
    </w:pPr>
  </w:style>
  <w:style w:type="paragraph" w:styleId="17">
    <w:name w:val="Body Text 2"/>
    <w:basedOn w:val="1"/>
    <w:qFormat/>
    <w:uiPriority w:val="0"/>
    <w:pPr>
      <w:spacing w:after="120" w:line="480" w:lineRule="auto"/>
    </w:pPr>
  </w:style>
  <w:style w:type="paragraph" w:styleId="18">
    <w:name w:val="Normal (Web)"/>
    <w:basedOn w:val="1"/>
    <w:qFormat/>
    <w:uiPriority w:val="0"/>
    <w:pPr>
      <w:spacing w:before="100" w:beforeAutospacing="1" w:after="100" w:afterAutospacing="1"/>
      <w:jc w:val="left"/>
    </w:pPr>
    <w:rPr>
      <w:kern w:val="0"/>
      <w:sz w:val="24"/>
    </w:rPr>
  </w:style>
  <w:style w:type="paragraph" w:styleId="19">
    <w:name w:val="Body Text First Indent"/>
    <w:basedOn w:val="8"/>
    <w:unhideWhenUsed/>
    <w:qFormat/>
    <w:uiPriority w:val="0"/>
    <w:pPr>
      <w:spacing w:beforeLines="50" w:line="360" w:lineRule="auto"/>
      <w:ind w:firstLine="200" w:firstLineChars="200"/>
    </w:pPr>
    <w:rPr>
      <w:sz w:val="24"/>
    </w:rPr>
  </w:style>
  <w:style w:type="paragraph" w:styleId="20">
    <w:name w:val="Body Text First Indent 2"/>
    <w:basedOn w:val="10"/>
    <w:qFormat/>
    <w:uiPriority w:val="0"/>
    <w:pPr>
      <w:tabs>
        <w:tab w:val="left" w:pos="0"/>
      </w:tabs>
      <w:spacing w:after="120"/>
      <w:ind w:left="420" w:leftChars="200" w:firstLine="420"/>
    </w:pPr>
    <w:rPr>
      <w:rFonts w:ascii="Times New Roman" w:eastAsia="仿宋_GB2312"/>
      <w:sz w:val="30"/>
    </w:rPr>
  </w:style>
  <w:style w:type="table" w:styleId="22">
    <w:name w:val="Table Grid"/>
    <w:basedOn w:val="2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annotation reference"/>
    <w:basedOn w:val="23"/>
    <w:qFormat/>
    <w:uiPriority w:val="0"/>
    <w:rPr>
      <w:sz w:val="21"/>
      <w:szCs w:val="21"/>
    </w:rPr>
  </w:style>
  <w:style w:type="character" w:customStyle="1" w:styleId="25">
    <w:name w:val="标题 1 字符"/>
    <w:basedOn w:val="23"/>
    <w:link w:val="3"/>
    <w:qFormat/>
    <w:uiPriority w:val="0"/>
    <w:rPr>
      <w:rFonts w:ascii="Calibri" w:hAnsi="Calibri" w:eastAsia="宋体"/>
      <w:b/>
      <w:bCs/>
      <w:kern w:val="44"/>
      <w:sz w:val="32"/>
      <w:szCs w:val="44"/>
    </w:rPr>
  </w:style>
  <w:style w:type="character" w:customStyle="1" w:styleId="26">
    <w:name w:val="标题 2 字符"/>
    <w:link w:val="4"/>
    <w:qFormat/>
    <w:uiPriority w:val="0"/>
    <w:rPr>
      <w:rFonts w:ascii="Arial" w:hAnsi="Arial" w:eastAsia="宋体" w:cs="宋体"/>
      <w:b/>
    </w:rPr>
  </w:style>
  <w:style w:type="paragraph" w:customStyle="1" w:styleId="27">
    <w:name w:val="样式1"/>
    <w:basedOn w:val="1"/>
    <w:next w:val="1"/>
    <w:qFormat/>
    <w:uiPriority w:val="0"/>
    <w:pPr>
      <w:numPr>
        <w:ilvl w:val="0"/>
        <w:numId w:val="1"/>
      </w:numPr>
    </w:pPr>
  </w:style>
  <w:style w:type="paragraph" w:customStyle="1" w:styleId="28">
    <w:name w:val="Revision"/>
    <w:hidden/>
    <w:unhideWhenUsed/>
    <w:qFormat/>
    <w:uiPriority w:val="99"/>
    <w:rPr>
      <w:rFonts w:ascii="Times New Roman" w:hAnsi="Times New Roman" w:eastAsia="仿宋_GB2312" w:cs="Times New Roman"/>
      <w:kern w:val="2"/>
      <w:sz w:val="28"/>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048E392-8BC1-49CA-9752-7FA4773D492E}">
  <ds:schemaRefs/>
</ds:datastoreItem>
</file>

<file path=docProps/app.xml><?xml version="1.0" encoding="utf-8"?>
<Properties xmlns="http://schemas.openxmlformats.org/officeDocument/2006/extended-properties" xmlns:vt="http://schemas.openxmlformats.org/officeDocument/2006/docPropsVTypes">
  <Template>Normal.dotm</Template>
  <Pages>9</Pages>
  <Words>631</Words>
  <Characters>3601</Characters>
  <Lines>30</Lines>
  <Paragraphs>8</Paragraphs>
  <TotalTime>0</TotalTime>
  <ScaleCrop>false</ScaleCrop>
  <LinksUpToDate>false</LinksUpToDate>
  <CharactersWithSpaces>4224</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2021-12-30T22:15:00Z</dcterms:created>
  <dc:creator>wangyf1</dc:creator>
  <cp:lastModifiedBy>阚炜</cp:lastModifiedBy>
  <dcterms:modified xsi:type="dcterms:W3CDTF">2026-02-13T02:36:20Z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EDA6E73B4229405DA686B442DDB6C41B_13</vt:lpwstr>
  </property>
</Properties>
</file>