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655"/>
        <w:gridCol w:w="2533"/>
        <w:gridCol w:w="1445"/>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8522" w:type="dxa"/>
            <w:gridSpan w:val="5"/>
            <w:vAlign w:val="center"/>
          </w:tcPr>
          <w:p>
            <w:pPr>
              <w:pStyle w:val="3"/>
              <w:tabs>
                <w:tab w:val="left" w:pos="2100"/>
              </w:tabs>
              <w:spacing w:before="312" w:after="312"/>
              <w:jc w:val="center"/>
              <w:rPr>
                <w:rFonts w:ascii="仿宋_GB2312" w:hAnsi="仿宋_GB2312" w:eastAsia="仿宋_GB2312" w:cs="仿宋_GB2312"/>
                <w:sz w:val="24"/>
              </w:rPr>
            </w:pPr>
            <w:r>
              <w:rPr>
                <w:rFonts w:hint="eastAsia" w:ascii="仿宋_GB2312" w:hAnsi="仿宋_GB2312" w:eastAsia="仿宋_GB2312" w:cs="仿宋_GB2312"/>
                <w:sz w:val="44"/>
                <w:lang w:val="en-US" w:eastAsia="zh-CN"/>
              </w:rPr>
              <w:t>杭锦旗国电光伏发电有限公司杭锦旗国电50MW太阳能光伏发电站运营期保险报价单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序号</w:t>
            </w:r>
          </w:p>
        </w:tc>
        <w:tc>
          <w:tcPr>
            <w:tcW w:w="1655" w:type="dxa"/>
            <w:vAlign w:val="center"/>
          </w:tcPr>
          <w:p>
            <w:pPr>
              <w:jc w:val="center"/>
              <w:rPr>
                <w:rFonts w:ascii="仿宋_GB2312" w:hAnsi="仿宋_GB2312" w:cs="仿宋_GB2312"/>
              </w:rPr>
            </w:pPr>
            <w:r>
              <w:rPr>
                <w:rFonts w:hint="eastAsia" w:ascii="仿宋_GB2312" w:hAnsi="仿宋_GB2312" w:cs="仿宋_GB2312"/>
              </w:rPr>
              <w:t>投保险种</w:t>
            </w:r>
          </w:p>
        </w:tc>
        <w:tc>
          <w:tcPr>
            <w:tcW w:w="2533" w:type="dxa"/>
            <w:vAlign w:val="center"/>
          </w:tcPr>
          <w:p>
            <w:pPr>
              <w:jc w:val="center"/>
              <w:rPr>
                <w:rFonts w:ascii="仿宋_GB2312" w:hAnsi="仿宋_GB2312" w:cs="仿宋_GB2312"/>
              </w:rPr>
            </w:pPr>
            <w:r>
              <w:rPr>
                <w:rFonts w:hint="eastAsia" w:ascii="仿宋_GB2312" w:hAnsi="仿宋_GB2312" w:cs="仿宋_GB2312"/>
              </w:rPr>
              <w:t>保险金额</w:t>
            </w:r>
            <w:r>
              <w:rPr>
                <w:rFonts w:hint="eastAsia" w:ascii="仿宋_GB2312" w:hAnsi="仿宋_GB2312" w:cs="仿宋_GB2312"/>
              </w:rPr>
              <w:br w:type="textWrapping"/>
            </w:r>
            <w:r>
              <w:rPr>
                <w:rFonts w:hint="eastAsia" w:ascii="仿宋_GB2312" w:hAnsi="仿宋_GB2312" w:cs="仿宋_GB2312"/>
              </w:rPr>
              <w:t>（赔偿限额）</w:t>
            </w:r>
          </w:p>
        </w:tc>
        <w:tc>
          <w:tcPr>
            <w:tcW w:w="1445" w:type="dxa"/>
            <w:vAlign w:val="center"/>
          </w:tcPr>
          <w:p>
            <w:pPr>
              <w:jc w:val="center"/>
              <w:rPr>
                <w:rFonts w:ascii="仿宋_GB2312" w:hAnsi="仿宋_GB2312" w:cs="仿宋_GB2312"/>
              </w:rPr>
            </w:pPr>
            <w:r>
              <w:rPr>
                <w:rFonts w:hint="eastAsia" w:ascii="仿宋_GB2312" w:hAnsi="仿宋_GB2312" w:cs="仿宋_GB2312"/>
              </w:rPr>
              <w:t>费率</w:t>
            </w:r>
          </w:p>
        </w:tc>
        <w:tc>
          <w:tcPr>
            <w:tcW w:w="2048" w:type="dxa"/>
            <w:vAlign w:val="center"/>
          </w:tcPr>
          <w:p>
            <w:pPr>
              <w:jc w:val="center"/>
              <w:rPr>
                <w:rFonts w:ascii="仿宋_GB2312" w:hAnsi="仿宋_GB2312" w:cs="仿宋_GB2312"/>
              </w:rPr>
            </w:pPr>
            <w:r>
              <w:rPr>
                <w:rFonts w:hint="eastAsia" w:ascii="仿宋_GB2312" w:hAnsi="仿宋_GB2312" w:cs="仿宋_GB2312"/>
              </w:rPr>
              <w:t>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1</w:t>
            </w:r>
          </w:p>
        </w:tc>
        <w:tc>
          <w:tcPr>
            <w:tcW w:w="1655" w:type="dxa"/>
            <w:vAlign w:val="center"/>
          </w:tcPr>
          <w:p>
            <w:pPr>
              <w:jc w:val="center"/>
              <w:rPr>
                <w:rFonts w:ascii="仿宋_GB2312" w:hAnsi="仿宋_GB2312" w:cs="仿宋_GB2312"/>
              </w:rPr>
            </w:pPr>
            <w:r>
              <w:rPr>
                <w:rFonts w:hint="eastAsia" w:ascii="仿宋_GB2312" w:hAnsi="仿宋_GB2312" w:cs="仿宋_GB2312"/>
              </w:rPr>
              <w:t>光伏电站财产一切险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318,916,967.50</w:t>
            </w:r>
            <w:r>
              <w:rPr>
                <w:rFonts w:hint="eastAsia" w:ascii="仿宋_GB2312" w:hAnsi="仿宋_GB2312" w:cs="仿宋_GB2312"/>
              </w:rPr>
              <w:t>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2</w:t>
            </w:r>
          </w:p>
        </w:tc>
        <w:tc>
          <w:tcPr>
            <w:tcW w:w="1655" w:type="dxa"/>
            <w:vAlign w:val="center"/>
          </w:tcPr>
          <w:p>
            <w:pPr>
              <w:jc w:val="center"/>
              <w:rPr>
                <w:rFonts w:ascii="仿宋_GB2312" w:hAnsi="仿宋_GB2312" w:cs="仿宋_GB2312"/>
              </w:rPr>
            </w:pPr>
            <w:r>
              <w:rPr>
                <w:rFonts w:hint="eastAsia" w:ascii="仿宋_GB2312" w:hAnsi="仿宋_GB2312" w:cs="仿宋_GB2312"/>
              </w:rPr>
              <w:t>光伏电站机器损坏险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318,916,967.50</w:t>
            </w:r>
            <w:r>
              <w:rPr>
                <w:rFonts w:hint="eastAsia" w:ascii="仿宋_GB2312" w:hAnsi="仿宋_GB2312" w:cs="仿宋_GB2312"/>
              </w:rPr>
              <w:t>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3</w:t>
            </w:r>
          </w:p>
        </w:tc>
        <w:tc>
          <w:tcPr>
            <w:tcW w:w="1655" w:type="dxa"/>
            <w:vAlign w:val="center"/>
          </w:tcPr>
          <w:p>
            <w:pPr>
              <w:jc w:val="center"/>
              <w:rPr>
                <w:rFonts w:ascii="仿宋_GB2312" w:hAnsi="仿宋_GB2312" w:cs="仿宋_GB2312"/>
              </w:rPr>
            </w:pPr>
            <w:r>
              <w:rPr>
                <w:rFonts w:hint="eastAsia" w:ascii="仿宋_GB2312" w:hAnsi="仿宋_GB2312" w:cs="仿宋_GB2312"/>
              </w:rPr>
              <w:t>公众责任险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10</w:t>
            </w:r>
            <w:r>
              <w:rPr>
                <w:rFonts w:hint="eastAsia" w:ascii="仿宋_GB2312" w:hAnsi="仿宋_GB2312" w:cs="仿宋_GB2312"/>
              </w:rPr>
              <w:t>,000,000.00元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4</w:t>
            </w:r>
          </w:p>
        </w:tc>
        <w:tc>
          <w:tcPr>
            <w:tcW w:w="1655" w:type="dxa"/>
            <w:vAlign w:val="center"/>
          </w:tcPr>
          <w:p>
            <w:pPr>
              <w:jc w:val="center"/>
              <w:rPr>
                <w:rFonts w:ascii="仿宋_GB2312" w:hAnsi="仿宋_GB2312" w:cs="仿宋_GB2312"/>
              </w:rPr>
            </w:pPr>
            <w:r>
              <w:rPr>
                <w:rFonts w:hint="eastAsia" w:ascii="仿宋_GB2312" w:hAnsi="仿宋_GB2312" w:cs="仿宋_GB2312"/>
              </w:rPr>
              <w:t>免赔条件响应程度</w:t>
            </w:r>
          </w:p>
        </w:tc>
        <w:tc>
          <w:tcPr>
            <w:tcW w:w="6026" w:type="dxa"/>
            <w:gridSpan w:val="3"/>
            <w:vAlign w:val="center"/>
          </w:tcPr>
          <w:p>
            <w:pPr>
              <w:jc w:val="left"/>
              <w:rPr>
                <w:rFonts w:ascii="仿宋_GB2312" w:hAnsi="仿宋_GB2312" w:cs="仿宋_GB2312"/>
              </w:rPr>
            </w:pPr>
            <w:r>
              <w:rPr>
                <w:rFonts w:hint="eastAsia" w:ascii="仿宋_GB2312" w:hAnsi="仿宋_GB2312" w:cs="仿宋_GB2312"/>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5</w:t>
            </w:r>
          </w:p>
        </w:tc>
        <w:tc>
          <w:tcPr>
            <w:tcW w:w="1655" w:type="dxa"/>
            <w:vAlign w:val="center"/>
          </w:tcPr>
          <w:p>
            <w:pPr>
              <w:jc w:val="center"/>
              <w:rPr>
                <w:rFonts w:ascii="仿宋_GB2312" w:hAnsi="仿宋_GB2312" w:cs="仿宋_GB2312"/>
              </w:rPr>
            </w:pPr>
            <w:r>
              <w:rPr>
                <w:rFonts w:hint="eastAsia" w:ascii="仿宋_GB2312" w:hAnsi="仿宋_GB2312" w:cs="仿宋_GB2312"/>
              </w:rPr>
              <w:t>保费合计</w:t>
            </w:r>
          </w:p>
        </w:tc>
        <w:tc>
          <w:tcPr>
            <w:tcW w:w="6026" w:type="dxa"/>
            <w:gridSpan w:val="3"/>
            <w:vAlign w:val="center"/>
          </w:tcPr>
          <w:p>
            <w:pPr>
              <w:jc w:val="center"/>
              <w:rPr>
                <w:rFonts w:ascii="仿宋_GB2312" w:hAnsi="仿宋_GB2312" w:cs="仿宋_GB2312"/>
                <w:b/>
                <w:color w:val="FF0000"/>
              </w:rPr>
            </w:pPr>
            <w:bookmarkStart w:id="0" w:name="_GoBack"/>
            <w:bookmarkEnd w:id="0"/>
          </w:p>
        </w:tc>
      </w:tr>
    </w:tbl>
    <w:p/>
    <w:p>
      <w:pPr>
        <w:ind w:left="3780" w:firstLine="420"/>
        <w:rPr>
          <w:b/>
          <w:bCs/>
        </w:rPr>
      </w:pPr>
    </w:p>
    <w:p>
      <w:pPr>
        <w:ind w:left="4536" w:leftChars="1620" w:firstLine="422" w:firstLineChars="150"/>
        <w:rPr>
          <w:b/>
          <w:bCs/>
        </w:rPr>
      </w:pPr>
      <w:r>
        <w:rPr>
          <w:b/>
          <w:bCs/>
        </w:rPr>
        <w:t xml:space="preserve">报价公司：                     </w:t>
      </w:r>
    </w:p>
    <w:p>
      <w:pPr>
        <w:pStyle w:val="8"/>
        <w:ind w:firstLine="562"/>
        <w:rPr>
          <w:b/>
          <w:bCs/>
        </w:rPr>
      </w:pPr>
      <w:r>
        <w:rPr>
          <w:b/>
          <w:bCs/>
        </w:rPr>
        <w:t xml:space="preserve">                                    </w:t>
      </w:r>
      <w:r>
        <w:rPr>
          <w:rFonts w:hint="eastAsia"/>
          <w:b/>
          <w:bCs/>
        </w:rPr>
        <w:t xml:space="preserve">        </w:t>
      </w:r>
    </w:p>
    <w:p>
      <w:pPr>
        <w:pStyle w:val="9"/>
        <w:outlineLvl w:val="9"/>
        <w:rPr>
          <w:rFonts w:hint="eastAsia" w:ascii="Times New Roman" w:hAnsi="Times New Roman" w:eastAsia="仿宋_GB2312"/>
          <w:bCs/>
          <w:szCs w:val="24"/>
          <w:lang w:val="en-US" w:eastAsia="zh-CN"/>
        </w:rPr>
      </w:pPr>
      <w:r>
        <w:rPr>
          <w:rFonts w:hint="eastAsia" w:ascii="Times New Roman" w:hAnsi="Times New Roman" w:eastAsia="仿宋_GB2312"/>
          <w:bCs/>
          <w:sz w:val="24"/>
          <w:szCs w:val="24"/>
        </w:rPr>
        <w:t xml:space="preserve">                         </w:t>
      </w:r>
      <w:r>
        <w:rPr>
          <w:rFonts w:hint="eastAsia" w:ascii="Times New Roman" w:hAnsi="Times New Roman" w:eastAsia="仿宋_GB2312"/>
          <w:bCs/>
          <w:sz w:val="24"/>
          <w:szCs w:val="24"/>
          <w:lang w:val="en-US" w:eastAsia="zh-CN"/>
        </w:rPr>
        <w:t xml:space="preserve">                </w:t>
      </w:r>
      <w:r>
        <w:rPr>
          <w:rFonts w:hint="eastAsia" w:ascii="Times New Roman" w:hAnsi="Times New Roman" w:eastAsia="仿宋_GB2312"/>
          <w:bCs/>
          <w:szCs w:val="24"/>
        </w:rPr>
        <w:t>报价日期：</w:t>
      </w:r>
      <w:r>
        <w:rPr>
          <w:rFonts w:hint="eastAsia" w:ascii="Times New Roman" w:hAnsi="Times New Roman" w:eastAsia="仿宋_GB2312"/>
          <w:bCs/>
          <w:szCs w:val="24"/>
          <w:lang w:val="en-US" w:eastAsia="zh-CN"/>
        </w:rPr>
        <w:t xml:space="preserve">   年  月  日  </w:t>
      </w:r>
    </w:p>
    <w:p>
      <w:pPr>
        <w:ind w:firstLine="56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numPr>
          <w:ilvl w:val="0"/>
          <w:numId w:val="2"/>
        </w:numPr>
        <w:ind w:firstLine="0"/>
        <w:jc w:val="center"/>
        <w:outlineLvl w:val="0"/>
      </w:pPr>
      <w:r>
        <w:rPr>
          <w:rFonts w:hint="eastAsia"/>
          <w:b/>
          <w:bCs/>
        </w:rPr>
        <w:t>光伏电站财产一切险</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合同条款</w:t>
            </w:r>
            <w:r>
              <w:rPr>
                <w:rFonts w:hint="eastAsia"/>
                <w:b/>
                <w:bCs/>
                <w:color w:val="000000" w:themeColor="text1"/>
                <w14:textFill>
                  <w14:solidFill>
                    <w14:schemeClr w14:val="tx1"/>
                  </w14:solidFill>
                </w14:textFill>
              </w:rPr>
              <w:t>：</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numPr>
                <w:ilvl w:val="0"/>
                <w:numId w:val="3"/>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3"/>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杭锦旗国电光伏发电有限公司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jc w:val="left"/>
              <w:rPr>
                <w:rFonts w:hint="default" w:eastAsia="仿宋_GB2312"/>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杭锦旗国电光伏发电有限公司杭锦旗国电50MW太阳能光伏发电站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widowControl/>
              <w:suppressLineNumbers w:val="0"/>
              <w:jc w:val="left"/>
            </w:pPr>
            <w:r>
              <w:rPr>
                <w:rFonts w:hint="eastAsia"/>
                <w:lang w:val="en-US" w:eastAsia="zh-CN"/>
              </w:rPr>
              <w:t>内蒙古自治区鄂尔多斯市杭锦旗巴拉贡镇东南8KM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widowControl/>
              <w:suppressLineNumbers w:val="0"/>
              <w:jc w:val="left"/>
              <w:rPr>
                <w:rFonts w:hint="eastAsia"/>
                <w:color w:val="000000" w:themeColor="text1"/>
                <w14:textFill>
                  <w14:solidFill>
                    <w14:schemeClr w14:val="tx1"/>
                  </w14:solidFill>
                </w14:textFill>
              </w:rPr>
            </w:pPr>
            <w:r>
              <w:rPr>
                <w:rFonts w:hint="eastAsia" w:ascii="仿宋_GB2312" w:hAnsi="仿宋_GB2312" w:cs="仿宋_GB2312"/>
                <w:lang w:val="en-US" w:eastAsia="zh-CN"/>
              </w:rPr>
              <w:t>人民币318,916,967.50</w:t>
            </w:r>
            <w:r>
              <w:rPr>
                <w:rFonts w:hint="eastAsia"/>
                <w:color w:val="000000" w:themeColor="text1"/>
                <w14:textFill>
                  <w14:solidFill>
                    <w14:schemeClr w14:val="tx1"/>
                  </w14:solidFill>
                </w14:textFill>
              </w:rPr>
              <w:t>元</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被保险资产按重置价值（账面原值/账面净值/其他）投保，具体以项目实际投保清单为准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jc w:val="left"/>
              <w:rPr>
                <w:rFonts w:hint="eastAsia" w:eastAsia="仿宋_GB2312"/>
                <w:b/>
                <w:color w:val="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保险责任：</w:t>
            </w:r>
          </w:p>
        </w:tc>
        <w:tc>
          <w:tcPr>
            <w:tcW w:w="6472" w:type="dxa"/>
            <w:vAlign w:val="center"/>
          </w:tcPr>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在保险期间内，由于自然灾害或意外事故造成保险标的直接物质损坏或灭失（以下简称“损失”），保险人按照本保险合同的约定负责赔偿。</w:t>
            </w:r>
          </w:p>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前款原因造成的保险事故发生时，为抢救保险标的或防止灾害蔓延，采取必要的、合理的措施而造成保险标的的损失，保险人按照本保险合同的约定也负责赔偿。</w:t>
            </w:r>
          </w:p>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保险事故发生后，被保险人为防止或减少保险标的的损失所支付的必要的、合理的费用，保险人按照本保险合同的约定也负责赔偿。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免赔额</w:t>
            </w:r>
            <w:r>
              <w:rPr>
                <w:rFonts w:hint="eastAsia"/>
                <w:b/>
                <w:bCs/>
                <w:color w:val="000000" w:themeColor="text1"/>
                <w14:textFill>
                  <w14:solidFill>
                    <w14:schemeClr w14:val="tx1"/>
                  </w14:solidFill>
                </w14:textFill>
              </w:rPr>
              <w:t>：</w:t>
            </w:r>
          </w:p>
        </w:tc>
        <w:tc>
          <w:tcPr>
            <w:tcW w:w="6472" w:type="dxa"/>
            <w:vAlign w:val="center"/>
          </w:tcPr>
          <w:p>
            <w:pPr>
              <w:numPr>
                <w:ilvl w:val="0"/>
                <w:numId w:val="0"/>
              </w:numPr>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1.地震每次事故绝对免赔40万元或损失金额的5%，以高者为准；</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2.火灾、爆炸及自然灾害每次事故绝对免赔10万元或损失金额的15%，以高者为准；</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3.其他风险每次事故每次事故的绝对免赔额为人民币5000元或损失金额的10%，以高者为准。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特别约定</w:t>
            </w:r>
            <w:r>
              <w:rPr>
                <w:rFonts w:hint="eastAsia"/>
                <w:b/>
                <w:bCs/>
                <w:color w:val="000000" w:themeColor="text1"/>
                <w14:textFill>
                  <w14:solidFill>
                    <w14:schemeClr w14:val="tx1"/>
                  </w14:solidFill>
                </w14:textFill>
              </w:rPr>
              <w:t>：</w:t>
            </w:r>
          </w:p>
        </w:tc>
        <w:tc>
          <w:tcPr>
            <w:tcW w:w="6472" w:type="dxa"/>
            <w:vAlign w:val="center"/>
          </w:tcPr>
          <w:p>
            <w:pPr>
              <w:numPr>
                <w:ilvl w:val="0"/>
                <w:numId w:val="0"/>
              </w:num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附加险条款如未做特别说明的，赔偿限额与主险一致且包含在主险限额内，免赔同主险免赔。盗窃事故发生后，需在第一时间通知本公司进行现场查勘，必须提供公安机关出具的盗窃认定证明及视频监控证明，并有明显的盗窃痕迹。</w:t>
            </w:r>
          </w:p>
          <w:p>
            <w:pPr>
              <w:numPr>
                <w:ilvl w:val="0"/>
                <w:numId w:val="0"/>
              </w:num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2、本保险地址内不能存放国家列明的9类危险品，如因存放这9类危险品而导致的货物本身的损失和其他标的的损失，本保单不承担保险责任。</w:t>
            </w:r>
          </w:p>
          <w:p>
            <w:pPr>
              <w:numPr>
                <w:ilvl w:val="0"/>
                <w:numId w:val="0"/>
              </w:numPr>
              <w:jc w:val="left"/>
              <w:rPr>
                <w:color w:val="000000" w:themeColor="text1"/>
                <w:lang w:eastAsia="zh-Hans"/>
                <w14:textFill>
                  <w14:solidFill>
                    <w14:schemeClr w14:val="tx1"/>
                  </w14:solidFill>
                </w14:textFill>
              </w:rPr>
            </w:pPr>
            <w:r>
              <w:rPr>
                <w:rFonts w:hint="eastAsia"/>
                <w:color w:val="000000" w:themeColor="text1"/>
                <w14:textFill>
                  <w14:solidFill>
                    <w14:schemeClr w14:val="tx1"/>
                  </w14:solidFill>
                </w14:textFill>
              </w:rPr>
              <w:t>3、本保单第一受益人为南网融资租赁有限公司。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扩展条款：</w:t>
            </w:r>
          </w:p>
        </w:tc>
        <w:tc>
          <w:tcPr>
            <w:tcW w:w="6472" w:type="dxa"/>
            <w:vAlign w:val="center"/>
          </w:tcPr>
          <w:p>
            <w:pPr>
              <w:numPr>
                <w:ilvl w:val="0"/>
                <w:numId w:val="1"/>
              </w:num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附加自动恢复保险金额条款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附加成对或成套设备条款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附加地震</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海啸</w:t>
            </w:r>
            <w:r>
              <w:rPr>
                <w:rFonts w:hint="eastAsia" w:ascii="Times New Roman" w:hAnsi="Times New Roman" w:cs="Times New Roman"/>
                <w:color w:val="000000" w:themeColor="text1"/>
                <w:highlight w:val="none"/>
                <w14:textFill>
                  <w14:solidFill>
                    <w14:schemeClr w14:val="tx1"/>
                  </w14:solidFill>
                </w14:textFill>
              </w:rPr>
              <w:t>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附加清理残骸费用扩展条款（每次事故赔偿限额100万元，累计赔偿限额500万元）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附加建筑物未受损部分额外费用扩展条款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附加罢工、暴乱及民众骚乱扩展条款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附加索赔费用条款（每次事故赔偿限额100万元，累计赔偿限额500万元）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附加虫蛀、鼠咬扩展条款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附加灭火费用扩展条款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附加盗窃、抢劫扩展条款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附加临时保护措施扩展条款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附加错误和遗漏条款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附加消防保证条款</w:t>
            </w:r>
          </w:p>
          <w:p>
            <w:pPr>
              <w:numPr>
                <w:ilvl w:val="0"/>
                <w:numId w:val="1"/>
              </w:numPr>
              <w:jc w:val="left"/>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附加预付赔款条款（50%）</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附加保护现场条款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附加专业费用扩展条款（每次事故赔偿限额100万元，累计赔偿限额500万元）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附加重置价值条款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保护系统拒动保险</w:t>
            </w:r>
          </w:p>
          <w:p>
            <w:pPr>
              <w:numPr>
                <w:ilvl w:val="0"/>
                <w:numId w:val="1"/>
              </w:numPr>
              <w:jc w:val="left"/>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附加检修扩展条款</w:t>
            </w:r>
          </w:p>
          <w:p>
            <w:pPr>
              <w:numPr>
                <w:ilvl w:val="0"/>
                <w:numId w:val="1"/>
              </w:numPr>
              <w:jc w:val="left"/>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附加特别费用扩展条款（每次事故赔偿限额100万元，累计赔偿限额500万元）</w:t>
            </w:r>
          </w:p>
          <w:p>
            <w:pPr>
              <w:numPr>
                <w:ilvl w:val="0"/>
                <w:numId w:val="1"/>
              </w:numPr>
              <w:jc w:val="left"/>
              <w:rPr>
                <w:color w:val="000000" w:themeColor="text1"/>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附加预防及抢险费用专用条款（每次事故赔偿限额100万元，累计赔偿限额500万元）</w:t>
            </w:r>
          </w:p>
        </w:tc>
      </w:tr>
    </w:tbl>
    <w:p>
      <w:pPr>
        <w:pStyle w:val="20"/>
        <w:ind w:left="560"/>
        <w:sectPr>
          <w:footerReference r:id="rId11" w:type="default"/>
          <w:pgSz w:w="11906" w:h="16838"/>
          <w:pgMar w:top="1440" w:right="1800" w:bottom="1440" w:left="1800" w:header="851" w:footer="992" w:gutter="0"/>
          <w:pgNumType w:start="1"/>
          <w:cols w:space="720" w:num="1"/>
          <w:docGrid w:type="lines" w:linePitch="312" w:charSpace="0"/>
        </w:sectPr>
      </w:pPr>
    </w:p>
    <w:p>
      <w:pPr>
        <w:numPr>
          <w:ilvl w:val="0"/>
          <w:numId w:val="2"/>
        </w:numPr>
        <w:ind w:firstLine="0"/>
        <w:jc w:val="center"/>
        <w:outlineLvl w:val="0"/>
      </w:pPr>
      <w:r>
        <w:rPr>
          <w:rFonts w:hint="eastAsia"/>
          <w:b/>
          <w:bCs/>
        </w:rPr>
        <w:t>光伏电站机器损坏险</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numPr>
                <w:ilvl w:val="0"/>
                <w:numId w:val="5"/>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5"/>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杭锦旗国电光伏发电有限公司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保险经纪人：</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杭锦旗国电光伏发电有限公司杭锦旗国电50MW太阳能光伏发电站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widowControl/>
              <w:suppressLineNumbers w:val="0"/>
              <w:jc w:val="left"/>
              <w:rPr>
                <w:color w:val="000000" w:themeColor="text1"/>
                <w14:textFill>
                  <w14:solidFill>
                    <w14:schemeClr w14:val="tx1"/>
                  </w14:solidFill>
                </w14:textFill>
              </w:rPr>
            </w:pPr>
            <w:r>
              <w:rPr>
                <w:rFonts w:hint="eastAsia"/>
                <w:lang w:val="en-US" w:eastAsia="zh-CN"/>
              </w:rPr>
              <w:t>内蒙古自治区鄂尔多斯市杭锦旗巴拉贡镇东南8KM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widowControl/>
              <w:suppressLineNumbers w:val="0"/>
              <w:jc w:val="left"/>
              <w:rPr>
                <w:rFonts w:hint="eastAsia"/>
                <w:color w:val="000000" w:themeColor="text1"/>
                <w14:textFill>
                  <w14:solidFill>
                    <w14:schemeClr w14:val="tx1"/>
                  </w14:solidFill>
                </w14:textFill>
              </w:rPr>
            </w:pPr>
            <w:r>
              <w:rPr>
                <w:rFonts w:hint="eastAsia" w:ascii="仿宋_GB2312" w:hAnsi="仿宋_GB2312" w:cs="仿宋_GB2312"/>
                <w:lang w:val="en-US" w:eastAsia="zh-CN"/>
              </w:rPr>
              <w:t>人民币318,916,967.50</w:t>
            </w:r>
            <w:r>
              <w:rPr>
                <w:rFonts w:hint="eastAsia"/>
                <w:color w:val="000000" w:themeColor="text1"/>
                <w14:textFill>
                  <w14:solidFill>
                    <w14:schemeClr w14:val="tx1"/>
                  </w14:solidFill>
                </w14:textFill>
              </w:rPr>
              <w:t>元</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被保险资产按重置价值（账面原值/账面净值/其他）投保，具体以项目实际投保清单为准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jc w:val="left"/>
              <w:rPr>
                <w:rFonts w:hint="eastAsia" w:eastAsia="仿宋_GB2312"/>
                <w:color w:val="000000" w:themeColor="text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472" w:type="dxa"/>
            <w:vAlign w:val="center"/>
          </w:tcPr>
          <w:p>
            <w:pPr>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保险人按照保险单的规定，负责赔偿被保险人在保险期限内，因下列原因引起或构成突然的、不可预料的意外事故造成被保财产的物质损坏或灭失：</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设计、制造或安装错误、铸造和原材料缺陷；</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工人、技术人员操作错误、缺乏经验、技术不善、疏忽、过失、恶意行为；</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离心力引起的断裂；</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超负荷、超电压、碰线、电弧、漏电、短路、大气放电、感应电及其它电气原因；</w:t>
            </w:r>
          </w:p>
          <w:p>
            <w:pPr>
              <w:numPr>
                <w:ilvl w:val="0"/>
                <w:numId w:val="6"/>
              </w:numPr>
              <w:tabs>
                <w:tab w:val="left" w:pos="840"/>
              </w:tabs>
              <w:ind w:left="0" w:firstLine="560" w:firstLineChars="200"/>
              <w:rPr>
                <w:color w:val="000000" w:themeColor="text1"/>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除保单之“除外责任”项下规定以外的其它原因。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472" w:type="dxa"/>
            <w:vAlign w:val="center"/>
          </w:tcPr>
          <w:p>
            <w:pPr>
              <w:jc w:val="left"/>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本保单每次事故绝对免赔额为</w:t>
            </w:r>
            <w:r>
              <w:rPr>
                <w:rFonts w:hint="eastAsia"/>
                <w:color w:val="000000" w:themeColor="text1"/>
                <w:lang w:val="en-US" w:eastAsia="zh-CN"/>
                <w14:textFill>
                  <w14:solidFill>
                    <w14:schemeClr w14:val="tx1"/>
                  </w14:solidFill>
                </w14:textFill>
              </w:rPr>
              <w:t>人民币</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万元</w:t>
            </w:r>
            <w:r>
              <w:rPr>
                <w:rFonts w:hint="eastAsia"/>
                <w:color w:val="000000" w:themeColor="text1"/>
                <w:lang w:eastAsia="zh-Hans"/>
                <w14:textFill>
                  <w14:solidFill>
                    <w14:schemeClr w14:val="tx1"/>
                  </w14:solidFill>
                </w14:textFill>
              </w:rPr>
              <w:t>或损失金额的1</w:t>
            </w:r>
            <w:r>
              <w:rPr>
                <w:color w:val="000000" w:themeColor="text1"/>
                <w14:textFill>
                  <w14:solidFill>
                    <w14:schemeClr w14:val="tx1"/>
                  </w14:solidFill>
                </w14:textFill>
              </w:rPr>
              <w:t>0</w:t>
            </w:r>
            <w:r>
              <w:rPr>
                <w:rFonts w:hint="eastAsia"/>
                <w:color w:val="000000" w:themeColor="text1"/>
                <w:lang w:eastAsia="zh-Hans"/>
                <w14:textFill>
                  <w14:solidFill>
                    <w14:schemeClr w14:val="tx1"/>
                  </w14:solidFill>
                </w14:textFill>
              </w:rPr>
              <w:t>%，两者以高者为准。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472" w:type="dxa"/>
            <w:vAlign w:val="center"/>
          </w:tcPr>
          <w:p>
            <w:pPr>
              <w:numPr>
                <w:ilvl w:val="0"/>
                <w:numId w:val="0"/>
              </w:numPr>
              <w:jc w:val="left"/>
              <w:rPr>
                <w:lang w:eastAsia="zh-Hans"/>
              </w:rPr>
            </w:pPr>
            <w:r>
              <w:rPr>
                <w:rFonts w:hint="eastAsia"/>
              </w:rPr>
              <w:t>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472" w:type="dxa"/>
            <w:vAlign w:val="center"/>
          </w:tcPr>
          <w:p>
            <w:pPr>
              <w:numPr>
                <w:ilvl w:val="0"/>
                <w:numId w:val="7"/>
              </w:numPr>
            </w:pPr>
            <w:r>
              <w:rPr>
                <w:rFonts w:hint="eastAsia"/>
              </w:rPr>
              <w:t>附加自动恢复保险金额条款</w:t>
            </w:r>
          </w:p>
          <w:p>
            <w:pPr>
              <w:numPr>
                <w:ilvl w:val="0"/>
                <w:numId w:val="7"/>
              </w:numPr>
            </w:pPr>
            <w:r>
              <w:rPr>
                <w:rFonts w:hint="eastAsia"/>
              </w:rPr>
              <w:t>附加清理残骸费用扩展条款（每次事故赔偿限额100万元，累计赔偿限额500万元）</w:t>
            </w:r>
          </w:p>
          <w:p>
            <w:pPr>
              <w:numPr>
                <w:ilvl w:val="0"/>
                <w:numId w:val="1"/>
              </w:numPr>
              <w:jc w:val="left"/>
              <w:rPr>
                <w:rFonts w:hint="eastAsia"/>
              </w:rPr>
            </w:pPr>
            <w:r>
              <w:rPr>
                <w:rFonts w:hint="eastAsia"/>
                <w:lang w:val="en-US" w:eastAsia="zh-CN"/>
              </w:rPr>
              <w:t>附加索赔费用条款</w:t>
            </w:r>
            <w:r>
              <w:rPr>
                <w:rFonts w:hint="eastAsia"/>
              </w:rPr>
              <w:t>（每次事故赔偿限额100万元，累计赔偿限额500万元）</w:t>
            </w:r>
          </w:p>
          <w:p>
            <w:pPr>
              <w:numPr>
                <w:ilvl w:val="0"/>
                <w:numId w:val="7"/>
              </w:numPr>
              <w:rPr>
                <w:rFonts w:hint="eastAsia"/>
              </w:rPr>
            </w:pPr>
            <w:r>
              <w:rPr>
                <w:rFonts w:hint="eastAsia"/>
              </w:rPr>
              <w:t>附加预防及抢险费用专用条款（每次事故赔偿限额100万元，累计赔偿限额500万元）</w:t>
            </w:r>
          </w:p>
          <w:p>
            <w:pPr>
              <w:numPr>
                <w:ilvl w:val="0"/>
                <w:numId w:val="7"/>
              </w:numPr>
              <w:rPr>
                <w:rFonts w:hint="eastAsia"/>
              </w:rPr>
            </w:pPr>
            <w:r>
              <w:rPr>
                <w:rFonts w:hint="eastAsia"/>
              </w:rPr>
              <w:t>附加保护现场条款</w:t>
            </w:r>
          </w:p>
          <w:p>
            <w:pPr>
              <w:numPr>
                <w:ilvl w:val="0"/>
                <w:numId w:val="7"/>
              </w:numPr>
              <w:rPr>
                <w:rFonts w:hint="eastAsia"/>
              </w:rPr>
            </w:pPr>
            <w:r>
              <w:rPr>
                <w:rFonts w:hint="eastAsia"/>
              </w:rPr>
              <w:t>附加错误和遗漏条款</w:t>
            </w:r>
          </w:p>
          <w:p>
            <w:pPr>
              <w:numPr>
                <w:ilvl w:val="0"/>
                <w:numId w:val="7"/>
              </w:numPr>
            </w:pPr>
            <w:r>
              <w:rPr>
                <w:rFonts w:hint="eastAsia"/>
                <w:lang w:val="en-US" w:eastAsia="zh-CN"/>
              </w:rPr>
              <w:t>附加重置价值条款</w:t>
            </w:r>
          </w:p>
          <w:p>
            <w:pPr>
              <w:numPr>
                <w:ilvl w:val="0"/>
                <w:numId w:val="7"/>
              </w:numPr>
            </w:pPr>
            <w:r>
              <w:t>附加特别费用扩展条款</w:t>
            </w:r>
            <w:r>
              <w:rPr>
                <w:rFonts w:hint="eastAsia"/>
              </w:rPr>
              <w:t>（每次事故赔偿限额100万元，累计赔偿限额500万元）</w:t>
            </w:r>
          </w:p>
          <w:p>
            <w:pPr>
              <w:numPr>
                <w:ilvl w:val="0"/>
                <w:numId w:val="7"/>
              </w:numPr>
            </w:pPr>
            <w:r>
              <w:t>附加专业费用扩展条款</w:t>
            </w:r>
            <w:r>
              <w:rPr>
                <w:rFonts w:hint="eastAsia"/>
              </w:rPr>
              <w:t>（每次事故赔偿限额100万元，累计赔偿限额500万元）</w:t>
            </w:r>
          </w:p>
          <w:p>
            <w:pPr>
              <w:numPr>
                <w:ilvl w:val="0"/>
                <w:numId w:val="7"/>
              </w:numPr>
              <w:rPr>
                <w:rFonts w:hint="eastAsia" w:ascii="Times New Roman" w:hAnsi="Times New Roman" w:cs="Times New Roman"/>
              </w:rPr>
            </w:pPr>
            <w:r>
              <w:rPr>
                <w:rFonts w:hint="eastAsia" w:ascii="Times New Roman" w:hAnsi="Times New Roman" w:cs="Times New Roman"/>
              </w:rPr>
              <w:t>附加预付赔款条款</w:t>
            </w:r>
            <w:r>
              <w:rPr>
                <w:rFonts w:hint="eastAsia" w:ascii="Times New Roman" w:hAnsi="Times New Roman" w:cs="Times New Roman"/>
                <w:lang w:eastAsia="zh-CN"/>
              </w:rPr>
              <w:t>（</w:t>
            </w:r>
            <w:r>
              <w:rPr>
                <w:rFonts w:hint="eastAsia" w:ascii="Times New Roman" w:hAnsi="Times New Roman" w:cs="Times New Roman"/>
                <w:lang w:val="en-US" w:eastAsia="zh-CN"/>
              </w:rPr>
              <w:t>50%</w:t>
            </w:r>
            <w:r>
              <w:rPr>
                <w:rFonts w:hint="eastAsia" w:ascii="Times New Roman" w:hAnsi="Times New Roman" w:cs="Times New Roman"/>
                <w:lang w:eastAsia="zh-CN"/>
              </w:rPr>
              <w:t>）</w:t>
            </w:r>
          </w:p>
          <w:p>
            <w:pPr>
              <w:numPr>
                <w:ilvl w:val="0"/>
                <w:numId w:val="7"/>
              </w:numPr>
              <w:rPr>
                <w:rFonts w:hint="eastAsia" w:ascii="Times New Roman" w:hAnsi="Times New Roman" w:cs="Times New Roman"/>
              </w:rPr>
            </w:pPr>
            <w:r>
              <w:rPr>
                <w:rFonts w:hint="eastAsia" w:ascii="Times New Roman" w:hAnsi="Times New Roman" w:cs="Times New Roman"/>
                <w:lang w:val="en-US" w:eastAsia="zh-CN"/>
              </w:rPr>
              <w:t>附加成对或成套设备条款</w:t>
            </w:r>
          </w:p>
          <w:p>
            <w:pPr>
              <w:numPr>
                <w:ilvl w:val="0"/>
                <w:numId w:val="7"/>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附加检修扩展条款 </w:t>
            </w:r>
          </w:p>
          <w:p>
            <w:pPr>
              <w:numPr>
                <w:ilvl w:val="0"/>
                <w:numId w:val="7"/>
              </w:numPr>
            </w:pPr>
            <w:r>
              <w:rPr>
                <w:rFonts w:hint="eastAsia" w:ascii="Times New Roman" w:hAnsi="Times New Roman" w:cs="Times New Roman"/>
                <w:lang w:val="en-US" w:eastAsia="zh-CN"/>
              </w:rPr>
              <w:t>保护系统拒动保险</w:t>
            </w:r>
          </w:p>
        </w:tc>
      </w:tr>
    </w:tbl>
    <w:p>
      <w:pPr>
        <w:pStyle w:val="20"/>
        <w:ind w:left="560"/>
      </w:pPr>
    </w:p>
    <w:p>
      <w:pPr>
        <w:pStyle w:val="20"/>
        <w:ind w:left="560"/>
      </w:pPr>
    </w:p>
    <w:p>
      <w:r>
        <w:br w:type="page"/>
      </w:r>
    </w:p>
    <w:p>
      <w:pPr>
        <w:numPr>
          <w:ilvl w:val="0"/>
          <w:numId w:val="2"/>
        </w:numPr>
        <w:ind w:firstLine="0"/>
        <w:jc w:val="center"/>
        <w:outlineLvl w:val="0"/>
        <w:rPr>
          <w:b/>
          <w:bCs/>
        </w:rPr>
      </w:pPr>
      <w:r>
        <w:rPr>
          <w:rFonts w:hint="eastAsia"/>
          <w:b/>
          <w:bCs/>
        </w:rPr>
        <w:t>公众责任险</w:t>
      </w:r>
    </w:p>
    <w:tbl>
      <w:tblPr>
        <w:tblStyle w:val="22"/>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948"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spacing w:val="1120"/>
                <w:kern w:val="0"/>
                <w14:textFill>
                  <w14:solidFill>
                    <w14:schemeClr w14:val="tx1"/>
                  </w14:solidFill>
                </w14:textFill>
              </w:rPr>
            </w:pPr>
            <w:r>
              <w:rPr>
                <w:rFonts w:hint="eastAsia"/>
                <w:b/>
                <w:bCs/>
                <w:color w:val="000000" w:themeColor="text1"/>
                <w:kern w:val="0"/>
                <w14:textFill>
                  <w14:solidFill>
                    <w14:schemeClr w14:val="tx1"/>
                  </w14:solidFill>
                </w14:textFill>
              </w:rPr>
              <w:t>投保人</w:t>
            </w:r>
            <w:r>
              <w:rPr>
                <w:rFonts w:hint="eastAsia"/>
                <w:b/>
                <w:bCs/>
                <w:color w:val="000000" w:themeColor="text1"/>
                <w14:textFill>
                  <w14:solidFill>
                    <w14:schemeClr w14:val="tx1"/>
                  </w14:solidFill>
                </w14:textFill>
              </w:rPr>
              <w:t>：</w:t>
            </w:r>
          </w:p>
        </w:tc>
        <w:tc>
          <w:tcPr>
            <w:tcW w:w="6948" w:type="dxa"/>
            <w:vAlign w:val="center"/>
          </w:tcPr>
          <w:p>
            <w:pPr>
              <w:numPr>
                <w:ilvl w:val="0"/>
                <w:numId w:val="8"/>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8"/>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948"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杭锦旗国电光伏发电有限公司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948"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948" w:type="dxa"/>
            <w:vAlign w:val="center"/>
          </w:tcPr>
          <w:p>
            <w:pPr>
              <w:jc w:val="left"/>
              <w:rPr>
                <w:color w:val="000000" w:themeColor="text1"/>
                <w:spacing w:val="920"/>
                <w:kern w:val="0"/>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948" w:type="dxa"/>
            <w:vAlign w:val="center"/>
          </w:tcPr>
          <w:p>
            <w:pPr>
              <w:jc w:val="left"/>
              <w:rPr>
                <w:color w:val="000000" w:themeColor="text1"/>
                <w:spacing w:val="1120"/>
                <w:kern w:val="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948" w:type="dxa"/>
            <w:vAlign w:val="center"/>
          </w:tcPr>
          <w:p>
            <w:pPr>
              <w:keepNext w:val="0"/>
              <w:keepLines w:val="0"/>
              <w:widowControl/>
              <w:suppressLineNumbers w:val="0"/>
              <w:jc w:val="left"/>
              <w:rPr>
                <w:color w:val="000000" w:themeColor="text1"/>
                <w:spacing w:val="1120"/>
                <w:kern w:val="0"/>
                <w14:textFill>
                  <w14:solidFill>
                    <w14:schemeClr w14:val="tx1"/>
                  </w14:solidFill>
                </w14:textFill>
              </w:rPr>
            </w:pPr>
            <w:r>
              <w:rPr>
                <w:rFonts w:hint="eastAsia"/>
                <w:lang w:val="en-US" w:eastAsia="zh-CN"/>
              </w:rPr>
              <w:t>内蒙古自治区鄂尔多斯市杭锦旗巴拉贡镇东南8KM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948"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948"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累计事故赔偿限额为人民币</w:t>
            </w: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00万元；</w:t>
            </w:r>
          </w:p>
          <w:p>
            <w:pPr>
              <w:jc w:val="left"/>
              <w:rPr>
                <w:rFonts w:hint="eastAsia"/>
                <w:lang w:val="en-US" w:eastAsia="zh-CN"/>
              </w:rPr>
            </w:pPr>
            <w:r>
              <w:rPr>
                <w:rFonts w:hint="eastAsia"/>
                <w:lang w:val="en-US" w:eastAsia="zh-CN"/>
              </w:rPr>
              <w:t>每次事故赔偿限额人民币1000万元；</w:t>
            </w:r>
          </w:p>
          <w:p>
            <w:pPr>
              <w:jc w:val="left"/>
            </w:pPr>
            <w:r>
              <w:rPr>
                <w:rFonts w:hint="eastAsia"/>
                <w:lang w:val="en-US" w:eastAsia="zh-CN"/>
              </w:rPr>
              <w:t>每人每次事故人身伤亡赔偿限额为人民币100万元</w:t>
            </w:r>
            <w:r>
              <w:rPr>
                <w:rFonts w:hint="eastAsia"/>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948" w:type="dxa"/>
            <w:vAlign w:val="center"/>
          </w:tcPr>
          <w:p>
            <w:pPr>
              <w:jc w:val="left"/>
              <w:rPr>
                <w:rFonts w:hint="eastAsia" w:eastAsia="仿宋_GB2312"/>
                <w:b/>
                <w:color w:val="FF0000"/>
                <w:lang w:val="en-US" w:eastAsia="zh-CN"/>
              </w:rPr>
            </w:pPr>
            <w:r>
              <w:rPr>
                <w:rFonts w:hint="eastAsia"/>
                <w:color w:val="000000" w:themeColor="text1"/>
                <w:lang w:val="en-US" w:eastAsia="zh-CN"/>
                <w14:textFill>
                  <w14:solidFill>
                    <w14:schemeClr w14:val="tx1"/>
                  </w14:solidFill>
                </w14:textFill>
              </w:rPr>
              <w:t>杭锦旗国电光伏发电有限公司杭锦旗国电50MW太阳能光伏发电站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948" w:type="dxa"/>
            <w:vAlign w:val="center"/>
          </w:tcPr>
          <w:p>
            <w:pPr>
              <w:jc w:val="left"/>
              <w:rPr>
                <w:color w:val="000000" w:themeColor="text1"/>
                <w:spacing w:val="1"/>
                <w:w w:val="94"/>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948"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948" w:type="dxa"/>
            <w:vAlign w:val="center"/>
          </w:tcPr>
          <w:p>
            <w:pPr>
              <w:numPr>
                <w:ilvl w:val="0"/>
                <w:numId w:val="9"/>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被保险人在保险单/保险合同明细表列明的区域范围内，合法从事经营范围内的业务时发生意外事故造成第三者的人身伤亡或财产损失，依照中华人民共和国法律（不包括港澳台地区法律）应由被保险人承担的经济赔偿责任，保险人按照本保险合同约定负责赔偿。</w:t>
            </w:r>
          </w:p>
          <w:p>
            <w:pPr>
              <w:numPr>
                <w:ilvl w:val="0"/>
                <w:numId w:val="9"/>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948" w:type="dxa"/>
            <w:vAlign w:val="center"/>
          </w:tcPr>
          <w:p>
            <w:pPr>
              <w:numPr>
                <w:ilvl w:val="0"/>
                <w:numId w:val="10"/>
              </w:numPr>
              <w:jc w:val="left"/>
              <w:rPr>
                <w:color w:val="000000" w:themeColor="text1"/>
                <w:lang w:eastAsia="zh-Hans"/>
                <w14:textFill>
                  <w14:solidFill>
                    <w14:schemeClr w14:val="tx1"/>
                  </w14:solidFill>
                </w14:textFill>
              </w:rPr>
            </w:pPr>
            <w:r>
              <w:rPr>
                <w:rFonts w:hint="eastAsia"/>
                <w:color w:val="000000" w:themeColor="text1"/>
                <w:lang w:eastAsia="zh-Hans"/>
                <w14:textFill>
                  <w14:solidFill>
                    <w14:schemeClr w14:val="tx1"/>
                  </w14:solidFill>
                </w14:textFill>
              </w:rPr>
              <w:t>本保单每次事故财产损失绝对免赔额为</w:t>
            </w:r>
            <w:r>
              <w:rPr>
                <w:rFonts w:hint="eastAsia"/>
                <w:color w:val="000000" w:themeColor="text1"/>
                <w:lang w:val="en-US" w:eastAsia="zh-CN"/>
                <w14:textFill>
                  <w14:solidFill>
                    <w14:schemeClr w14:val="tx1"/>
                  </w14:solidFill>
                </w14:textFill>
              </w:rPr>
              <w:t>人民币5000</w:t>
            </w:r>
            <w:r>
              <w:rPr>
                <w:rFonts w:hint="eastAsia"/>
                <w:color w:val="000000" w:themeColor="text1"/>
                <w:lang w:eastAsia="zh-Hans"/>
                <w14:textFill>
                  <w14:solidFill>
                    <w14:schemeClr w14:val="tx1"/>
                  </w14:solidFill>
                </w14:textFill>
              </w:rPr>
              <w:t>元或损失金额的</w:t>
            </w:r>
            <w:r>
              <w:rPr>
                <w:color w:val="000000" w:themeColor="text1"/>
                <w:lang w:eastAsia="zh-Hans"/>
                <w14:textFill>
                  <w14:solidFill>
                    <w14:schemeClr w14:val="tx1"/>
                  </w14:solidFill>
                </w14:textFill>
              </w:rPr>
              <w:t>1</w:t>
            </w:r>
            <w:r>
              <w:rPr>
                <w:rFonts w:hint="eastAsia"/>
                <w:color w:val="000000" w:themeColor="text1"/>
                <w:lang w:eastAsia="zh-Hans"/>
                <w14:textFill>
                  <w14:solidFill>
                    <w14:schemeClr w14:val="tx1"/>
                  </w14:solidFill>
                </w14:textFill>
              </w:rPr>
              <w:t>0%，两者以高者为准。</w:t>
            </w:r>
          </w:p>
          <w:p>
            <w:pPr>
              <w:numPr>
                <w:ilvl w:val="0"/>
                <w:numId w:val="10"/>
              </w:num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人身伤亡无免赔。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948" w:type="dxa"/>
            <w:vAlign w:val="center"/>
          </w:tcPr>
          <w:p>
            <w:pPr>
              <w:numPr>
                <w:ilvl w:val="0"/>
                <w:numId w:val="0"/>
              </w:numPr>
              <w:jc w:val="left"/>
              <w:rPr>
                <w:rFonts w:hint="eastAsia" w:eastAsia="仿宋_GB2312"/>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本保单承保的是被保险人固定于保单载明地址内安装的分布式光伏发电系统以及相关配套设施由于保险条款列明保险责任造成的第三者财产损失或第三者人身伤亡。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948" w:type="dxa"/>
            <w:vAlign w:val="center"/>
          </w:tcPr>
          <w:p>
            <w:pPr>
              <w:numPr>
                <w:ilvl w:val="0"/>
                <w:numId w:val="11"/>
              </w:numPr>
              <w:rPr>
                <w:rFonts w:hint="eastAsia"/>
                <w:lang w:eastAsia="zh-CN"/>
              </w:rPr>
            </w:pPr>
            <w:r>
              <w:rPr>
                <w:rFonts w:hint="eastAsia"/>
                <w:lang w:eastAsia="zh-CN"/>
              </w:rPr>
              <w:t>火灾和爆炸责任</w:t>
            </w:r>
            <w:r>
              <w:rPr>
                <w:rFonts w:hint="eastAsia"/>
                <w:lang w:val="en-US" w:eastAsia="zh-CN"/>
              </w:rPr>
              <w:t>保险</w:t>
            </w:r>
            <w:r>
              <w:rPr>
                <w:rFonts w:hint="eastAsia"/>
                <w:lang w:eastAsia="zh-CN"/>
              </w:rPr>
              <w:t>（每次事故赔偿限额人民币</w:t>
            </w:r>
            <w:r>
              <w:rPr>
                <w:rFonts w:hint="eastAsia"/>
                <w:lang w:val="en-US" w:eastAsia="zh-CN"/>
              </w:rPr>
              <w:t>5</w:t>
            </w:r>
            <w:r>
              <w:rPr>
                <w:rFonts w:hint="eastAsia"/>
                <w:lang w:eastAsia="zh-CN"/>
              </w:rPr>
              <w:t>00万元）；</w:t>
            </w:r>
          </w:p>
          <w:p>
            <w:pPr>
              <w:numPr>
                <w:ilvl w:val="0"/>
                <w:numId w:val="11"/>
              </w:numPr>
              <w:rPr>
                <w:rFonts w:hint="eastAsia"/>
                <w:lang w:eastAsia="zh-CN"/>
              </w:rPr>
            </w:pPr>
            <w:r>
              <w:rPr>
                <w:rFonts w:hint="eastAsia"/>
                <w:lang w:eastAsia="zh-CN"/>
              </w:rPr>
              <w:t>建筑物改变条款（每次事故赔偿限额人民币5</w:t>
            </w:r>
            <w:r>
              <w:rPr>
                <w:rFonts w:hint="eastAsia"/>
                <w:lang w:val="en-US" w:eastAsia="zh-CN"/>
              </w:rPr>
              <w:t>0</w:t>
            </w:r>
            <w:r>
              <w:rPr>
                <w:rFonts w:hint="eastAsia"/>
                <w:lang w:eastAsia="zh-CN"/>
              </w:rPr>
              <w:t>0万元）；</w:t>
            </w:r>
          </w:p>
          <w:p>
            <w:pPr>
              <w:numPr>
                <w:ilvl w:val="0"/>
                <w:numId w:val="11"/>
              </w:numPr>
              <w:rPr>
                <w:rFonts w:hint="eastAsia"/>
                <w:lang w:eastAsia="zh-CN"/>
              </w:rPr>
            </w:pPr>
            <w:r>
              <w:rPr>
                <w:rFonts w:hint="eastAsia"/>
                <w:lang w:eastAsia="zh-CN"/>
              </w:rPr>
              <w:t>急救费用条款（每次事故赔偿限额人民币50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附加交叉责任保险（每次事故赔偿限额人民币50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附加污染责任保险（每次事故赔偿限额人民币50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社会活动责任</w:t>
            </w:r>
            <w:r>
              <w:rPr>
                <w:rFonts w:hint="eastAsia"/>
                <w:lang w:val="en-US" w:eastAsia="zh-CN"/>
              </w:rPr>
              <w:t>保险；</w:t>
            </w:r>
          </w:p>
          <w:p>
            <w:pPr>
              <w:numPr>
                <w:ilvl w:val="0"/>
                <w:numId w:val="11"/>
              </w:numPr>
              <w:rPr>
                <w:rFonts w:hint="eastAsia"/>
                <w:lang w:eastAsia="zh-CN"/>
              </w:rPr>
            </w:pPr>
            <w:r>
              <w:rPr>
                <w:rFonts w:hint="eastAsia"/>
                <w:lang w:val="en-US" w:eastAsia="zh-CN"/>
              </w:rPr>
              <w:t>附加救火费用保险</w:t>
            </w:r>
            <w:r>
              <w:rPr>
                <w:rFonts w:hint="eastAsia"/>
                <w:lang w:eastAsia="zh-CN"/>
              </w:rPr>
              <w:t>；</w:t>
            </w:r>
          </w:p>
          <w:p>
            <w:pPr>
              <w:numPr>
                <w:ilvl w:val="0"/>
                <w:numId w:val="11"/>
              </w:numPr>
              <w:rPr>
                <w:rFonts w:hint="eastAsia"/>
                <w:lang w:eastAsia="zh-CN"/>
              </w:rPr>
            </w:pPr>
            <w:r>
              <w:rPr>
                <w:rFonts w:hint="eastAsia"/>
                <w:lang w:eastAsia="zh-CN"/>
              </w:rPr>
              <w:t>附加访问者赔偿条款；</w:t>
            </w:r>
          </w:p>
          <w:p>
            <w:pPr>
              <w:numPr>
                <w:ilvl w:val="0"/>
                <w:numId w:val="11"/>
              </w:numPr>
              <w:rPr>
                <w:rFonts w:hint="eastAsia"/>
                <w:lang w:eastAsia="zh-CN"/>
              </w:rPr>
            </w:pPr>
            <w:r>
              <w:rPr>
                <w:rFonts w:hint="eastAsia"/>
                <w:lang w:eastAsia="zh-CN"/>
              </w:rPr>
              <w:t>附加第三者赔偿责任保险条款；</w:t>
            </w:r>
          </w:p>
          <w:p>
            <w:pPr>
              <w:numPr>
                <w:ilvl w:val="0"/>
                <w:numId w:val="11"/>
              </w:numPr>
              <w:rPr>
                <w:rFonts w:hint="eastAsia"/>
                <w:lang w:eastAsia="zh-CN"/>
              </w:rPr>
            </w:pPr>
            <w:r>
              <w:rPr>
                <w:rFonts w:hint="eastAsia"/>
                <w:lang w:eastAsia="zh-CN"/>
              </w:rPr>
              <w:t>附加董事会、监事会成员赔偿保险条款；</w:t>
            </w:r>
          </w:p>
          <w:p>
            <w:pPr>
              <w:numPr>
                <w:ilvl w:val="0"/>
                <w:numId w:val="11"/>
              </w:numPr>
              <w:rPr>
                <w:rFonts w:hint="eastAsia"/>
                <w:lang w:eastAsia="zh-CN"/>
              </w:rPr>
            </w:pPr>
            <w:r>
              <w:rPr>
                <w:rFonts w:hint="eastAsia"/>
                <w:lang w:eastAsia="zh-CN"/>
              </w:rPr>
              <w:t>附加无过失责任保险条款；</w:t>
            </w:r>
          </w:p>
          <w:p>
            <w:pPr>
              <w:numPr>
                <w:ilvl w:val="0"/>
                <w:numId w:val="11"/>
              </w:numPr>
              <w:rPr>
                <w:rFonts w:hint="eastAsia"/>
                <w:lang w:val="en-US" w:eastAsia="zh-CN"/>
              </w:rPr>
            </w:pPr>
            <w:r>
              <w:rPr>
                <w:rFonts w:hint="eastAsia"/>
                <w:lang w:val="en-US" w:eastAsia="zh-CN"/>
              </w:rPr>
              <w:t>附加自然灾害保险</w:t>
            </w:r>
            <w:r>
              <w:rPr>
                <w:rFonts w:hint="eastAsia"/>
                <w:lang w:eastAsia="zh-CN"/>
              </w:rPr>
              <w:t>（每次事故赔偿限额人民币</w:t>
            </w:r>
            <w:r>
              <w:rPr>
                <w:rFonts w:hint="eastAsia"/>
                <w:lang w:val="en-US" w:eastAsia="zh-CN"/>
              </w:rPr>
              <w:t>5</w:t>
            </w:r>
            <w:r>
              <w:rPr>
                <w:rFonts w:hint="eastAsia"/>
                <w:lang w:eastAsia="zh-CN"/>
              </w:rPr>
              <w:t>00万元）。</w:t>
            </w:r>
          </w:p>
        </w:tc>
      </w:tr>
    </w:tbl>
    <w:p>
      <w:pPr>
        <w:pStyle w:val="20"/>
        <w:ind w:left="0" w:leftChars="0" w:firstLine="0"/>
      </w:pPr>
    </w:p>
    <w:sectPr>
      <w:pgSz w:w="11906" w:h="16838"/>
      <w:pgMar w:top="1440" w:right="1800" w:bottom="987"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jc w:val="center"/>
    </w:pPr>
  </w:p>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267BE"/>
    <w:multiLevelType w:val="singleLevel"/>
    <w:tmpl w:val="9A9267BE"/>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1">
    <w:nsid w:val="A0C48EDA"/>
    <w:multiLevelType w:val="singleLevel"/>
    <w:tmpl w:val="A0C48EDA"/>
    <w:lvl w:ilvl="0" w:tentative="0">
      <w:start w:val="1"/>
      <w:numFmt w:val="chineseCounting"/>
      <w:suff w:val="nothing"/>
      <w:lvlText w:val="%1、"/>
      <w:lvlJc w:val="left"/>
      <w:pPr>
        <w:ind w:left="0" w:firstLine="420"/>
      </w:pPr>
      <w:rPr>
        <w:rFonts w:hint="eastAsia"/>
      </w:rPr>
    </w:lvl>
  </w:abstractNum>
  <w:abstractNum w:abstractNumId="2">
    <w:nsid w:val="B6502A50"/>
    <w:multiLevelType w:val="singleLevel"/>
    <w:tmpl w:val="B6502A50"/>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3">
    <w:nsid w:val="C21F6AD7"/>
    <w:multiLevelType w:val="singleLevel"/>
    <w:tmpl w:val="C21F6AD7"/>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4">
    <w:nsid w:val="E9819119"/>
    <w:multiLevelType w:val="singleLevel"/>
    <w:tmpl w:val="E9819119"/>
    <w:lvl w:ilvl="0" w:tentative="0">
      <w:start w:val="1"/>
      <w:numFmt w:val="decimal"/>
      <w:lvlText w:val="%1."/>
      <w:lvlJc w:val="left"/>
      <w:pPr>
        <w:ind w:left="425" w:hanging="425"/>
      </w:pPr>
      <w:rPr>
        <w:rFonts w:hint="default"/>
        <w:color w:val="000000" w:themeColor="text1"/>
        <w14:textFill>
          <w14:solidFill>
            <w14:schemeClr w14:val="tx1"/>
          </w14:solidFill>
        </w14:textFill>
      </w:rPr>
    </w:lvl>
  </w:abstractNum>
  <w:abstractNum w:abstractNumId="5">
    <w:nsid w:val="FA02F2AD"/>
    <w:multiLevelType w:val="singleLevel"/>
    <w:tmpl w:val="FA02F2AD"/>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6">
    <w:nsid w:val="3F56AFA5"/>
    <w:multiLevelType w:val="singleLevel"/>
    <w:tmpl w:val="3F56AFA5"/>
    <w:lvl w:ilvl="0" w:tentative="0">
      <w:start w:val="1"/>
      <w:numFmt w:val="decimal"/>
      <w:pStyle w:val="27"/>
      <w:lvlText w:val="%1."/>
      <w:lvlJc w:val="left"/>
      <w:pPr>
        <w:ind w:left="425" w:hanging="425"/>
      </w:pPr>
      <w:rPr>
        <w:rFonts w:hint="default"/>
        <w:b w:val="0"/>
        <w:bCs w:val="0"/>
        <w:color w:val="000000" w:themeColor="text1"/>
        <w14:textFill>
          <w14:solidFill>
            <w14:schemeClr w14:val="tx1"/>
          </w14:solidFill>
        </w14:textFill>
      </w:rPr>
    </w:lvl>
  </w:abstractNum>
  <w:abstractNum w:abstractNumId="7">
    <w:nsid w:val="58A07144"/>
    <w:multiLevelType w:val="singleLevel"/>
    <w:tmpl w:val="58A07144"/>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8">
    <w:nsid w:val="642F1C80"/>
    <w:multiLevelType w:val="singleLevel"/>
    <w:tmpl w:val="642F1C80"/>
    <w:lvl w:ilvl="0" w:tentative="0">
      <w:start w:val="1"/>
      <w:numFmt w:val="decimal"/>
      <w:suff w:val="nothing"/>
      <w:lvlText w:val="%1、"/>
      <w:lvlJc w:val="left"/>
      <w:rPr>
        <w:rFonts w:hint="default"/>
        <w:color w:val="000000" w:themeColor="text1"/>
        <w14:textFill>
          <w14:solidFill>
            <w14:schemeClr w14:val="tx1"/>
          </w14:solidFill>
        </w14:textFill>
      </w:rPr>
    </w:lvl>
  </w:abstractNum>
  <w:num w:numId="1">
    <w:abstractNumId w:val="6"/>
  </w:num>
  <w:num w:numId="2">
    <w:abstractNumId w:val="1"/>
  </w:num>
  <w:num w:numId="3">
    <w:abstractNumId w:val="5"/>
  </w:num>
  <w:num w:numId="4">
    <w:abstractNumId w:val="2"/>
  </w:num>
  <w:num w:numId="5">
    <w:abstractNumId w:val="8"/>
  </w:num>
  <w:num w:numId="6">
    <w:abstractNumId w:val="4"/>
  </w:num>
  <w:num w:numId="7">
    <w:abstractNumId w:val="6"/>
    <w:lvlOverride w:ilvl="0">
      <w:startOverride w:val="1"/>
    </w:lvlOverride>
  </w:num>
  <w:num w:numId="8">
    <w:abstractNumId w:val="0"/>
  </w:num>
  <w:num w:numId="9">
    <w:abstractNumId w:val="3"/>
  </w:num>
  <w:num w:numId="10">
    <w:abstractNumId w:val="7"/>
  </w:num>
  <w:num w:numId="11">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ZGJkNDQwZWNjNDFjMjBhYjU1NzM2OWZkOTI3OTgifQ=="/>
  </w:docVars>
  <w:rsids>
    <w:rsidRoot w:val="00A95EC0"/>
    <w:rsid w:val="000F1926"/>
    <w:rsid w:val="002515F6"/>
    <w:rsid w:val="00387C6B"/>
    <w:rsid w:val="00776AAF"/>
    <w:rsid w:val="008D5A78"/>
    <w:rsid w:val="00A939B7"/>
    <w:rsid w:val="00A95EC0"/>
    <w:rsid w:val="00CA6B5B"/>
    <w:rsid w:val="00D03B86"/>
    <w:rsid w:val="00D05E0C"/>
    <w:rsid w:val="00D95295"/>
    <w:rsid w:val="00F73E22"/>
    <w:rsid w:val="00FC766A"/>
    <w:rsid w:val="01017FB5"/>
    <w:rsid w:val="013E5A33"/>
    <w:rsid w:val="01B779D9"/>
    <w:rsid w:val="01F34FBF"/>
    <w:rsid w:val="020134F6"/>
    <w:rsid w:val="020E4C47"/>
    <w:rsid w:val="02756264"/>
    <w:rsid w:val="029A47EC"/>
    <w:rsid w:val="02C42045"/>
    <w:rsid w:val="02DF2912"/>
    <w:rsid w:val="02EC0514"/>
    <w:rsid w:val="030A403F"/>
    <w:rsid w:val="034F527C"/>
    <w:rsid w:val="0364372E"/>
    <w:rsid w:val="038E4D60"/>
    <w:rsid w:val="039F0765"/>
    <w:rsid w:val="03AE3097"/>
    <w:rsid w:val="03C142B6"/>
    <w:rsid w:val="03EA2EFC"/>
    <w:rsid w:val="03EC63FF"/>
    <w:rsid w:val="040E657C"/>
    <w:rsid w:val="04154986"/>
    <w:rsid w:val="04336DBD"/>
    <w:rsid w:val="04C44DDD"/>
    <w:rsid w:val="04D055BA"/>
    <w:rsid w:val="04F76435"/>
    <w:rsid w:val="05176BDE"/>
    <w:rsid w:val="05750484"/>
    <w:rsid w:val="05C71FA7"/>
    <w:rsid w:val="05DC0DD7"/>
    <w:rsid w:val="05E1152D"/>
    <w:rsid w:val="05F0383D"/>
    <w:rsid w:val="06805C4E"/>
    <w:rsid w:val="068A5B0F"/>
    <w:rsid w:val="06BC5A81"/>
    <w:rsid w:val="0722013F"/>
    <w:rsid w:val="076808B4"/>
    <w:rsid w:val="07D8540A"/>
    <w:rsid w:val="08273270"/>
    <w:rsid w:val="08A03E34"/>
    <w:rsid w:val="08E9332E"/>
    <w:rsid w:val="093C2007"/>
    <w:rsid w:val="09D0027E"/>
    <w:rsid w:val="09F73380"/>
    <w:rsid w:val="09FF7E17"/>
    <w:rsid w:val="0A06755F"/>
    <w:rsid w:val="0A197F04"/>
    <w:rsid w:val="0A4669AA"/>
    <w:rsid w:val="0A595171"/>
    <w:rsid w:val="0AB54FE3"/>
    <w:rsid w:val="0AB66A6D"/>
    <w:rsid w:val="0AB97D26"/>
    <w:rsid w:val="0B1411F9"/>
    <w:rsid w:val="0B1C785F"/>
    <w:rsid w:val="0B240C0C"/>
    <w:rsid w:val="0B724F56"/>
    <w:rsid w:val="0B7329D8"/>
    <w:rsid w:val="0B9909DD"/>
    <w:rsid w:val="0BA231F9"/>
    <w:rsid w:val="0BBE4B7C"/>
    <w:rsid w:val="0BCB3067"/>
    <w:rsid w:val="0BD62FC0"/>
    <w:rsid w:val="0BE07789"/>
    <w:rsid w:val="0BEE02D9"/>
    <w:rsid w:val="0BFB0D45"/>
    <w:rsid w:val="0C100E63"/>
    <w:rsid w:val="0C5E2FF1"/>
    <w:rsid w:val="0C663265"/>
    <w:rsid w:val="0C897FA2"/>
    <w:rsid w:val="0CB2012F"/>
    <w:rsid w:val="0CE81364"/>
    <w:rsid w:val="0CEF1ADF"/>
    <w:rsid w:val="0D082D43"/>
    <w:rsid w:val="0D215B97"/>
    <w:rsid w:val="0D864FAD"/>
    <w:rsid w:val="0DB13287"/>
    <w:rsid w:val="0EE0601A"/>
    <w:rsid w:val="0F00480E"/>
    <w:rsid w:val="0F276507"/>
    <w:rsid w:val="0F4A1D24"/>
    <w:rsid w:val="0F562964"/>
    <w:rsid w:val="0F826CA8"/>
    <w:rsid w:val="0F9F2C4F"/>
    <w:rsid w:val="0FB107CE"/>
    <w:rsid w:val="0FB66E54"/>
    <w:rsid w:val="0FD932B8"/>
    <w:rsid w:val="0FF91C75"/>
    <w:rsid w:val="10142A71"/>
    <w:rsid w:val="10920C6C"/>
    <w:rsid w:val="10EE21C3"/>
    <w:rsid w:val="11717BFF"/>
    <w:rsid w:val="11A76E76"/>
    <w:rsid w:val="11D351A7"/>
    <w:rsid w:val="11F500D5"/>
    <w:rsid w:val="12234768"/>
    <w:rsid w:val="12247721"/>
    <w:rsid w:val="122A1B26"/>
    <w:rsid w:val="123F412E"/>
    <w:rsid w:val="12464E3E"/>
    <w:rsid w:val="126614AA"/>
    <w:rsid w:val="129763BC"/>
    <w:rsid w:val="12AE6B32"/>
    <w:rsid w:val="12C87390"/>
    <w:rsid w:val="12DE5A77"/>
    <w:rsid w:val="130F285F"/>
    <w:rsid w:val="13155AB7"/>
    <w:rsid w:val="13203BF8"/>
    <w:rsid w:val="13584DCD"/>
    <w:rsid w:val="13A01CAC"/>
    <w:rsid w:val="13B0563C"/>
    <w:rsid w:val="13B26760"/>
    <w:rsid w:val="13E620B2"/>
    <w:rsid w:val="146156BC"/>
    <w:rsid w:val="147E7347"/>
    <w:rsid w:val="149C1E0F"/>
    <w:rsid w:val="14EB7761"/>
    <w:rsid w:val="15DF1566"/>
    <w:rsid w:val="15F06EF0"/>
    <w:rsid w:val="1649189C"/>
    <w:rsid w:val="172614BC"/>
    <w:rsid w:val="176F3141"/>
    <w:rsid w:val="177E7B6A"/>
    <w:rsid w:val="17DE0D84"/>
    <w:rsid w:val="180F3AEF"/>
    <w:rsid w:val="182A4CFD"/>
    <w:rsid w:val="187B13C6"/>
    <w:rsid w:val="18856299"/>
    <w:rsid w:val="18A51F2B"/>
    <w:rsid w:val="18D17E85"/>
    <w:rsid w:val="18DA72A7"/>
    <w:rsid w:val="18DC3407"/>
    <w:rsid w:val="190B378E"/>
    <w:rsid w:val="19166537"/>
    <w:rsid w:val="194B570C"/>
    <w:rsid w:val="195A37C0"/>
    <w:rsid w:val="197A7E75"/>
    <w:rsid w:val="19993FDF"/>
    <w:rsid w:val="19EA4D01"/>
    <w:rsid w:val="1A17678E"/>
    <w:rsid w:val="1A2950FA"/>
    <w:rsid w:val="1A447D83"/>
    <w:rsid w:val="1A4E2C4E"/>
    <w:rsid w:val="1A9966B3"/>
    <w:rsid w:val="1AC92D98"/>
    <w:rsid w:val="1AD34E44"/>
    <w:rsid w:val="1B1062F2"/>
    <w:rsid w:val="1B1E4952"/>
    <w:rsid w:val="1B4310CA"/>
    <w:rsid w:val="1B557AF8"/>
    <w:rsid w:val="1B951DCE"/>
    <w:rsid w:val="1C282642"/>
    <w:rsid w:val="1C326290"/>
    <w:rsid w:val="1C791147"/>
    <w:rsid w:val="1C92426F"/>
    <w:rsid w:val="1CB047A4"/>
    <w:rsid w:val="1CB7360E"/>
    <w:rsid w:val="1CDE4FB1"/>
    <w:rsid w:val="1CEE1164"/>
    <w:rsid w:val="1CFF3EEB"/>
    <w:rsid w:val="1D0C6137"/>
    <w:rsid w:val="1D166A47"/>
    <w:rsid w:val="1D2E40EE"/>
    <w:rsid w:val="1D714AF2"/>
    <w:rsid w:val="1DFBFDC3"/>
    <w:rsid w:val="1E305C7A"/>
    <w:rsid w:val="1EAD4A31"/>
    <w:rsid w:val="1F581FEC"/>
    <w:rsid w:val="1F655993"/>
    <w:rsid w:val="1F8D4ED2"/>
    <w:rsid w:val="1F9522DE"/>
    <w:rsid w:val="1FF361DA"/>
    <w:rsid w:val="2043117D"/>
    <w:rsid w:val="20876C71"/>
    <w:rsid w:val="2112725A"/>
    <w:rsid w:val="21596959"/>
    <w:rsid w:val="21775CF7"/>
    <w:rsid w:val="21855725"/>
    <w:rsid w:val="219D3366"/>
    <w:rsid w:val="21A53343"/>
    <w:rsid w:val="21C173F0"/>
    <w:rsid w:val="21C7641A"/>
    <w:rsid w:val="21ED5BF4"/>
    <w:rsid w:val="21F44012"/>
    <w:rsid w:val="222E099D"/>
    <w:rsid w:val="22F464E8"/>
    <w:rsid w:val="230E380E"/>
    <w:rsid w:val="233A52F5"/>
    <w:rsid w:val="235D2694"/>
    <w:rsid w:val="237830E2"/>
    <w:rsid w:val="238578C3"/>
    <w:rsid w:val="239911F4"/>
    <w:rsid w:val="23E54EA9"/>
    <w:rsid w:val="240901AB"/>
    <w:rsid w:val="24683E4B"/>
    <w:rsid w:val="24A55EAE"/>
    <w:rsid w:val="24E76A0D"/>
    <w:rsid w:val="25396722"/>
    <w:rsid w:val="2546669D"/>
    <w:rsid w:val="25587502"/>
    <w:rsid w:val="25854F49"/>
    <w:rsid w:val="258C4EA7"/>
    <w:rsid w:val="25DC06C7"/>
    <w:rsid w:val="25EF714A"/>
    <w:rsid w:val="25F66AD5"/>
    <w:rsid w:val="26405C4F"/>
    <w:rsid w:val="26847C73"/>
    <w:rsid w:val="268F1252"/>
    <w:rsid w:val="26D63BC5"/>
    <w:rsid w:val="27005585"/>
    <w:rsid w:val="270E1FCF"/>
    <w:rsid w:val="27716366"/>
    <w:rsid w:val="27A22014"/>
    <w:rsid w:val="27B71780"/>
    <w:rsid w:val="27D946EC"/>
    <w:rsid w:val="27E806D5"/>
    <w:rsid w:val="280520B8"/>
    <w:rsid w:val="28357004"/>
    <w:rsid w:val="28656FFC"/>
    <w:rsid w:val="28700CDE"/>
    <w:rsid w:val="289F0C32"/>
    <w:rsid w:val="28AE59C9"/>
    <w:rsid w:val="293811B0"/>
    <w:rsid w:val="293A46B3"/>
    <w:rsid w:val="29421AC0"/>
    <w:rsid w:val="29583FB4"/>
    <w:rsid w:val="29620C42"/>
    <w:rsid w:val="296944DE"/>
    <w:rsid w:val="2A093A87"/>
    <w:rsid w:val="2A376DEC"/>
    <w:rsid w:val="2A3B1CD8"/>
    <w:rsid w:val="2A505038"/>
    <w:rsid w:val="2AA2189F"/>
    <w:rsid w:val="2B1D22CA"/>
    <w:rsid w:val="2B24619F"/>
    <w:rsid w:val="2B3A1BFB"/>
    <w:rsid w:val="2B582D97"/>
    <w:rsid w:val="2B6D6618"/>
    <w:rsid w:val="2B7F6D91"/>
    <w:rsid w:val="2BBC55BB"/>
    <w:rsid w:val="2BD23073"/>
    <w:rsid w:val="2BDB79C9"/>
    <w:rsid w:val="2BFD51BC"/>
    <w:rsid w:val="2C7460FF"/>
    <w:rsid w:val="2C753B81"/>
    <w:rsid w:val="2C983D35"/>
    <w:rsid w:val="2C9C39CF"/>
    <w:rsid w:val="2CAE687E"/>
    <w:rsid w:val="2CD5741D"/>
    <w:rsid w:val="2D5629F9"/>
    <w:rsid w:val="2D832A39"/>
    <w:rsid w:val="2DB609B3"/>
    <w:rsid w:val="2DCB2E2D"/>
    <w:rsid w:val="2E6B07B8"/>
    <w:rsid w:val="2EA5203E"/>
    <w:rsid w:val="2EFD44A4"/>
    <w:rsid w:val="2EFE22BE"/>
    <w:rsid w:val="2F0A52E6"/>
    <w:rsid w:val="2F5856F4"/>
    <w:rsid w:val="2F8D2A58"/>
    <w:rsid w:val="302C7114"/>
    <w:rsid w:val="3046472A"/>
    <w:rsid w:val="307305E8"/>
    <w:rsid w:val="309E11B0"/>
    <w:rsid w:val="30D8296F"/>
    <w:rsid w:val="313D1E3A"/>
    <w:rsid w:val="31482A93"/>
    <w:rsid w:val="314F4B38"/>
    <w:rsid w:val="31666628"/>
    <w:rsid w:val="31CD20C4"/>
    <w:rsid w:val="32121533"/>
    <w:rsid w:val="323B59A2"/>
    <w:rsid w:val="326D3EB5"/>
    <w:rsid w:val="32CE54EA"/>
    <w:rsid w:val="32D86E66"/>
    <w:rsid w:val="32ED7F9D"/>
    <w:rsid w:val="330D0A76"/>
    <w:rsid w:val="331577B1"/>
    <w:rsid w:val="331F2E75"/>
    <w:rsid w:val="334F39D5"/>
    <w:rsid w:val="33541C4A"/>
    <w:rsid w:val="33991811"/>
    <w:rsid w:val="33B52879"/>
    <w:rsid w:val="34630F1A"/>
    <w:rsid w:val="34A42225"/>
    <w:rsid w:val="34A634BD"/>
    <w:rsid w:val="34DA0BF7"/>
    <w:rsid w:val="34F02DEC"/>
    <w:rsid w:val="354808D2"/>
    <w:rsid w:val="356658F1"/>
    <w:rsid w:val="35C054BC"/>
    <w:rsid w:val="360833DF"/>
    <w:rsid w:val="36315202"/>
    <w:rsid w:val="36724CC2"/>
    <w:rsid w:val="36D77A12"/>
    <w:rsid w:val="36DC01E8"/>
    <w:rsid w:val="37005E48"/>
    <w:rsid w:val="372C3815"/>
    <w:rsid w:val="37AA2C03"/>
    <w:rsid w:val="37D747A3"/>
    <w:rsid w:val="37FF2C80"/>
    <w:rsid w:val="389B732F"/>
    <w:rsid w:val="38A04DB5"/>
    <w:rsid w:val="38F10A22"/>
    <w:rsid w:val="38F31AFC"/>
    <w:rsid w:val="3920332C"/>
    <w:rsid w:val="394013CF"/>
    <w:rsid w:val="39782EA9"/>
    <w:rsid w:val="39900A80"/>
    <w:rsid w:val="39956483"/>
    <w:rsid w:val="39F71729"/>
    <w:rsid w:val="3A0D1385"/>
    <w:rsid w:val="3A1122D3"/>
    <w:rsid w:val="3A5E3604"/>
    <w:rsid w:val="3A617AD4"/>
    <w:rsid w:val="3A9B1521"/>
    <w:rsid w:val="3AE55B2F"/>
    <w:rsid w:val="3B4B0235"/>
    <w:rsid w:val="3B725C22"/>
    <w:rsid w:val="3B926F4C"/>
    <w:rsid w:val="3B936E97"/>
    <w:rsid w:val="3BF3026A"/>
    <w:rsid w:val="3C2506B9"/>
    <w:rsid w:val="3C780106"/>
    <w:rsid w:val="3CF30821"/>
    <w:rsid w:val="3D070254"/>
    <w:rsid w:val="3D647253"/>
    <w:rsid w:val="3D7E60CE"/>
    <w:rsid w:val="3D9875C9"/>
    <w:rsid w:val="3DB35EA6"/>
    <w:rsid w:val="3DB835A6"/>
    <w:rsid w:val="3DF70654"/>
    <w:rsid w:val="3E0074A7"/>
    <w:rsid w:val="3E057CD0"/>
    <w:rsid w:val="3E0D47FE"/>
    <w:rsid w:val="3E104D62"/>
    <w:rsid w:val="3E4C07C1"/>
    <w:rsid w:val="3E833A1C"/>
    <w:rsid w:val="3EB7468B"/>
    <w:rsid w:val="3F2D1CB6"/>
    <w:rsid w:val="3F540410"/>
    <w:rsid w:val="3F5C41C8"/>
    <w:rsid w:val="401279AA"/>
    <w:rsid w:val="403779FC"/>
    <w:rsid w:val="40576ADD"/>
    <w:rsid w:val="405979E7"/>
    <w:rsid w:val="40C44283"/>
    <w:rsid w:val="40E83499"/>
    <w:rsid w:val="40F670C1"/>
    <w:rsid w:val="40FC2074"/>
    <w:rsid w:val="40FD2315"/>
    <w:rsid w:val="41087C9E"/>
    <w:rsid w:val="41F3314E"/>
    <w:rsid w:val="42004812"/>
    <w:rsid w:val="42143C78"/>
    <w:rsid w:val="422D2835"/>
    <w:rsid w:val="4232397A"/>
    <w:rsid w:val="42454447"/>
    <w:rsid w:val="429A0ACF"/>
    <w:rsid w:val="42D25330"/>
    <w:rsid w:val="42E17B48"/>
    <w:rsid w:val="42F57A31"/>
    <w:rsid w:val="432D6B81"/>
    <w:rsid w:val="435B4C6C"/>
    <w:rsid w:val="436E5A51"/>
    <w:rsid w:val="43D37D6C"/>
    <w:rsid w:val="44310994"/>
    <w:rsid w:val="44516A87"/>
    <w:rsid w:val="44A25670"/>
    <w:rsid w:val="44F617B2"/>
    <w:rsid w:val="4583011C"/>
    <w:rsid w:val="458441C7"/>
    <w:rsid w:val="458C2D7C"/>
    <w:rsid w:val="45953444"/>
    <w:rsid w:val="45C67078"/>
    <w:rsid w:val="46153AB0"/>
    <w:rsid w:val="46162F6F"/>
    <w:rsid w:val="46DD5122"/>
    <w:rsid w:val="46E95465"/>
    <w:rsid w:val="46EE3AEB"/>
    <w:rsid w:val="47024846"/>
    <w:rsid w:val="473E03F2"/>
    <w:rsid w:val="475A0C1C"/>
    <w:rsid w:val="476C7D0C"/>
    <w:rsid w:val="476E21A5"/>
    <w:rsid w:val="4790133B"/>
    <w:rsid w:val="47C5042F"/>
    <w:rsid w:val="47D927EF"/>
    <w:rsid w:val="47DE1803"/>
    <w:rsid w:val="47EC180F"/>
    <w:rsid w:val="48077E3B"/>
    <w:rsid w:val="48B70E3F"/>
    <w:rsid w:val="48D94910"/>
    <w:rsid w:val="493A36B0"/>
    <w:rsid w:val="493E5939"/>
    <w:rsid w:val="49B22075"/>
    <w:rsid w:val="49B37AF6"/>
    <w:rsid w:val="4A393C30"/>
    <w:rsid w:val="4A3D0831"/>
    <w:rsid w:val="4A8345D8"/>
    <w:rsid w:val="4AA04C39"/>
    <w:rsid w:val="4B1E683D"/>
    <w:rsid w:val="4B477F0D"/>
    <w:rsid w:val="4B4A2F35"/>
    <w:rsid w:val="4B4F1A19"/>
    <w:rsid w:val="4B5C3E27"/>
    <w:rsid w:val="4BC60300"/>
    <w:rsid w:val="4BF81888"/>
    <w:rsid w:val="4C694B6C"/>
    <w:rsid w:val="4C6F2B63"/>
    <w:rsid w:val="4CBB0D0C"/>
    <w:rsid w:val="4CED3AC0"/>
    <w:rsid w:val="4CF04DD5"/>
    <w:rsid w:val="4CF27D24"/>
    <w:rsid w:val="4D3D03C8"/>
    <w:rsid w:val="4D4B12BA"/>
    <w:rsid w:val="4D7F6B60"/>
    <w:rsid w:val="4D8330BA"/>
    <w:rsid w:val="4DBA1420"/>
    <w:rsid w:val="4E0F0B49"/>
    <w:rsid w:val="4E146DA6"/>
    <w:rsid w:val="4E152629"/>
    <w:rsid w:val="4E447B0E"/>
    <w:rsid w:val="4E506F8B"/>
    <w:rsid w:val="4E6C4ECC"/>
    <w:rsid w:val="4E733E11"/>
    <w:rsid w:val="4E853BE2"/>
    <w:rsid w:val="4E9142C1"/>
    <w:rsid w:val="4E996E58"/>
    <w:rsid w:val="4EB5692F"/>
    <w:rsid w:val="4ECB68D5"/>
    <w:rsid w:val="4EDA48FF"/>
    <w:rsid w:val="4EE6167D"/>
    <w:rsid w:val="4EEC1008"/>
    <w:rsid w:val="4F170F52"/>
    <w:rsid w:val="4F433488"/>
    <w:rsid w:val="4F6B5159"/>
    <w:rsid w:val="4F711151"/>
    <w:rsid w:val="4FA07BB2"/>
    <w:rsid w:val="4FB35F2B"/>
    <w:rsid w:val="4FCA4258"/>
    <w:rsid w:val="4FDC2C97"/>
    <w:rsid w:val="50B618F8"/>
    <w:rsid w:val="50D80B6B"/>
    <w:rsid w:val="50E56BC4"/>
    <w:rsid w:val="51313B46"/>
    <w:rsid w:val="51F27101"/>
    <w:rsid w:val="52152B39"/>
    <w:rsid w:val="52225A65"/>
    <w:rsid w:val="525C54AC"/>
    <w:rsid w:val="52766056"/>
    <w:rsid w:val="528043E7"/>
    <w:rsid w:val="52B1623B"/>
    <w:rsid w:val="52F41359"/>
    <w:rsid w:val="5316015D"/>
    <w:rsid w:val="53211D72"/>
    <w:rsid w:val="53310FA1"/>
    <w:rsid w:val="53BB1C6B"/>
    <w:rsid w:val="53E83D39"/>
    <w:rsid w:val="540A2916"/>
    <w:rsid w:val="545E3978"/>
    <w:rsid w:val="54961EB4"/>
    <w:rsid w:val="54C25C1B"/>
    <w:rsid w:val="550020EE"/>
    <w:rsid w:val="550F3292"/>
    <w:rsid w:val="551C4AFD"/>
    <w:rsid w:val="557C414F"/>
    <w:rsid w:val="55B15523"/>
    <w:rsid w:val="55E03E74"/>
    <w:rsid w:val="562059F2"/>
    <w:rsid w:val="56493019"/>
    <w:rsid w:val="56553E33"/>
    <w:rsid w:val="569D1B97"/>
    <w:rsid w:val="56A83D82"/>
    <w:rsid w:val="56AB4841"/>
    <w:rsid w:val="56BE4E46"/>
    <w:rsid w:val="56D774FE"/>
    <w:rsid w:val="57077481"/>
    <w:rsid w:val="5725734D"/>
    <w:rsid w:val="574C52C4"/>
    <w:rsid w:val="57553D15"/>
    <w:rsid w:val="57816CD0"/>
    <w:rsid w:val="57B30791"/>
    <w:rsid w:val="57CF2661"/>
    <w:rsid w:val="57EE17B9"/>
    <w:rsid w:val="580A43FE"/>
    <w:rsid w:val="58352C42"/>
    <w:rsid w:val="58497766"/>
    <w:rsid w:val="584D2475"/>
    <w:rsid w:val="58B15E90"/>
    <w:rsid w:val="59972C8B"/>
    <w:rsid w:val="5999618E"/>
    <w:rsid w:val="59DA5CBD"/>
    <w:rsid w:val="5A34074A"/>
    <w:rsid w:val="5A420BA5"/>
    <w:rsid w:val="5A4259A7"/>
    <w:rsid w:val="5A826950"/>
    <w:rsid w:val="5AAC5686"/>
    <w:rsid w:val="5AB843C0"/>
    <w:rsid w:val="5ACB3F81"/>
    <w:rsid w:val="5B1B5558"/>
    <w:rsid w:val="5B6F6839"/>
    <w:rsid w:val="5B796DF4"/>
    <w:rsid w:val="5B831794"/>
    <w:rsid w:val="5BAF47BE"/>
    <w:rsid w:val="5BF062E2"/>
    <w:rsid w:val="5C585689"/>
    <w:rsid w:val="5C5B10AC"/>
    <w:rsid w:val="5CA6628A"/>
    <w:rsid w:val="5CC453C1"/>
    <w:rsid w:val="5CC468A3"/>
    <w:rsid w:val="5CD80250"/>
    <w:rsid w:val="5CF11312"/>
    <w:rsid w:val="5D0D3237"/>
    <w:rsid w:val="5D107A3F"/>
    <w:rsid w:val="5D5B1700"/>
    <w:rsid w:val="5E091AF6"/>
    <w:rsid w:val="5E5D146B"/>
    <w:rsid w:val="5E657DD9"/>
    <w:rsid w:val="5E70314F"/>
    <w:rsid w:val="5E790822"/>
    <w:rsid w:val="5F065FDA"/>
    <w:rsid w:val="5F174FBD"/>
    <w:rsid w:val="5F456359"/>
    <w:rsid w:val="5F6B1C04"/>
    <w:rsid w:val="5FA4593F"/>
    <w:rsid w:val="5FB641AF"/>
    <w:rsid w:val="5FBE2290"/>
    <w:rsid w:val="5FCE5CF8"/>
    <w:rsid w:val="5FE53CE4"/>
    <w:rsid w:val="60052B10"/>
    <w:rsid w:val="60330419"/>
    <w:rsid w:val="6034494B"/>
    <w:rsid w:val="605A0CD5"/>
    <w:rsid w:val="60610711"/>
    <w:rsid w:val="60A44A07"/>
    <w:rsid w:val="60E87EAF"/>
    <w:rsid w:val="610770C4"/>
    <w:rsid w:val="61416F4F"/>
    <w:rsid w:val="617C6D65"/>
    <w:rsid w:val="61953DA6"/>
    <w:rsid w:val="61954E1C"/>
    <w:rsid w:val="61AE3F4C"/>
    <w:rsid w:val="61D87997"/>
    <w:rsid w:val="62181132"/>
    <w:rsid w:val="62242352"/>
    <w:rsid w:val="62365827"/>
    <w:rsid w:val="62461F93"/>
    <w:rsid w:val="62767F2E"/>
    <w:rsid w:val="628D3A49"/>
    <w:rsid w:val="62E82CD5"/>
    <w:rsid w:val="62FE2236"/>
    <w:rsid w:val="630C3698"/>
    <w:rsid w:val="631C0CB0"/>
    <w:rsid w:val="634A6574"/>
    <w:rsid w:val="63604219"/>
    <w:rsid w:val="63BA20AB"/>
    <w:rsid w:val="63D22FD5"/>
    <w:rsid w:val="643C2370"/>
    <w:rsid w:val="647755C8"/>
    <w:rsid w:val="648325E9"/>
    <w:rsid w:val="64B63248"/>
    <w:rsid w:val="64D52842"/>
    <w:rsid w:val="653A7EB8"/>
    <w:rsid w:val="65407390"/>
    <w:rsid w:val="654218BA"/>
    <w:rsid w:val="656132CA"/>
    <w:rsid w:val="6586721C"/>
    <w:rsid w:val="659A3A64"/>
    <w:rsid w:val="659F4C25"/>
    <w:rsid w:val="65D7505D"/>
    <w:rsid w:val="65EF7ACC"/>
    <w:rsid w:val="660A2875"/>
    <w:rsid w:val="661F44CA"/>
    <w:rsid w:val="66252CC1"/>
    <w:rsid w:val="662B33A8"/>
    <w:rsid w:val="66377E5A"/>
    <w:rsid w:val="664C7A0B"/>
    <w:rsid w:val="66613222"/>
    <w:rsid w:val="6676192F"/>
    <w:rsid w:val="669671FC"/>
    <w:rsid w:val="66971D49"/>
    <w:rsid w:val="66A92D8A"/>
    <w:rsid w:val="66B06D03"/>
    <w:rsid w:val="66B40EEB"/>
    <w:rsid w:val="66DB37E1"/>
    <w:rsid w:val="671D44D0"/>
    <w:rsid w:val="672542C6"/>
    <w:rsid w:val="67703441"/>
    <w:rsid w:val="67853257"/>
    <w:rsid w:val="67DC3DF5"/>
    <w:rsid w:val="67EF2EEF"/>
    <w:rsid w:val="6838524A"/>
    <w:rsid w:val="6861575B"/>
    <w:rsid w:val="686D14DA"/>
    <w:rsid w:val="68A13881"/>
    <w:rsid w:val="68AE6453"/>
    <w:rsid w:val="69124CA8"/>
    <w:rsid w:val="69A11233"/>
    <w:rsid w:val="69D05529"/>
    <w:rsid w:val="69DA74ED"/>
    <w:rsid w:val="6A3D22DA"/>
    <w:rsid w:val="6A724D32"/>
    <w:rsid w:val="6AC21899"/>
    <w:rsid w:val="6ACF3DC7"/>
    <w:rsid w:val="6ADA79BD"/>
    <w:rsid w:val="6B6B7FEF"/>
    <w:rsid w:val="6B880FF7"/>
    <w:rsid w:val="6C3E0B26"/>
    <w:rsid w:val="6C6E3873"/>
    <w:rsid w:val="6D3B7744"/>
    <w:rsid w:val="6D5152D9"/>
    <w:rsid w:val="6D642862"/>
    <w:rsid w:val="6E2A0034"/>
    <w:rsid w:val="6E594F60"/>
    <w:rsid w:val="6E5B536B"/>
    <w:rsid w:val="6E696B31"/>
    <w:rsid w:val="6E6A372E"/>
    <w:rsid w:val="6F0B6421"/>
    <w:rsid w:val="6F1E315D"/>
    <w:rsid w:val="6F4F630E"/>
    <w:rsid w:val="6F9260B5"/>
    <w:rsid w:val="6FCA1077"/>
    <w:rsid w:val="6FF034B5"/>
    <w:rsid w:val="70256751"/>
    <w:rsid w:val="70560F05"/>
    <w:rsid w:val="70AB0365"/>
    <w:rsid w:val="70B161CC"/>
    <w:rsid w:val="70D55B19"/>
    <w:rsid w:val="70E24673"/>
    <w:rsid w:val="70FA2ABC"/>
    <w:rsid w:val="71F83F6A"/>
    <w:rsid w:val="7205731D"/>
    <w:rsid w:val="72306EC0"/>
    <w:rsid w:val="72311466"/>
    <w:rsid w:val="726B22F7"/>
    <w:rsid w:val="72781263"/>
    <w:rsid w:val="72A417A5"/>
    <w:rsid w:val="72AC1B0B"/>
    <w:rsid w:val="72BA344C"/>
    <w:rsid w:val="72C53ED8"/>
    <w:rsid w:val="73022BE3"/>
    <w:rsid w:val="73047240"/>
    <w:rsid w:val="73193962"/>
    <w:rsid w:val="73262C77"/>
    <w:rsid w:val="734F3E3C"/>
    <w:rsid w:val="737D110D"/>
    <w:rsid w:val="73A942DC"/>
    <w:rsid w:val="73C94A1F"/>
    <w:rsid w:val="73CF60B1"/>
    <w:rsid w:val="73D759A6"/>
    <w:rsid w:val="73EE759D"/>
    <w:rsid w:val="73F52064"/>
    <w:rsid w:val="742833D9"/>
    <w:rsid w:val="746A6F79"/>
    <w:rsid w:val="747A70DE"/>
    <w:rsid w:val="74AA11A1"/>
    <w:rsid w:val="74B65FBF"/>
    <w:rsid w:val="74C57E5F"/>
    <w:rsid w:val="74CE1506"/>
    <w:rsid w:val="7502674F"/>
    <w:rsid w:val="750A6AE9"/>
    <w:rsid w:val="754D572B"/>
    <w:rsid w:val="75AE4C20"/>
    <w:rsid w:val="75BD46DB"/>
    <w:rsid w:val="75D62AD8"/>
    <w:rsid w:val="75F96975"/>
    <w:rsid w:val="760363EE"/>
    <w:rsid w:val="762811E9"/>
    <w:rsid w:val="764F7F92"/>
    <w:rsid w:val="766259C8"/>
    <w:rsid w:val="7687AC1A"/>
    <w:rsid w:val="76ED0185"/>
    <w:rsid w:val="77F923B9"/>
    <w:rsid w:val="78020B8B"/>
    <w:rsid w:val="782234E4"/>
    <w:rsid w:val="7919782F"/>
    <w:rsid w:val="79217ACA"/>
    <w:rsid w:val="794F1893"/>
    <w:rsid w:val="7961363C"/>
    <w:rsid w:val="797B03BB"/>
    <w:rsid w:val="797D77D1"/>
    <w:rsid w:val="797E23E2"/>
    <w:rsid w:val="79AD76AE"/>
    <w:rsid w:val="79CA0C6C"/>
    <w:rsid w:val="7A4D62A0"/>
    <w:rsid w:val="7A894C71"/>
    <w:rsid w:val="7AF52EC8"/>
    <w:rsid w:val="7BA74D77"/>
    <w:rsid w:val="7BAD4BF5"/>
    <w:rsid w:val="7BDFB067"/>
    <w:rsid w:val="7C030272"/>
    <w:rsid w:val="7C0677A6"/>
    <w:rsid w:val="7C295844"/>
    <w:rsid w:val="7C412EEA"/>
    <w:rsid w:val="7C582B10"/>
    <w:rsid w:val="7C970711"/>
    <w:rsid w:val="7CA06787"/>
    <w:rsid w:val="7CC72281"/>
    <w:rsid w:val="7CD7395C"/>
    <w:rsid w:val="7CDD0179"/>
    <w:rsid w:val="7DC73FEB"/>
    <w:rsid w:val="7DD97789"/>
    <w:rsid w:val="7DE0456D"/>
    <w:rsid w:val="7E0002A6"/>
    <w:rsid w:val="7E7D4A13"/>
    <w:rsid w:val="7E8D7F3F"/>
    <w:rsid w:val="7EF34B21"/>
    <w:rsid w:val="7EF757B3"/>
    <w:rsid w:val="7EFE1AE9"/>
    <w:rsid w:val="7F174C12"/>
    <w:rsid w:val="7F2B002F"/>
    <w:rsid w:val="7F552613"/>
    <w:rsid w:val="7F5A3979"/>
    <w:rsid w:val="7FF00986"/>
    <w:rsid w:val="7FFF7920"/>
    <w:rsid w:val="7FFF7AD4"/>
    <w:rsid w:val="FAFF9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Times New Roman" w:hAnsi="Times New Roman" w:eastAsia="仿宋_GB2312" w:cs="Times New Roman"/>
      <w:kern w:val="2"/>
      <w:sz w:val="28"/>
      <w:szCs w:val="24"/>
      <w:lang w:val="en-US" w:eastAsia="zh-CN" w:bidi="ar-SA"/>
    </w:rPr>
  </w:style>
  <w:style w:type="paragraph" w:styleId="3">
    <w:name w:val="heading 1"/>
    <w:basedOn w:val="1"/>
    <w:next w:val="1"/>
    <w:link w:val="25"/>
    <w:qFormat/>
    <w:uiPriority w:val="0"/>
    <w:pPr>
      <w:keepNext/>
      <w:keepLines/>
      <w:spacing w:before="100" w:beforeLines="100" w:after="100" w:afterLines="100" w:line="360" w:lineRule="auto"/>
      <w:jc w:val="left"/>
      <w:outlineLvl w:val="0"/>
    </w:pPr>
    <w:rPr>
      <w:rFonts w:ascii="Calibri" w:hAnsi="Calibri" w:eastAsia="宋体"/>
      <w:b/>
      <w:bCs/>
      <w:kern w:val="44"/>
      <w:sz w:val="32"/>
      <w:szCs w:val="44"/>
    </w:rPr>
  </w:style>
  <w:style w:type="paragraph" w:styleId="4">
    <w:name w:val="heading 2"/>
    <w:basedOn w:val="1"/>
    <w:next w:val="1"/>
    <w:link w:val="26"/>
    <w:unhideWhenUsed/>
    <w:qFormat/>
    <w:uiPriority w:val="0"/>
    <w:pPr>
      <w:keepNext/>
      <w:keepLines/>
      <w:spacing w:before="100" w:beforeLines="100" w:after="100" w:afterLines="100" w:line="240" w:lineRule="auto"/>
      <w:ind w:firstLine="883" w:firstLineChars="200"/>
      <w:jc w:val="left"/>
      <w:outlineLvl w:val="1"/>
    </w:pPr>
    <w:rPr>
      <w:rFonts w:ascii="Arial" w:hAnsi="Arial" w:eastAsia="宋体"/>
      <w:b/>
      <w:bCs/>
      <w:kern w:val="0"/>
      <w:szCs w:val="28"/>
    </w:rPr>
  </w:style>
  <w:style w:type="paragraph" w:styleId="5">
    <w:name w:val="heading 3"/>
    <w:basedOn w:val="1"/>
    <w:next w:val="1"/>
    <w:unhideWhenUsed/>
    <w:qFormat/>
    <w:uiPriority w:val="0"/>
    <w:pPr>
      <w:spacing w:before="50" w:beforeLines="50" w:after="50" w:afterLines="50"/>
      <w:ind w:firstLine="440" w:firstLineChars="200"/>
      <w:outlineLvl w:val="2"/>
    </w:pPr>
    <w:rPr>
      <w:rFonts w:cs="Microsoft JhengHei"/>
      <w:b/>
      <w:bCs/>
      <w:szCs w:val="3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val="0"/>
      <w:spacing w:line="312" w:lineRule="atLeast"/>
      <w:ind w:firstLine="420"/>
    </w:pPr>
    <w:rPr>
      <w:lang w:eastAsia="en-US"/>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styleId="9">
    <w:name w:val="Title"/>
    <w:basedOn w:val="1"/>
    <w:next w:val="1"/>
    <w:qFormat/>
    <w:uiPriority w:val="0"/>
    <w:pPr>
      <w:snapToGrid w:val="0"/>
      <w:spacing w:before="100" w:after="100" w:line="360" w:lineRule="auto"/>
      <w:jc w:val="center"/>
      <w:outlineLvl w:val="0"/>
    </w:pPr>
    <w:rPr>
      <w:rFonts w:ascii="Arial" w:hAnsi="Arial" w:eastAsia="楷体"/>
      <w:b/>
      <w:szCs w:val="20"/>
    </w:rPr>
  </w:style>
  <w:style w:type="paragraph" w:styleId="10">
    <w:name w:val="Body Text Indent"/>
    <w:basedOn w:val="1"/>
    <w:qFormat/>
    <w:uiPriority w:val="0"/>
    <w:pPr>
      <w:adjustRightInd w:val="0"/>
      <w:ind w:left="180"/>
      <w:textAlignment w:val="baseline"/>
    </w:pPr>
    <w:rPr>
      <w:rFonts w:ascii="宋体" w:eastAsia="仿宋"/>
      <w:b/>
      <w:kern w:val="0"/>
      <w:szCs w:val="20"/>
    </w:rPr>
  </w:style>
  <w:style w:type="paragraph" w:styleId="11">
    <w:name w:val="Block Text"/>
    <w:basedOn w:val="1"/>
    <w:next w:val="1"/>
    <w:unhideWhenUsed/>
    <w:qFormat/>
    <w:uiPriority w:val="99"/>
    <w:pPr>
      <w:spacing w:after="120"/>
      <w:ind w:left="1440" w:leftChars="700" w:right="700" w:rightChars="700"/>
    </w:pPr>
  </w:style>
  <w:style w:type="paragraph" w:styleId="12">
    <w:name w:val="Plain Text"/>
    <w:basedOn w:val="1"/>
    <w:qFormat/>
    <w:uiPriority w:val="0"/>
    <w:rPr>
      <w:rFonts w:ascii="宋体" w:hAnsi="Courier New"/>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5">
    <w:name w:val="footnote text"/>
    <w:basedOn w:val="1"/>
    <w:qFormat/>
    <w:uiPriority w:val="0"/>
    <w:pPr>
      <w:snapToGrid w:val="0"/>
      <w:jc w:val="left"/>
    </w:pPr>
    <w:rPr>
      <w:sz w:val="18"/>
    </w:rPr>
  </w:style>
  <w:style w:type="paragraph" w:styleId="16">
    <w:name w:val="table of figures"/>
    <w:basedOn w:val="1"/>
    <w:next w:val="1"/>
    <w:qFormat/>
    <w:uiPriority w:val="0"/>
    <w:pPr>
      <w:ind w:left="200" w:leftChars="200" w:hanging="200" w:hangingChars="200"/>
    </w:pPr>
  </w:style>
  <w:style w:type="paragraph" w:styleId="17">
    <w:name w:val="Body Text 2"/>
    <w:basedOn w:val="1"/>
    <w:qFormat/>
    <w:uiPriority w:val="0"/>
    <w:pPr>
      <w:spacing w:after="120" w:line="480" w:lineRule="auto"/>
    </w:pPr>
  </w:style>
  <w:style w:type="paragraph" w:styleId="18">
    <w:name w:val="Normal (Web)"/>
    <w:basedOn w:val="1"/>
    <w:qFormat/>
    <w:uiPriority w:val="0"/>
    <w:pPr>
      <w:spacing w:before="100" w:beforeAutospacing="1" w:after="100" w:afterAutospacing="1"/>
      <w:jc w:val="left"/>
    </w:pPr>
    <w:rPr>
      <w:kern w:val="0"/>
      <w:sz w:val="24"/>
    </w:rPr>
  </w:style>
  <w:style w:type="paragraph" w:styleId="19">
    <w:name w:val="Body Text First Indent"/>
    <w:basedOn w:val="8"/>
    <w:unhideWhenUsed/>
    <w:qFormat/>
    <w:uiPriority w:val="0"/>
    <w:pPr>
      <w:spacing w:beforeLines="50" w:line="360" w:lineRule="auto"/>
      <w:ind w:firstLine="200" w:firstLineChars="200"/>
    </w:pPr>
    <w:rPr>
      <w:sz w:val="24"/>
    </w:rPr>
  </w:style>
  <w:style w:type="paragraph" w:styleId="20">
    <w:name w:val="Body Text First Indent 2"/>
    <w:basedOn w:val="10"/>
    <w:qFormat/>
    <w:uiPriority w:val="0"/>
    <w:pPr>
      <w:tabs>
        <w:tab w:val="left" w:pos="0"/>
      </w:tabs>
      <w:spacing w:after="120"/>
      <w:ind w:left="420" w:leftChars="200" w:firstLine="420"/>
    </w:pPr>
    <w:rPr>
      <w:rFonts w:ascii="Times New Roman" w:eastAsia="仿宋_GB2312"/>
      <w:sz w:val="3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basedOn w:val="23"/>
    <w:qFormat/>
    <w:uiPriority w:val="0"/>
    <w:rPr>
      <w:sz w:val="21"/>
      <w:szCs w:val="21"/>
    </w:rPr>
  </w:style>
  <w:style w:type="character" w:customStyle="1" w:styleId="25">
    <w:name w:val="标题 1 字符"/>
    <w:basedOn w:val="23"/>
    <w:link w:val="3"/>
    <w:qFormat/>
    <w:uiPriority w:val="0"/>
    <w:rPr>
      <w:rFonts w:ascii="Calibri" w:hAnsi="Calibri" w:eastAsia="宋体"/>
      <w:b/>
      <w:bCs/>
      <w:kern w:val="44"/>
      <w:sz w:val="32"/>
      <w:szCs w:val="44"/>
    </w:rPr>
  </w:style>
  <w:style w:type="character" w:customStyle="1" w:styleId="26">
    <w:name w:val="标题 2 字符"/>
    <w:link w:val="4"/>
    <w:qFormat/>
    <w:uiPriority w:val="0"/>
    <w:rPr>
      <w:rFonts w:ascii="Arial" w:hAnsi="Arial" w:eastAsia="宋体" w:cs="宋体"/>
      <w:b/>
    </w:rPr>
  </w:style>
  <w:style w:type="paragraph" w:customStyle="1" w:styleId="27">
    <w:name w:val="样式1"/>
    <w:basedOn w:val="1"/>
    <w:next w:val="1"/>
    <w:qFormat/>
    <w:uiPriority w:val="0"/>
    <w:pPr>
      <w:numPr>
        <w:ilvl w:val="0"/>
        <w:numId w:val="1"/>
      </w:numPr>
    </w:pPr>
  </w:style>
  <w:style w:type="paragraph" w:customStyle="1" w:styleId="28">
    <w:name w:val="Revision"/>
    <w:hidden/>
    <w:unhideWhenUsed/>
    <w:qFormat/>
    <w:uiPriority w:val="99"/>
    <w:rPr>
      <w:rFonts w:ascii="Times New Roman" w:hAnsi="Times New Roman" w:eastAsia="仿宋_GB2312" w:cs="Times New Roman"/>
      <w:kern w:val="2"/>
      <w:sz w:val="28"/>
      <w:szCs w:val="24"/>
      <w:lang w:val="en-US" w:eastAsia="zh-CN" w:bidi="ar-SA"/>
    </w:rPr>
  </w:style>
  <w:style w:type="character" w:customStyle="1" w:styleId="29">
    <w:name w:val="font31"/>
    <w:basedOn w:val="23"/>
    <w:qFormat/>
    <w:uiPriority w:val="0"/>
    <w:rPr>
      <w:rFonts w:hint="eastAsia" w:ascii="楷体" w:hAnsi="楷体" w:eastAsia="楷体" w:cs="楷体"/>
      <w:color w:val="000000"/>
      <w:sz w:val="21"/>
      <w:szCs w:val="21"/>
      <w:u w:val="none"/>
    </w:rPr>
  </w:style>
  <w:style w:type="character" w:customStyle="1" w:styleId="30">
    <w:name w:val="font81"/>
    <w:basedOn w:val="23"/>
    <w:qFormat/>
    <w:uiPriority w:val="0"/>
    <w:rPr>
      <w:rFonts w:hint="eastAsia" w:ascii="楷体" w:hAnsi="楷体" w:eastAsia="楷体" w:cs="楷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8E392-8BC1-49CA-9752-7FA4773D492E}">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3740</Words>
  <Characters>4114</Characters>
  <Lines>30</Lines>
  <Paragraphs>8</Paragraphs>
  <TotalTime>1</TotalTime>
  <ScaleCrop>false</ScaleCrop>
  <LinksUpToDate>false</LinksUpToDate>
  <CharactersWithSpaces>4210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2021-12-30T22:15:00Z</dcterms:created>
  <dc:creator>wangyf1</dc:creator>
  <cp:lastModifiedBy>白树军</cp:lastModifiedBy>
  <cp:lastPrinted>2026-02-02T06:06:00Z</cp:lastPrinted>
  <dcterms:modified xsi:type="dcterms:W3CDTF">2026-02-12T11:49:46Z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EDA6E73B4229405DA686B442DDB6C41B_13</vt:lpwstr>
  </property>
  <property fmtid="{D5CDD505-2E9C-101B-9397-08002B2CF9AE}" pid="4" name="KSOTemplateDocerSaveRecord">
    <vt:lpwstr>eyJoZGlkIjoiMDljYzUzMWQ4OWI0YzBkYjYzMDRhZTY5ZjZkYmFmYTgiLCJ1c2VySWQiOiIyMzgwNTk5OTcifQ==</vt:lpwstr>
  </property>
</Properties>
</file>