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2"/>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1"/>
        <w:gridCol w:w="1655"/>
        <w:gridCol w:w="2533"/>
        <w:gridCol w:w="1445"/>
        <w:gridCol w:w="20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1" w:hRule="atLeast"/>
          <w:jc w:val="center"/>
        </w:trPr>
        <w:tc>
          <w:tcPr>
            <w:tcW w:w="8522" w:type="dxa"/>
            <w:gridSpan w:val="5"/>
            <w:vAlign w:val="center"/>
          </w:tcPr>
          <w:p>
            <w:pPr>
              <w:pStyle w:val="3"/>
              <w:tabs>
                <w:tab w:val="left" w:pos="2100"/>
              </w:tabs>
              <w:spacing w:before="312" w:after="312"/>
              <w:jc w:val="center"/>
              <w:rPr>
                <w:rFonts w:hint="default" w:ascii="仿宋_GB2312" w:hAnsi="仿宋_GB2312" w:eastAsia="仿宋_GB2312" w:cs="仿宋_GB2312"/>
                <w:sz w:val="44"/>
                <w:lang w:val="en-US"/>
              </w:rPr>
            </w:pPr>
            <w:r>
              <w:rPr>
                <w:rFonts w:hint="eastAsia" w:ascii="仿宋_GB2312" w:hAnsi="仿宋_GB2312" w:eastAsia="仿宋_GB2312" w:cs="仿宋_GB2312"/>
                <w:sz w:val="44"/>
                <w:lang w:val="en-US" w:eastAsia="zh-CN"/>
              </w:rPr>
              <w:t>阿拉善盟吉兰泰30MW光伏电站</w:t>
            </w:r>
          </w:p>
          <w:p>
            <w:pPr>
              <w:pStyle w:val="3"/>
              <w:tabs>
                <w:tab w:val="left" w:pos="2100"/>
              </w:tabs>
              <w:spacing w:before="312" w:after="312"/>
              <w:jc w:val="center"/>
              <w:rPr>
                <w:rFonts w:ascii="仿宋_GB2312" w:hAnsi="仿宋_GB2312" w:eastAsia="仿宋_GB2312" w:cs="仿宋_GB2312"/>
                <w:sz w:val="24"/>
              </w:rPr>
            </w:pPr>
            <w:r>
              <w:rPr>
                <w:rFonts w:hint="eastAsia" w:ascii="仿宋_GB2312" w:hAnsi="仿宋_GB2312" w:eastAsia="仿宋_GB2312" w:cs="仿宋_GB2312"/>
                <w:sz w:val="44"/>
              </w:rPr>
              <w:t>运营期保险报价单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vAlign w:val="center"/>
          </w:tcPr>
          <w:p>
            <w:pPr>
              <w:jc w:val="center"/>
              <w:rPr>
                <w:rFonts w:ascii="仿宋_GB2312" w:hAnsi="仿宋_GB2312" w:cs="仿宋_GB2312"/>
              </w:rPr>
            </w:pPr>
            <w:r>
              <w:rPr>
                <w:rFonts w:hint="eastAsia" w:ascii="仿宋_GB2312" w:hAnsi="仿宋_GB2312" w:cs="仿宋_GB2312"/>
              </w:rPr>
              <w:t>序号</w:t>
            </w:r>
          </w:p>
        </w:tc>
        <w:tc>
          <w:tcPr>
            <w:tcW w:w="1655" w:type="dxa"/>
            <w:vAlign w:val="center"/>
          </w:tcPr>
          <w:p>
            <w:pPr>
              <w:jc w:val="center"/>
              <w:rPr>
                <w:rFonts w:ascii="仿宋_GB2312" w:hAnsi="仿宋_GB2312" w:cs="仿宋_GB2312"/>
              </w:rPr>
            </w:pPr>
            <w:r>
              <w:rPr>
                <w:rFonts w:hint="eastAsia" w:ascii="仿宋_GB2312" w:hAnsi="仿宋_GB2312" w:cs="仿宋_GB2312"/>
              </w:rPr>
              <w:t>投保险种</w:t>
            </w:r>
          </w:p>
        </w:tc>
        <w:tc>
          <w:tcPr>
            <w:tcW w:w="2533" w:type="dxa"/>
            <w:vAlign w:val="center"/>
          </w:tcPr>
          <w:p>
            <w:pPr>
              <w:jc w:val="center"/>
              <w:rPr>
                <w:rFonts w:ascii="仿宋_GB2312" w:hAnsi="仿宋_GB2312" w:cs="仿宋_GB2312"/>
              </w:rPr>
            </w:pPr>
            <w:r>
              <w:rPr>
                <w:rFonts w:hint="eastAsia" w:ascii="仿宋_GB2312" w:hAnsi="仿宋_GB2312" w:cs="仿宋_GB2312"/>
              </w:rPr>
              <w:t>保险金额</w:t>
            </w:r>
            <w:r>
              <w:rPr>
                <w:rFonts w:hint="eastAsia" w:ascii="仿宋_GB2312" w:hAnsi="仿宋_GB2312" w:cs="仿宋_GB2312"/>
              </w:rPr>
              <w:br w:type="textWrapping"/>
            </w:r>
            <w:r>
              <w:rPr>
                <w:rFonts w:hint="eastAsia" w:ascii="仿宋_GB2312" w:hAnsi="仿宋_GB2312" w:cs="仿宋_GB2312"/>
              </w:rPr>
              <w:t>（赔偿限额）</w:t>
            </w:r>
          </w:p>
        </w:tc>
        <w:tc>
          <w:tcPr>
            <w:tcW w:w="1445" w:type="dxa"/>
            <w:vAlign w:val="center"/>
          </w:tcPr>
          <w:p>
            <w:pPr>
              <w:jc w:val="center"/>
              <w:rPr>
                <w:rFonts w:ascii="仿宋_GB2312" w:hAnsi="仿宋_GB2312" w:cs="仿宋_GB2312"/>
              </w:rPr>
            </w:pPr>
            <w:r>
              <w:rPr>
                <w:rFonts w:hint="eastAsia" w:ascii="仿宋_GB2312" w:hAnsi="仿宋_GB2312" w:cs="仿宋_GB2312"/>
              </w:rPr>
              <w:t>费率</w:t>
            </w:r>
          </w:p>
        </w:tc>
        <w:tc>
          <w:tcPr>
            <w:tcW w:w="2048" w:type="dxa"/>
            <w:vAlign w:val="center"/>
          </w:tcPr>
          <w:p>
            <w:pPr>
              <w:jc w:val="center"/>
              <w:rPr>
                <w:rFonts w:ascii="仿宋_GB2312" w:hAnsi="仿宋_GB2312" w:cs="仿宋_GB2312"/>
              </w:rPr>
            </w:pPr>
            <w:r>
              <w:rPr>
                <w:rFonts w:hint="eastAsia" w:ascii="仿宋_GB2312" w:hAnsi="仿宋_GB2312" w:cs="仿宋_GB2312"/>
              </w:rPr>
              <w:t>保费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vAlign w:val="center"/>
          </w:tcPr>
          <w:p>
            <w:pPr>
              <w:jc w:val="center"/>
              <w:rPr>
                <w:rFonts w:ascii="仿宋_GB2312" w:hAnsi="仿宋_GB2312" w:cs="仿宋_GB2312"/>
              </w:rPr>
            </w:pPr>
            <w:r>
              <w:rPr>
                <w:rFonts w:hint="eastAsia" w:ascii="仿宋_GB2312" w:hAnsi="仿宋_GB2312" w:cs="仿宋_GB2312"/>
              </w:rPr>
              <w:t>1</w:t>
            </w:r>
          </w:p>
        </w:tc>
        <w:tc>
          <w:tcPr>
            <w:tcW w:w="1655" w:type="dxa"/>
            <w:vAlign w:val="center"/>
          </w:tcPr>
          <w:p>
            <w:pPr>
              <w:jc w:val="center"/>
              <w:rPr>
                <w:rFonts w:ascii="仿宋_GB2312" w:hAnsi="仿宋_GB2312" w:cs="仿宋_GB2312"/>
              </w:rPr>
            </w:pPr>
            <w:r>
              <w:rPr>
                <w:rFonts w:hint="eastAsia" w:ascii="仿宋_GB2312" w:hAnsi="仿宋_GB2312" w:cs="仿宋_GB2312"/>
              </w:rPr>
              <w:t>光伏电站财产一切险</w:t>
            </w:r>
          </w:p>
        </w:tc>
        <w:tc>
          <w:tcPr>
            <w:tcW w:w="2533" w:type="dxa"/>
            <w:vAlign w:val="center"/>
          </w:tcPr>
          <w:p>
            <w:pPr>
              <w:jc w:val="center"/>
              <w:rPr>
                <w:rFonts w:hint="eastAsia" w:ascii="仿宋_GB2312" w:hAnsi="仿宋_GB2312" w:cs="仿宋_GB2312"/>
              </w:rPr>
            </w:pPr>
            <w:r>
              <w:rPr>
                <w:rFonts w:hint="eastAsia" w:ascii="仿宋_GB2312" w:hAnsi="仿宋_GB2312" w:cs="仿宋_GB2312"/>
              </w:rPr>
              <w:t>人民币</w:t>
            </w:r>
            <w:r>
              <w:rPr>
                <w:rFonts w:hint="eastAsia" w:ascii="仿宋_GB2312" w:hAnsi="仿宋_GB2312" w:cs="仿宋_GB2312"/>
                <w:lang w:val="en-US" w:eastAsia="zh-CN"/>
              </w:rPr>
              <w:t>185,825,776.61</w:t>
            </w:r>
            <w:r>
              <w:rPr>
                <w:rFonts w:hint="eastAsia" w:ascii="仿宋_GB2312" w:hAnsi="仿宋_GB2312" w:cs="仿宋_GB2312"/>
              </w:rPr>
              <w:t>元</w:t>
            </w:r>
          </w:p>
        </w:tc>
        <w:tc>
          <w:tcPr>
            <w:tcW w:w="1445" w:type="dxa"/>
            <w:vAlign w:val="center"/>
          </w:tcPr>
          <w:p>
            <w:pPr>
              <w:jc w:val="center"/>
              <w:rPr>
                <w:rFonts w:hint="eastAsia" w:ascii="仿宋_GB2312" w:hAnsi="仿宋_GB2312" w:cs="仿宋_GB2312"/>
                <w:lang w:val="en-US" w:eastAsia="zh-CN"/>
              </w:rPr>
            </w:pPr>
          </w:p>
        </w:tc>
        <w:tc>
          <w:tcPr>
            <w:tcW w:w="2048" w:type="dxa"/>
            <w:vAlign w:val="center"/>
          </w:tcPr>
          <w:p>
            <w:pPr>
              <w:jc w:val="center"/>
              <w:rPr>
                <w:rFonts w:hint="eastAsia" w:ascii="仿宋_GB2312" w:hAnsi="仿宋_GB2312" w:cs="仿宋_GB2312"/>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41" w:type="dxa"/>
            <w:vAlign w:val="center"/>
          </w:tcPr>
          <w:p>
            <w:pPr>
              <w:jc w:val="center"/>
              <w:rPr>
                <w:rFonts w:ascii="仿宋_GB2312" w:hAnsi="仿宋_GB2312" w:cs="仿宋_GB2312"/>
              </w:rPr>
            </w:pPr>
            <w:r>
              <w:rPr>
                <w:rFonts w:hint="eastAsia" w:ascii="仿宋_GB2312" w:hAnsi="仿宋_GB2312" w:cs="仿宋_GB2312"/>
              </w:rPr>
              <w:t>2</w:t>
            </w:r>
          </w:p>
        </w:tc>
        <w:tc>
          <w:tcPr>
            <w:tcW w:w="1655" w:type="dxa"/>
            <w:vAlign w:val="center"/>
          </w:tcPr>
          <w:p>
            <w:pPr>
              <w:jc w:val="center"/>
              <w:rPr>
                <w:rFonts w:ascii="仿宋_GB2312" w:hAnsi="仿宋_GB2312" w:cs="仿宋_GB2312"/>
              </w:rPr>
            </w:pPr>
            <w:r>
              <w:rPr>
                <w:rFonts w:hint="eastAsia" w:ascii="仿宋_GB2312" w:hAnsi="仿宋_GB2312" w:cs="仿宋_GB2312"/>
              </w:rPr>
              <w:t>光伏电站机器损坏险</w:t>
            </w:r>
          </w:p>
        </w:tc>
        <w:tc>
          <w:tcPr>
            <w:tcW w:w="2533" w:type="dxa"/>
            <w:vAlign w:val="center"/>
          </w:tcPr>
          <w:p>
            <w:pPr>
              <w:jc w:val="center"/>
              <w:rPr>
                <w:rFonts w:hint="eastAsia" w:ascii="仿宋_GB2312" w:hAnsi="仿宋_GB2312" w:cs="仿宋_GB2312"/>
              </w:rPr>
            </w:pPr>
            <w:r>
              <w:rPr>
                <w:rFonts w:hint="eastAsia" w:ascii="仿宋_GB2312" w:hAnsi="仿宋_GB2312" w:cs="仿宋_GB2312"/>
              </w:rPr>
              <w:t>人民币</w:t>
            </w:r>
            <w:r>
              <w:rPr>
                <w:rFonts w:hint="eastAsia" w:ascii="仿宋_GB2312" w:hAnsi="仿宋_GB2312" w:cs="仿宋_GB2312"/>
                <w:lang w:val="en-US" w:eastAsia="zh-CN"/>
              </w:rPr>
              <w:t>185,825,776.61</w:t>
            </w:r>
            <w:r>
              <w:rPr>
                <w:rFonts w:hint="eastAsia" w:ascii="仿宋_GB2312" w:hAnsi="仿宋_GB2312" w:cs="仿宋_GB2312"/>
              </w:rPr>
              <w:t>元</w:t>
            </w:r>
          </w:p>
        </w:tc>
        <w:tc>
          <w:tcPr>
            <w:tcW w:w="1445" w:type="dxa"/>
            <w:vAlign w:val="center"/>
          </w:tcPr>
          <w:p>
            <w:pPr>
              <w:jc w:val="center"/>
              <w:rPr>
                <w:rFonts w:hint="eastAsia" w:ascii="仿宋_GB2312" w:hAnsi="仿宋_GB2312" w:cs="仿宋_GB2312"/>
                <w:lang w:val="en-US" w:eastAsia="zh-CN"/>
              </w:rPr>
            </w:pPr>
          </w:p>
        </w:tc>
        <w:tc>
          <w:tcPr>
            <w:tcW w:w="2048" w:type="dxa"/>
            <w:vAlign w:val="center"/>
          </w:tcPr>
          <w:p>
            <w:pPr>
              <w:jc w:val="center"/>
              <w:rPr>
                <w:rFonts w:hint="eastAsia" w:ascii="仿宋_GB2312" w:hAnsi="仿宋_GB2312" w:cs="仿宋_GB2312"/>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41" w:type="dxa"/>
            <w:vAlign w:val="center"/>
          </w:tcPr>
          <w:p>
            <w:pPr>
              <w:jc w:val="center"/>
              <w:rPr>
                <w:rFonts w:ascii="仿宋_GB2312" w:hAnsi="仿宋_GB2312" w:cs="仿宋_GB2312"/>
              </w:rPr>
            </w:pPr>
            <w:r>
              <w:rPr>
                <w:rFonts w:hint="eastAsia" w:ascii="仿宋_GB2312" w:hAnsi="仿宋_GB2312" w:cs="仿宋_GB2312"/>
              </w:rPr>
              <w:t>3</w:t>
            </w:r>
          </w:p>
        </w:tc>
        <w:tc>
          <w:tcPr>
            <w:tcW w:w="1655" w:type="dxa"/>
            <w:vAlign w:val="center"/>
          </w:tcPr>
          <w:p>
            <w:pPr>
              <w:jc w:val="center"/>
              <w:rPr>
                <w:rFonts w:ascii="仿宋_GB2312" w:hAnsi="仿宋_GB2312" w:cs="仿宋_GB2312"/>
              </w:rPr>
            </w:pPr>
            <w:r>
              <w:rPr>
                <w:rFonts w:hint="eastAsia" w:ascii="仿宋_GB2312" w:hAnsi="仿宋_GB2312" w:cs="仿宋_GB2312"/>
              </w:rPr>
              <w:t>公众责任险</w:t>
            </w:r>
          </w:p>
        </w:tc>
        <w:tc>
          <w:tcPr>
            <w:tcW w:w="2533" w:type="dxa"/>
            <w:vAlign w:val="center"/>
          </w:tcPr>
          <w:p>
            <w:pPr>
              <w:jc w:val="center"/>
              <w:rPr>
                <w:rFonts w:hint="eastAsia" w:ascii="仿宋_GB2312" w:hAnsi="仿宋_GB2312" w:cs="仿宋_GB2312"/>
              </w:rPr>
            </w:pPr>
            <w:r>
              <w:rPr>
                <w:rFonts w:hint="eastAsia" w:ascii="仿宋_GB2312" w:hAnsi="仿宋_GB2312" w:cs="仿宋_GB2312"/>
              </w:rPr>
              <w:t>人民币</w:t>
            </w:r>
            <w:r>
              <w:rPr>
                <w:rFonts w:hint="eastAsia" w:ascii="仿宋_GB2312" w:hAnsi="仿宋_GB2312" w:cs="仿宋_GB2312"/>
                <w:lang w:val="en-US" w:eastAsia="zh-CN"/>
              </w:rPr>
              <w:t>10</w:t>
            </w:r>
            <w:r>
              <w:rPr>
                <w:rFonts w:hint="eastAsia" w:ascii="仿宋_GB2312" w:hAnsi="仿宋_GB2312" w:cs="仿宋_GB2312"/>
              </w:rPr>
              <w:t>,000,000.00元</w:t>
            </w:r>
          </w:p>
        </w:tc>
        <w:tc>
          <w:tcPr>
            <w:tcW w:w="1445" w:type="dxa"/>
            <w:vAlign w:val="center"/>
          </w:tcPr>
          <w:p>
            <w:pPr>
              <w:jc w:val="center"/>
              <w:rPr>
                <w:rFonts w:hint="eastAsia" w:ascii="仿宋_GB2312" w:hAnsi="仿宋_GB2312" w:cs="仿宋_GB2312"/>
                <w:lang w:val="en-US" w:eastAsia="zh-CN"/>
              </w:rPr>
            </w:pPr>
          </w:p>
        </w:tc>
        <w:tc>
          <w:tcPr>
            <w:tcW w:w="2048" w:type="dxa"/>
            <w:vAlign w:val="center"/>
          </w:tcPr>
          <w:p>
            <w:pPr>
              <w:jc w:val="center"/>
              <w:rPr>
                <w:rFonts w:hint="eastAsia" w:ascii="仿宋_GB2312" w:hAnsi="仿宋_GB2312" w:cs="仿宋_GB2312"/>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1" w:type="dxa"/>
            <w:vAlign w:val="center"/>
          </w:tcPr>
          <w:p>
            <w:pPr>
              <w:jc w:val="center"/>
              <w:rPr>
                <w:rFonts w:ascii="仿宋_GB2312" w:hAnsi="仿宋_GB2312" w:cs="仿宋_GB2312"/>
              </w:rPr>
            </w:pPr>
            <w:r>
              <w:rPr>
                <w:rFonts w:hint="eastAsia" w:ascii="仿宋_GB2312" w:hAnsi="仿宋_GB2312" w:cs="仿宋_GB2312"/>
              </w:rPr>
              <w:t>4</w:t>
            </w:r>
          </w:p>
        </w:tc>
        <w:tc>
          <w:tcPr>
            <w:tcW w:w="1655" w:type="dxa"/>
            <w:vAlign w:val="center"/>
          </w:tcPr>
          <w:p>
            <w:pPr>
              <w:jc w:val="center"/>
              <w:rPr>
                <w:rFonts w:ascii="仿宋_GB2312" w:hAnsi="仿宋_GB2312" w:cs="仿宋_GB2312"/>
              </w:rPr>
            </w:pPr>
            <w:r>
              <w:rPr>
                <w:rFonts w:hint="eastAsia" w:ascii="仿宋_GB2312" w:hAnsi="仿宋_GB2312" w:cs="仿宋_GB2312"/>
              </w:rPr>
              <w:t>免赔条件响应程度</w:t>
            </w:r>
          </w:p>
        </w:tc>
        <w:tc>
          <w:tcPr>
            <w:tcW w:w="6026" w:type="dxa"/>
            <w:gridSpan w:val="3"/>
            <w:vAlign w:val="center"/>
          </w:tcPr>
          <w:p>
            <w:pPr>
              <w:jc w:val="left"/>
              <w:rPr>
                <w:rFonts w:ascii="仿宋_GB2312" w:hAnsi="仿宋_GB2312" w:cs="仿宋_GB2312"/>
              </w:rPr>
            </w:pPr>
            <w:r>
              <w:rPr>
                <w:rFonts w:hint="eastAsia" w:ascii="仿宋_GB2312" w:hAnsi="仿宋_GB2312" w:cs="仿宋_GB2312"/>
              </w:rPr>
              <w:t>完全响应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jc w:val="center"/>
        </w:trPr>
        <w:tc>
          <w:tcPr>
            <w:tcW w:w="841" w:type="dxa"/>
            <w:vAlign w:val="center"/>
          </w:tcPr>
          <w:p>
            <w:pPr>
              <w:jc w:val="center"/>
              <w:rPr>
                <w:rFonts w:ascii="仿宋_GB2312" w:hAnsi="仿宋_GB2312" w:cs="仿宋_GB2312"/>
              </w:rPr>
            </w:pPr>
            <w:r>
              <w:rPr>
                <w:rFonts w:hint="eastAsia" w:ascii="仿宋_GB2312" w:hAnsi="仿宋_GB2312" w:cs="仿宋_GB2312"/>
              </w:rPr>
              <w:t>5</w:t>
            </w:r>
          </w:p>
        </w:tc>
        <w:tc>
          <w:tcPr>
            <w:tcW w:w="1655" w:type="dxa"/>
            <w:vAlign w:val="center"/>
          </w:tcPr>
          <w:p>
            <w:pPr>
              <w:jc w:val="center"/>
              <w:rPr>
                <w:rFonts w:ascii="仿宋_GB2312" w:hAnsi="仿宋_GB2312" w:cs="仿宋_GB2312"/>
              </w:rPr>
            </w:pPr>
            <w:r>
              <w:rPr>
                <w:rFonts w:hint="eastAsia" w:ascii="仿宋_GB2312" w:hAnsi="仿宋_GB2312" w:cs="仿宋_GB2312"/>
              </w:rPr>
              <w:t>保费合计</w:t>
            </w:r>
          </w:p>
        </w:tc>
        <w:tc>
          <w:tcPr>
            <w:tcW w:w="6026" w:type="dxa"/>
            <w:gridSpan w:val="3"/>
            <w:vAlign w:val="center"/>
          </w:tcPr>
          <w:p>
            <w:pPr>
              <w:jc w:val="center"/>
              <w:rPr>
                <w:rFonts w:ascii="仿宋_GB2312" w:hAnsi="仿宋_GB2312" w:cs="仿宋_GB2312"/>
                <w:b/>
                <w:color w:val="FF0000"/>
              </w:rPr>
            </w:pPr>
          </w:p>
        </w:tc>
      </w:tr>
    </w:tbl>
    <w:p/>
    <w:p>
      <w:pPr>
        <w:ind w:left="3780" w:firstLine="420"/>
        <w:rPr>
          <w:b/>
          <w:bCs/>
        </w:rPr>
      </w:pPr>
    </w:p>
    <w:p>
      <w:pPr>
        <w:ind w:left="4536" w:leftChars="1620" w:firstLine="422" w:firstLineChars="150"/>
        <w:rPr>
          <w:b/>
          <w:bCs/>
        </w:rPr>
      </w:pPr>
      <w:r>
        <w:rPr>
          <w:b/>
          <w:bCs/>
        </w:rPr>
        <w:t xml:space="preserve">报价公司：                     </w:t>
      </w:r>
    </w:p>
    <w:p>
      <w:pPr>
        <w:pStyle w:val="8"/>
        <w:ind w:firstLine="562"/>
        <w:rPr>
          <w:b/>
          <w:bCs/>
        </w:rPr>
      </w:pPr>
      <w:r>
        <w:rPr>
          <w:b/>
          <w:bCs/>
        </w:rPr>
        <w:t xml:space="preserve">                                    </w:t>
      </w:r>
      <w:r>
        <w:rPr>
          <w:rFonts w:hint="eastAsia"/>
          <w:b/>
          <w:bCs/>
        </w:rPr>
        <w:t xml:space="preserve">         </w:t>
      </w:r>
    </w:p>
    <w:p>
      <w:pPr>
        <w:pStyle w:val="9"/>
        <w:outlineLvl w:val="9"/>
        <w:rPr>
          <w:rFonts w:hint="eastAsia" w:ascii="Times New Roman" w:hAnsi="Times New Roman" w:eastAsia="仿宋_GB2312"/>
          <w:bCs/>
          <w:szCs w:val="24"/>
          <w:lang w:val="en-US" w:eastAsia="zh-CN"/>
        </w:rPr>
      </w:pPr>
      <w:r>
        <w:rPr>
          <w:rFonts w:hint="eastAsia" w:ascii="Times New Roman" w:hAnsi="Times New Roman" w:eastAsia="仿宋_GB2312"/>
          <w:bCs/>
          <w:sz w:val="24"/>
          <w:szCs w:val="24"/>
        </w:rPr>
        <w:t xml:space="preserve">                         </w:t>
      </w:r>
      <w:r>
        <w:rPr>
          <w:rFonts w:hint="eastAsia" w:ascii="Times New Roman" w:hAnsi="Times New Roman" w:eastAsia="仿宋_GB2312"/>
          <w:bCs/>
          <w:sz w:val="24"/>
          <w:szCs w:val="24"/>
          <w:lang w:val="en-US" w:eastAsia="zh-CN"/>
        </w:rPr>
        <w:t xml:space="preserve">                </w:t>
      </w:r>
      <w:r>
        <w:rPr>
          <w:rFonts w:hint="eastAsia" w:ascii="Times New Roman" w:hAnsi="Times New Roman" w:eastAsia="仿宋_GB2312"/>
          <w:bCs/>
          <w:szCs w:val="24"/>
        </w:rPr>
        <w:t>报价日期：</w:t>
      </w:r>
      <w:r>
        <w:rPr>
          <w:rFonts w:hint="eastAsia" w:ascii="Times New Roman" w:hAnsi="Times New Roman" w:eastAsia="仿宋_GB2312"/>
          <w:bCs/>
          <w:szCs w:val="24"/>
          <w:lang w:val="en-US" w:eastAsia="zh-CN"/>
        </w:rPr>
        <w:t xml:space="preserve">   年  月  日  </w:t>
      </w:r>
    </w:p>
    <w:p>
      <w:pPr>
        <w:ind w:firstLine="560"/>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numPr>
          <w:ilvl w:val="0"/>
          <w:numId w:val="2"/>
        </w:numPr>
        <w:ind w:firstLine="0"/>
        <w:jc w:val="center"/>
        <w:outlineLvl w:val="0"/>
      </w:pPr>
      <w:r>
        <w:rPr>
          <w:rFonts w:hint="eastAsia"/>
          <w:b/>
          <w:bCs/>
        </w:rPr>
        <w:t>光伏电站财产一切险</w:t>
      </w:r>
    </w:p>
    <w:tbl>
      <w:tblPr>
        <w:tblStyle w:val="2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6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kern w:val="0"/>
                <w14:textFill>
                  <w14:solidFill>
                    <w14:schemeClr w14:val="tx1"/>
                  </w14:solidFill>
                </w14:textFill>
              </w:rPr>
              <w:t>合同条款</w:t>
            </w:r>
            <w:r>
              <w:rPr>
                <w:rFonts w:hint="eastAsia"/>
                <w:b/>
                <w:bCs/>
                <w:color w:val="000000" w:themeColor="text1"/>
                <w14:textFill>
                  <w14:solidFill>
                    <w14:schemeClr w14:val="tx1"/>
                  </w14:solidFill>
                </w14:textFill>
              </w:rPr>
              <w:t>：</w:t>
            </w:r>
          </w:p>
        </w:tc>
        <w:tc>
          <w:tcPr>
            <w:tcW w:w="6472" w:type="dxa"/>
            <w:vAlign w:val="center"/>
          </w:tcPr>
          <w:p>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按照保险公司向国家金融监督管理总局备案条款内容执行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投保人：</w:t>
            </w:r>
          </w:p>
        </w:tc>
        <w:tc>
          <w:tcPr>
            <w:tcW w:w="6472" w:type="dxa"/>
            <w:vAlign w:val="center"/>
          </w:tcPr>
          <w:p>
            <w:pPr>
              <w:numPr>
                <w:ilvl w:val="0"/>
                <w:numId w:val="3"/>
              </w:numPr>
              <w:ind w:left="420" w:hanging="420" w:hangingChars="15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投保人名称：南网融资租赁有限公司</w:t>
            </w:r>
          </w:p>
          <w:p>
            <w:pPr>
              <w:numPr>
                <w:ilvl w:val="0"/>
                <w:numId w:val="3"/>
              </w:numPr>
              <w:ind w:left="420" w:hanging="420" w:hangingChars="15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投保人地址：广东省广州市南沙区横沥镇明珠一街1号404房A209（仅限办公）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被保险人：</w:t>
            </w:r>
          </w:p>
        </w:tc>
        <w:tc>
          <w:tcPr>
            <w:tcW w:w="6472" w:type="dxa"/>
            <w:vAlign w:val="center"/>
          </w:tcPr>
          <w:p>
            <w:pPr>
              <w:jc w:val="left"/>
              <w:rPr>
                <w:rFonts w:hint="eastAsia"/>
                <w:color w:val="000000" w:themeColor="text1"/>
                <w14:textFill>
                  <w14:solidFill>
                    <w14:schemeClr w14:val="tx1"/>
                  </w14:solidFill>
                </w14:textFill>
              </w:rPr>
            </w:pPr>
            <w:r>
              <w:rPr>
                <w:color w:val="000000" w:themeColor="text1"/>
                <w14:textFill>
                  <w14:solidFill>
                    <w14:schemeClr w14:val="tx1"/>
                  </w14:solidFill>
                </w14:textFill>
              </w:rPr>
              <w:t>南网融资租赁有限公司</w:t>
            </w:r>
          </w:p>
          <w:p>
            <w:pPr>
              <w:jc w:val="left"/>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阿拉善左旗国电光伏发电有限公司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保险经纪人：</w:t>
            </w:r>
          </w:p>
        </w:tc>
        <w:tc>
          <w:tcPr>
            <w:tcW w:w="6472" w:type="dxa"/>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瑞恒保险经纪有限责任公司</w:t>
            </w:r>
            <w:r>
              <w:rPr>
                <w:rFonts w:hint="eastAsia"/>
                <w:color w:val="000000" w:themeColor="text1"/>
                <w14:textFill>
                  <w14:solidFill>
                    <w14:schemeClr w14:val="tx1"/>
                  </w14:solidFill>
                </w14:textFill>
              </w:rPr>
              <w:t>广东</w:t>
            </w:r>
            <w:r>
              <w:rPr>
                <w:color w:val="000000" w:themeColor="text1"/>
                <w14:textFill>
                  <w14:solidFill>
                    <w14:schemeClr w14:val="tx1"/>
                  </w14:solidFill>
                </w14:textFill>
              </w:rPr>
              <w:t>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司法管辖：</w:t>
            </w:r>
          </w:p>
        </w:tc>
        <w:tc>
          <w:tcPr>
            <w:tcW w:w="6472" w:type="dxa"/>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中华人民共和国司法管辖（港、澳、台除外）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投保项目：</w:t>
            </w:r>
          </w:p>
        </w:tc>
        <w:tc>
          <w:tcPr>
            <w:tcW w:w="6472" w:type="dxa"/>
            <w:vAlign w:val="center"/>
          </w:tcPr>
          <w:p>
            <w:pPr>
              <w:jc w:val="left"/>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阿拉善盟吉兰泰30MW光伏电站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项目地址：</w:t>
            </w:r>
          </w:p>
        </w:tc>
        <w:tc>
          <w:tcPr>
            <w:tcW w:w="6472" w:type="dxa"/>
            <w:vAlign w:val="center"/>
          </w:tcPr>
          <w:p>
            <w:pPr>
              <w:keepNext w:val="0"/>
              <w:keepLines w:val="0"/>
              <w:widowControl/>
              <w:suppressLineNumbers w:val="0"/>
              <w:jc w:val="left"/>
            </w:pPr>
            <w:r>
              <w:rPr>
                <w:rFonts w:hint="eastAsia"/>
                <w:lang w:val="en-US" w:eastAsia="zh-CN"/>
              </w:rPr>
              <w:t>内蒙古自治区阿拉善盟阿拉善左旗吉兰太镇境内地处吉兰太镇南12KM 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保险标的：</w:t>
            </w:r>
          </w:p>
        </w:tc>
        <w:tc>
          <w:tcPr>
            <w:tcW w:w="6472" w:type="dxa"/>
            <w:vAlign w:val="center"/>
          </w:tcPr>
          <w:p>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详见投保清单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保险金额：</w:t>
            </w:r>
          </w:p>
        </w:tc>
        <w:tc>
          <w:tcPr>
            <w:tcW w:w="6472" w:type="dxa"/>
            <w:vAlign w:val="center"/>
          </w:tcPr>
          <w:p>
            <w:pPr>
              <w:keepNext w:val="0"/>
              <w:keepLines w:val="0"/>
              <w:widowControl/>
              <w:suppressLineNumbers w:val="0"/>
              <w:jc w:val="left"/>
              <w:rPr>
                <w:rFonts w:hint="eastAsia" w:ascii="仿宋_GB2312" w:hAnsi="仿宋_GB2312" w:cs="仿宋_GB2312"/>
                <w:lang w:val="en-US" w:eastAsia="zh-CN"/>
              </w:rPr>
            </w:pPr>
            <w:r>
              <w:rPr>
                <w:rFonts w:hint="eastAsia" w:ascii="仿宋_GB2312" w:hAnsi="仿宋_GB2312" w:cs="仿宋_GB2312"/>
                <w:lang w:val="en-US" w:eastAsia="zh-CN"/>
              </w:rPr>
              <w:t>人民币185,825,776.61元</w:t>
            </w:r>
          </w:p>
          <w:p>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被保险资产按重置价值（账面原值/账面净值/其他）投保，具体以项目实际投保清单为准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保险年费率：</w:t>
            </w:r>
          </w:p>
        </w:tc>
        <w:tc>
          <w:tcPr>
            <w:tcW w:w="6472" w:type="dxa"/>
            <w:vAlign w:val="center"/>
          </w:tcPr>
          <w:p>
            <w:pPr>
              <w:jc w:val="left"/>
              <w:rPr>
                <w:rFonts w:hint="eastAsia" w:eastAsia="仿宋_GB2312"/>
                <w:b/>
                <w:color w:val="FF000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保险费用：</w:t>
            </w:r>
          </w:p>
        </w:tc>
        <w:tc>
          <w:tcPr>
            <w:tcW w:w="6472" w:type="dxa"/>
            <w:vAlign w:val="center"/>
          </w:tcPr>
          <w:p>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保险期限：</w:t>
            </w:r>
          </w:p>
        </w:tc>
        <w:tc>
          <w:tcPr>
            <w:tcW w:w="6472" w:type="dxa"/>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自合同签订之日起</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个月</w:t>
            </w:r>
            <w:r>
              <w:rPr>
                <w:color w:val="000000" w:themeColor="text1"/>
                <w14:textFill>
                  <w14:solidFill>
                    <w14:schemeClr w14:val="tx1"/>
                  </w14:solidFill>
                </w14:textFill>
              </w:rPr>
              <w:t>。</w:t>
            </w:r>
          </w:p>
          <w:p>
            <w:pPr>
              <w:jc w:val="left"/>
              <w:rPr>
                <w:color w:val="000000" w:themeColor="text1"/>
                <w14:textFill>
                  <w14:solidFill>
                    <w14:schemeClr w14:val="tx1"/>
                  </w14:solidFill>
                </w14:textFill>
              </w:rPr>
            </w:pPr>
            <w:r>
              <w:rPr>
                <w:color w:val="000000" w:themeColor="text1"/>
                <w14:textFill>
                  <w14:solidFill>
                    <w14:schemeClr w14:val="tx1"/>
                  </w14:solidFill>
                </w14:textFill>
              </w:rPr>
              <w:t>具体日期以出单通知/投保单为准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保险责任：</w:t>
            </w:r>
          </w:p>
        </w:tc>
        <w:tc>
          <w:tcPr>
            <w:tcW w:w="6472" w:type="dxa"/>
            <w:vAlign w:val="center"/>
          </w:tcPr>
          <w:p>
            <w:pPr>
              <w:numPr>
                <w:ilvl w:val="0"/>
                <w:numId w:val="4"/>
              </w:num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在保险期间内，由于自然灾害或意外事故造成保险标的直接物质损坏或灭失（以下简称“损失”），保险人按照本保险合同的约定负责赔偿。</w:t>
            </w:r>
          </w:p>
          <w:p>
            <w:pPr>
              <w:numPr>
                <w:ilvl w:val="0"/>
                <w:numId w:val="4"/>
              </w:num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前款原因造成的保险事故发生时，为抢救保险标的或防止灾害蔓延，采取必要的、合理的措施而造成保险标的的损失，保险人按照本保险合同的约定也负责赔偿。</w:t>
            </w:r>
          </w:p>
          <w:p>
            <w:pPr>
              <w:numPr>
                <w:ilvl w:val="0"/>
                <w:numId w:val="4"/>
              </w:num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保险事故发生后，被保险人为防止或减少保险标的的损失所支付的必要的、合理的费用，保险人按照本保险合同的约定也负责赔偿。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kern w:val="0"/>
                <w14:textFill>
                  <w14:solidFill>
                    <w14:schemeClr w14:val="tx1"/>
                  </w14:solidFill>
                </w14:textFill>
              </w:rPr>
              <w:t>免赔额</w:t>
            </w:r>
            <w:r>
              <w:rPr>
                <w:rFonts w:hint="eastAsia"/>
                <w:b/>
                <w:bCs/>
                <w:color w:val="000000" w:themeColor="text1"/>
                <w14:textFill>
                  <w14:solidFill>
                    <w14:schemeClr w14:val="tx1"/>
                  </w14:solidFill>
                </w14:textFill>
              </w:rPr>
              <w:t>：</w:t>
            </w:r>
          </w:p>
        </w:tc>
        <w:tc>
          <w:tcPr>
            <w:tcW w:w="6472" w:type="dxa"/>
            <w:vAlign w:val="center"/>
          </w:tcPr>
          <w:p>
            <w:pPr>
              <w:numPr>
                <w:ilvl w:val="0"/>
                <w:numId w:val="0"/>
              </w:numPr>
              <w:jc w:val="both"/>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1.地震每次事故绝对免赔40万元或损失金额的5%，以高者为准；</w:t>
            </w:r>
            <w:r>
              <w:rPr>
                <w:rFonts w:hint="eastAsia"/>
                <w:color w:val="000000" w:themeColor="text1"/>
                <w:lang w:val="en-US" w:eastAsia="zh-CN"/>
                <w14:textFill>
                  <w14:solidFill>
                    <w14:schemeClr w14:val="tx1"/>
                  </w14:solidFill>
                </w14:textFill>
              </w:rPr>
              <w:br w:type="textWrapping"/>
            </w:r>
            <w:r>
              <w:rPr>
                <w:rFonts w:hint="eastAsia"/>
                <w:color w:val="000000" w:themeColor="text1"/>
                <w:lang w:val="en-US" w:eastAsia="zh-CN"/>
                <w14:textFill>
                  <w14:solidFill>
                    <w14:schemeClr w14:val="tx1"/>
                  </w14:solidFill>
                </w14:textFill>
              </w:rPr>
              <w:t>2.火灾、爆炸及自然灾害每次事故绝对免赔10万元或损失金额的15%，以高者为准；</w:t>
            </w:r>
            <w:r>
              <w:rPr>
                <w:rFonts w:hint="eastAsia"/>
                <w:color w:val="000000" w:themeColor="text1"/>
                <w:lang w:val="en-US" w:eastAsia="zh-CN"/>
                <w14:textFill>
                  <w14:solidFill>
                    <w14:schemeClr w14:val="tx1"/>
                  </w14:solidFill>
                </w14:textFill>
              </w:rPr>
              <w:br w:type="textWrapping"/>
            </w:r>
            <w:r>
              <w:rPr>
                <w:rFonts w:hint="eastAsia"/>
                <w:color w:val="000000" w:themeColor="text1"/>
                <w:lang w:val="en-US" w:eastAsia="zh-CN"/>
                <w14:textFill>
                  <w14:solidFill>
                    <w14:schemeClr w14:val="tx1"/>
                  </w14:solidFill>
                </w14:textFill>
              </w:rPr>
              <w:t>3.其他风险每次事故每次事故的绝对免赔额为人民币5000元或损失金额的10%，以高者为准。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kern w:val="0"/>
                <w14:textFill>
                  <w14:solidFill>
                    <w14:schemeClr w14:val="tx1"/>
                  </w14:solidFill>
                </w14:textFill>
              </w:rPr>
              <w:t>特别约定</w:t>
            </w:r>
            <w:r>
              <w:rPr>
                <w:rFonts w:hint="eastAsia"/>
                <w:b/>
                <w:bCs/>
                <w:color w:val="000000" w:themeColor="text1"/>
                <w14:textFill>
                  <w14:solidFill>
                    <w14:schemeClr w14:val="tx1"/>
                  </w14:solidFill>
                </w14:textFill>
              </w:rPr>
              <w:t>：</w:t>
            </w:r>
          </w:p>
        </w:tc>
        <w:tc>
          <w:tcPr>
            <w:tcW w:w="6472" w:type="dxa"/>
            <w:vAlign w:val="center"/>
          </w:tcPr>
          <w:p>
            <w:pPr>
              <w:numPr>
                <w:ilvl w:val="0"/>
                <w:numId w:val="0"/>
              </w:numPr>
              <w:jc w:val="lef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1、附加险条款如未做特别说明的，赔偿限额与主险一致且包含在主险限额内，免赔同主险免赔。盗窃事故发生后，需在第一时间通知本公司进行现场查勘，必须提供公安机关出具的盗窃认定证明及视频监控证明，并有明显的盗窃痕迹。</w:t>
            </w:r>
          </w:p>
          <w:p>
            <w:pPr>
              <w:numPr>
                <w:ilvl w:val="0"/>
                <w:numId w:val="0"/>
              </w:numPr>
              <w:jc w:val="lef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2、本保险地址内不能存放国家列明的9类危险品，如因存放这9类危险品而导致的货物本身的损失和其他标的的损失，本保单不承担保险责任。</w:t>
            </w:r>
          </w:p>
          <w:p>
            <w:pPr>
              <w:numPr>
                <w:ilvl w:val="0"/>
                <w:numId w:val="0"/>
              </w:numPr>
              <w:jc w:val="left"/>
              <w:rPr>
                <w:color w:val="000000" w:themeColor="text1"/>
                <w:lang w:eastAsia="zh-Hans"/>
                <w14:textFill>
                  <w14:solidFill>
                    <w14:schemeClr w14:val="tx1"/>
                  </w14:solidFill>
                </w14:textFill>
              </w:rPr>
            </w:pPr>
            <w:r>
              <w:rPr>
                <w:rFonts w:hint="eastAsia"/>
                <w:color w:val="000000" w:themeColor="text1"/>
                <w14:textFill>
                  <w14:solidFill>
                    <w14:schemeClr w14:val="tx1"/>
                  </w14:solidFill>
                </w14:textFill>
              </w:rPr>
              <w:t>3、本保单第一受益人为南网融资租赁有限公司。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kern w:val="0"/>
                <w14:textFill>
                  <w14:solidFill>
                    <w14:schemeClr w14:val="tx1"/>
                  </w14:solidFill>
                </w14:textFill>
              </w:rPr>
              <w:t>扩展条款：</w:t>
            </w:r>
          </w:p>
        </w:tc>
        <w:tc>
          <w:tcPr>
            <w:tcW w:w="6472" w:type="dxa"/>
            <w:vAlign w:val="center"/>
          </w:tcPr>
          <w:p>
            <w:pPr>
              <w:numPr>
                <w:ilvl w:val="0"/>
                <w:numId w:val="1"/>
              </w:numPr>
              <w:jc w:val="lef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附加自动恢复保险金额条款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附加成对或成套设备条款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附加地震</w:t>
            </w:r>
            <w:r>
              <w:rPr>
                <w:rFonts w:hint="eastAsia" w:ascii="Times New Roman" w:hAnsi="Times New Roman" w:cs="Times New Roman"/>
                <w:color w:val="000000" w:themeColor="text1"/>
                <w:highlight w:val="none"/>
                <w:lang w:eastAsia="zh-CN"/>
                <w14:textFill>
                  <w14:solidFill>
                    <w14:schemeClr w14:val="tx1"/>
                  </w14:solidFill>
                </w14:textFill>
              </w:rPr>
              <w:t>、</w:t>
            </w:r>
            <w:r>
              <w:rPr>
                <w:rFonts w:hint="eastAsia" w:ascii="Times New Roman" w:hAnsi="Times New Roman" w:cs="Times New Roman"/>
                <w:color w:val="000000" w:themeColor="text1"/>
                <w:highlight w:val="none"/>
                <w:lang w:val="en-US" w:eastAsia="zh-CN"/>
                <w14:textFill>
                  <w14:solidFill>
                    <w14:schemeClr w14:val="tx1"/>
                  </w14:solidFill>
                </w14:textFill>
              </w:rPr>
              <w:t>海啸</w:t>
            </w:r>
            <w:r>
              <w:rPr>
                <w:rFonts w:hint="eastAsia" w:ascii="Times New Roman" w:hAnsi="Times New Roman" w:cs="Times New Roman"/>
                <w:color w:val="000000" w:themeColor="text1"/>
                <w:highlight w:val="none"/>
                <w14:textFill>
                  <w14:solidFill>
                    <w14:schemeClr w14:val="tx1"/>
                  </w14:solidFill>
                </w14:textFill>
              </w:rPr>
              <w:t>扩展条款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附加清理残骸费用扩展条款（每次事故赔偿限额100万元，累计赔偿限额500万元）</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附加建筑物未受损部分额外费用扩展条款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附加罢工、暴乱及民众骚乱扩展条款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附加索赔费用条款（每次事故赔偿限额100万元，累计赔偿限额500万元）</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附加虫蛀、鼠咬扩展条款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附加灭火费用扩展条款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附加盗窃、抢劫扩展条款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附加临时保护措施扩展条款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附加错误和遗漏条款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14:textFill>
                  <w14:solidFill>
                    <w14:schemeClr w14:val="tx1"/>
                  </w14:solidFill>
                </w14:textFill>
              </w:rPr>
              <w:t>附加消防保证条款</w:t>
            </w:r>
          </w:p>
          <w:p>
            <w:pPr>
              <w:numPr>
                <w:ilvl w:val="0"/>
                <w:numId w:val="1"/>
              </w:numPr>
              <w:jc w:val="left"/>
              <w:rPr>
                <w:rFonts w:hint="eastAsia" w:ascii="Times New Roman" w:hAnsi="Times New Roman" w:cs="Times New Roman"/>
                <w:color w:val="000000" w:themeColor="text1"/>
                <w:highlight w:val="none"/>
                <w:lang w:val="en-US" w:eastAsia="zh-CN"/>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附加预付赔款条款（50%）</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附加保护现场条款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附加专业费用扩展条款（每次事故赔偿限额100万元，累计赔偿限额500万元）</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附加重置价值条款</w:t>
            </w:r>
          </w:p>
          <w:p>
            <w:pPr>
              <w:numPr>
                <w:ilvl w:val="0"/>
                <w:numId w:val="1"/>
              </w:numPr>
              <w:jc w:val="left"/>
              <w:rPr>
                <w:rFonts w:hint="eastAsia" w:ascii="Times New Roman" w:hAnsi="Times New Roman" w:cs="Times New Roman"/>
                <w:color w:val="000000" w:themeColor="text1"/>
                <w:highlight w:val="none"/>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保护系统拒动保险</w:t>
            </w:r>
          </w:p>
          <w:p>
            <w:pPr>
              <w:numPr>
                <w:ilvl w:val="0"/>
                <w:numId w:val="1"/>
              </w:numPr>
              <w:jc w:val="left"/>
              <w:rPr>
                <w:rFonts w:hint="default" w:ascii="Times New Roman" w:hAnsi="Times New Roman" w:cs="Times New Roman"/>
                <w:color w:val="000000" w:themeColor="text1"/>
                <w:highlight w:val="none"/>
                <w:lang w:val="en-US" w:eastAsia="zh-CN"/>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附加检修扩展条款</w:t>
            </w:r>
          </w:p>
          <w:p>
            <w:pPr>
              <w:numPr>
                <w:ilvl w:val="0"/>
                <w:numId w:val="1"/>
              </w:numPr>
              <w:jc w:val="left"/>
              <w:rPr>
                <w:rFonts w:hint="default" w:ascii="Times New Roman" w:hAnsi="Times New Roman" w:cs="Times New Roman"/>
                <w:color w:val="000000" w:themeColor="text1"/>
                <w:highlight w:val="none"/>
                <w:lang w:val="en-US" w:eastAsia="zh-CN"/>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附加特别费用扩展条款（每次事故赔偿限额100万元，累计赔偿限额500万元）</w:t>
            </w:r>
          </w:p>
          <w:p>
            <w:pPr>
              <w:numPr>
                <w:ilvl w:val="0"/>
                <w:numId w:val="1"/>
              </w:numPr>
              <w:jc w:val="left"/>
              <w:rPr>
                <w:color w:val="000000" w:themeColor="text1"/>
                <w14:textFill>
                  <w14:solidFill>
                    <w14:schemeClr w14:val="tx1"/>
                  </w14:solidFill>
                </w14:textFill>
              </w:rPr>
            </w:pPr>
            <w:r>
              <w:rPr>
                <w:rFonts w:hint="eastAsia" w:ascii="Times New Roman" w:hAnsi="Times New Roman" w:cs="Times New Roman"/>
                <w:color w:val="000000" w:themeColor="text1"/>
                <w:highlight w:val="none"/>
                <w:lang w:val="en-US" w:eastAsia="zh-CN"/>
                <w14:textFill>
                  <w14:solidFill>
                    <w14:schemeClr w14:val="tx1"/>
                  </w14:solidFill>
                </w14:textFill>
              </w:rPr>
              <w:t>附加预防及抢险费用专用条款（每次事故赔偿限额100万元，累计赔偿限额500万元）</w:t>
            </w:r>
          </w:p>
        </w:tc>
      </w:tr>
    </w:tbl>
    <w:p>
      <w:pPr>
        <w:pStyle w:val="20"/>
        <w:ind w:left="560"/>
        <w:sectPr>
          <w:footerReference r:id="rId11" w:type="default"/>
          <w:pgSz w:w="11906" w:h="16838"/>
          <w:pgMar w:top="1440" w:right="1800" w:bottom="1440" w:left="1800" w:header="851" w:footer="992" w:gutter="0"/>
          <w:pgNumType w:start="1"/>
          <w:cols w:space="720" w:num="1"/>
          <w:docGrid w:type="lines" w:linePitch="312" w:charSpace="0"/>
        </w:sectPr>
      </w:pPr>
    </w:p>
    <w:p>
      <w:pPr>
        <w:numPr>
          <w:ilvl w:val="0"/>
          <w:numId w:val="2"/>
        </w:numPr>
        <w:ind w:firstLine="0"/>
        <w:jc w:val="center"/>
        <w:outlineLvl w:val="0"/>
      </w:pPr>
      <w:r>
        <w:rPr>
          <w:rFonts w:hint="eastAsia"/>
          <w:b/>
          <w:bCs/>
        </w:rPr>
        <w:t>光伏电站机器损坏险</w:t>
      </w:r>
    </w:p>
    <w:tbl>
      <w:tblPr>
        <w:tblStyle w:val="2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64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合同条款：</w:t>
            </w:r>
          </w:p>
        </w:tc>
        <w:tc>
          <w:tcPr>
            <w:tcW w:w="6472" w:type="dxa"/>
            <w:vAlign w:val="center"/>
          </w:tcPr>
          <w:p>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按照保险公司向国家金融监督管理总局备案条款内容执行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投保人：</w:t>
            </w:r>
          </w:p>
        </w:tc>
        <w:tc>
          <w:tcPr>
            <w:tcW w:w="6472" w:type="dxa"/>
            <w:vAlign w:val="center"/>
          </w:tcPr>
          <w:p>
            <w:pPr>
              <w:numPr>
                <w:ilvl w:val="0"/>
                <w:numId w:val="5"/>
              </w:numPr>
              <w:ind w:left="420" w:hanging="420" w:hangingChars="15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投保人名称：南网融资租赁有限公司</w:t>
            </w:r>
          </w:p>
          <w:p>
            <w:pPr>
              <w:numPr>
                <w:ilvl w:val="0"/>
                <w:numId w:val="5"/>
              </w:numPr>
              <w:ind w:left="420" w:hanging="420" w:hangingChars="15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投保人地址：广东省广州市南沙区横沥镇明珠一街1号404房A209（仅限办公）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被保险人：</w:t>
            </w:r>
          </w:p>
        </w:tc>
        <w:tc>
          <w:tcPr>
            <w:tcW w:w="6472" w:type="dxa"/>
            <w:vAlign w:val="center"/>
          </w:tcPr>
          <w:p>
            <w:pPr>
              <w:jc w:val="left"/>
              <w:rPr>
                <w:rFonts w:hint="eastAsia"/>
                <w:color w:val="000000" w:themeColor="text1"/>
                <w14:textFill>
                  <w14:solidFill>
                    <w14:schemeClr w14:val="tx1"/>
                  </w14:solidFill>
                </w14:textFill>
              </w:rPr>
            </w:pPr>
            <w:r>
              <w:rPr>
                <w:color w:val="000000" w:themeColor="text1"/>
                <w14:textFill>
                  <w14:solidFill>
                    <w14:schemeClr w14:val="tx1"/>
                  </w14:solidFill>
                </w14:textFill>
              </w:rPr>
              <w:t>南网融资租赁有限公司</w:t>
            </w:r>
          </w:p>
          <w:p>
            <w:pPr>
              <w:jc w:val="left"/>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阿拉善左旗国电光伏发电有限公司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保险经纪人：</w:t>
            </w:r>
          </w:p>
        </w:tc>
        <w:tc>
          <w:tcPr>
            <w:tcW w:w="6472" w:type="dxa"/>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瑞恒保险经纪有限责任公司</w:t>
            </w:r>
            <w:r>
              <w:rPr>
                <w:rFonts w:hint="eastAsia"/>
                <w:color w:val="000000" w:themeColor="text1"/>
                <w14:textFill>
                  <w14:solidFill>
                    <w14:schemeClr w14:val="tx1"/>
                  </w14:solidFill>
                </w14:textFill>
              </w:rPr>
              <w:t>广东</w:t>
            </w:r>
            <w:r>
              <w:rPr>
                <w:color w:val="000000" w:themeColor="text1"/>
                <w14:textFill>
                  <w14:solidFill>
                    <w14:schemeClr w14:val="tx1"/>
                  </w14:solidFill>
                </w14:textFill>
              </w:rPr>
              <w:t>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司法管辖：</w:t>
            </w:r>
          </w:p>
        </w:tc>
        <w:tc>
          <w:tcPr>
            <w:tcW w:w="6472" w:type="dxa"/>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中华人民共和国司法管辖（港、澳、台除外）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投保项目：</w:t>
            </w:r>
          </w:p>
        </w:tc>
        <w:tc>
          <w:tcPr>
            <w:tcW w:w="6472" w:type="dxa"/>
            <w:vAlign w:val="center"/>
          </w:tcPr>
          <w:p>
            <w:pPr>
              <w:jc w:val="left"/>
              <w:rPr>
                <w:color w:val="000000" w:themeColor="text1"/>
                <w:spacing w:val="1120"/>
                <w:kern w:val="0"/>
                <w14:textFill>
                  <w14:solidFill>
                    <w14:schemeClr w14:val="tx1"/>
                  </w14:solidFill>
                </w14:textFill>
              </w:rPr>
            </w:pPr>
            <w:r>
              <w:rPr>
                <w:rFonts w:hint="eastAsia"/>
                <w:color w:val="000000" w:themeColor="text1"/>
                <w:lang w:val="en-US" w:eastAsia="zh-CN"/>
                <w14:textFill>
                  <w14:solidFill>
                    <w14:schemeClr w14:val="tx1"/>
                  </w14:solidFill>
                </w14:textFill>
              </w:rPr>
              <w:t>阿拉善盟吉兰泰30MW光伏电站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项目地址：</w:t>
            </w:r>
          </w:p>
        </w:tc>
        <w:tc>
          <w:tcPr>
            <w:tcW w:w="6472" w:type="dxa"/>
            <w:vAlign w:val="center"/>
          </w:tcPr>
          <w:p>
            <w:pPr>
              <w:keepNext w:val="0"/>
              <w:keepLines w:val="0"/>
              <w:widowControl/>
              <w:suppressLineNumbers w:val="0"/>
              <w:jc w:val="left"/>
              <w:rPr>
                <w:color w:val="000000" w:themeColor="text1"/>
                <w14:textFill>
                  <w14:solidFill>
                    <w14:schemeClr w14:val="tx1"/>
                  </w14:solidFill>
                </w14:textFill>
              </w:rPr>
            </w:pPr>
            <w:r>
              <w:rPr>
                <w:rFonts w:hint="eastAsia"/>
                <w:lang w:val="en-US" w:eastAsia="zh-CN"/>
              </w:rPr>
              <w:t>内蒙古自治区阿拉善盟阿拉善左旗吉兰太镇境内地处吉兰太镇南12KM处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保险标的：</w:t>
            </w:r>
          </w:p>
        </w:tc>
        <w:tc>
          <w:tcPr>
            <w:tcW w:w="6472" w:type="dxa"/>
            <w:vAlign w:val="center"/>
          </w:tcPr>
          <w:p>
            <w:pPr>
              <w:jc w:val="left"/>
              <w:rPr>
                <w:color w:val="000000" w:themeColor="text1"/>
                <w:spacing w:val="1120"/>
                <w:kern w:val="0"/>
                <w14:textFill>
                  <w14:solidFill>
                    <w14:schemeClr w14:val="tx1"/>
                  </w14:solidFill>
                </w14:textFill>
              </w:rPr>
            </w:pPr>
            <w:r>
              <w:rPr>
                <w:rFonts w:hint="eastAsia"/>
                <w:color w:val="000000" w:themeColor="text1"/>
                <w14:textFill>
                  <w14:solidFill>
                    <w14:schemeClr w14:val="tx1"/>
                  </w14:solidFill>
                </w14:textFill>
              </w:rPr>
              <w:t>详见投保清单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保险金额：</w:t>
            </w:r>
          </w:p>
        </w:tc>
        <w:tc>
          <w:tcPr>
            <w:tcW w:w="6472" w:type="dxa"/>
            <w:vAlign w:val="center"/>
          </w:tcPr>
          <w:p>
            <w:pPr>
              <w:keepNext w:val="0"/>
              <w:keepLines w:val="0"/>
              <w:widowControl/>
              <w:suppressLineNumbers w:val="0"/>
              <w:jc w:val="left"/>
              <w:rPr>
                <w:rFonts w:hint="eastAsia" w:ascii="仿宋_GB2312" w:hAnsi="仿宋_GB2312" w:cs="仿宋_GB2312"/>
                <w:lang w:val="en-US" w:eastAsia="zh-CN"/>
              </w:rPr>
            </w:pPr>
            <w:r>
              <w:rPr>
                <w:rFonts w:hint="eastAsia" w:ascii="仿宋_GB2312" w:hAnsi="仿宋_GB2312" w:cs="仿宋_GB2312"/>
                <w:lang w:val="en-US" w:eastAsia="zh-CN"/>
              </w:rPr>
              <w:t>人民币185,825,776.61元</w:t>
            </w:r>
          </w:p>
          <w:p>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被保险资产按重置价值（账面原值/账面净值/其他）投保，具体以项目实际投保清单为准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保险年费率：</w:t>
            </w:r>
          </w:p>
        </w:tc>
        <w:tc>
          <w:tcPr>
            <w:tcW w:w="6472" w:type="dxa"/>
            <w:vAlign w:val="center"/>
          </w:tcPr>
          <w:p>
            <w:pPr>
              <w:jc w:val="left"/>
              <w:rPr>
                <w:rFonts w:hint="eastAsia" w:eastAsia="仿宋_GB2312"/>
                <w:color w:val="000000" w:themeColor="text1"/>
                <w:lang w:val="en-US" w:eastAsia="zh-C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保险费用：</w:t>
            </w:r>
          </w:p>
        </w:tc>
        <w:tc>
          <w:tcPr>
            <w:tcW w:w="6472" w:type="dxa"/>
            <w:vAlign w:val="center"/>
          </w:tcPr>
          <w:p>
            <w:pPr>
              <w:jc w:val="left"/>
              <w:rPr>
                <w:color w:val="000000" w:themeColor="text1"/>
                <w:spacing w:val="1120"/>
                <w:kern w:val="0"/>
                <w14:textFill>
                  <w14:solidFill>
                    <w14:schemeClr w14:val="tx1"/>
                  </w14:solidFill>
                </w14:textFill>
              </w:rPr>
            </w:pPr>
            <w:r>
              <w:rPr>
                <w:rFonts w:hint="eastAsia"/>
                <w:color w:val="000000" w:themeColor="text1"/>
                <w14:textFill>
                  <w14:solidFill>
                    <w14:schemeClr w14:val="tx1"/>
                  </w14:solidFill>
                </w14:textFill>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保险期限：</w:t>
            </w:r>
          </w:p>
        </w:tc>
        <w:tc>
          <w:tcPr>
            <w:tcW w:w="6472" w:type="dxa"/>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自合同签订之日起</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个月</w:t>
            </w:r>
            <w:r>
              <w:rPr>
                <w:color w:val="000000" w:themeColor="text1"/>
                <w14:textFill>
                  <w14:solidFill>
                    <w14:schemeClr w14:val="tx1"/>
                  </w14:solidFill>
                </w14:textFill>
              </w:rPr>
              <w:t>。</w:t>
            </w:r>
          </w:p>
          <w:p>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具体日期以出单通知/投保单为准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保险责任：</w:t>
            </w:r>
          </w:p>
        </w:tc>
        <w:tc>
          <w:tcPr>
            <w:tcW w:w="6472" w:type="dxa"/>
            <w:vAlign w:val="center"/>
          </w:tcPr>
          <w:p>
            <w:pPr>
              <w:rPr>
                <w:rFonts w:ascii="仿宋_GB2312" w:hAnsi="仿宋_GB2312" w:cs="仿宋_GB2312"/>
                <w:color w:val="000000" w:themeColor="text1"/>
                <w:szCs w:val="28"/>
                <w14:textFill>
                  <w14:solidFill>
                    <w14:schemeClr w14:val="tx1"/>
                  </w14:solidFill>
                </w14:textFill>
              </w:rPr>
            </w:pPr>
            <w:r>
              <w:rPr>
                <w:rFonts w:hint="eastAsia" w:ascii="仿宋_GB2312" w:hAnsi="仿宋_GB2312" w:cs="仿宋_GB2312"/>
                <w:color w:val="000000" w:themeColor="text1"/>
                <w:szCs w:val="28"/>
                <w14:textFill>
                  <w14:solidFill>
                    <w14:schemeClr w14:val="tx1"/>
                  </w14:solidFill>
                </w14:textFill>
              </w:rPr>
              <w:t>保险人按照保险单的规定，负责赔偿被保险人在保险期限内，因下列原因引起或构成突然的、不可预料的意外事故造成被保财产的物质损坏或灭失：</w:t>
            </w:r>
          </w:p>
          <w:p>
            <w:pPr>
              <w:numPr>
                <w:ilvl w:val="0"/>
                <w:numId w:val="6"/>
              </w:numPr>
              <w:tabs>
                <w:tab w:val="left" w:pos="840"/>
              </w:tabs>
              <w:ind w:left="0" w:firstLine="560" w:firstLineChars="200"/>
              <w:rPr>
                <w:rFonts w:ascii="仿宋_GB2312" w:hAnsi="仿宋_GB2312" w:cs="仿宋_GB2312"/>
                <w:color w:val="000000" w:themeColor="text1"/>
                <w:szCs w:val="28"/>
                <w14:textFill>
                  <w14:solidFill>
                    <w14:schemeClr w14:val="tx1"/>
                  </w14:solidFill>
                </w14:textFill>
              </w:rPr>
            </w:pPr>
            <w:r>
              <w:rPr>
                <w:rFonts w:hint="eastAsia" w:ascii="仿宋_GB2312" w:hAnsi="仿宋_GB2312" w:cs="仿宋_GB2312"/>
                <w:color w:val="000000" w:themeColor="text1"/>
                <w:szCs w:val="28"/>
                <w14:textFill>
                  <w14:solidFill>
                    <w14:schemeClr w14:val="tx1"/>
                  </w14:solidFill>
                </w14:textFill>
              </w:rPr>
              <w:t>设计、制造或安装错误、铸造和原材料缺陷；</w:t>
            </w:r>
          </w:p>
          <w:p>
            <w:pPr>
              <w:numPr>
                <w:ilvl w:val="0"/>
                <w:numId w:val="6"/>
              </w:numPr>
              <w:tabs>
                <w:tab w:val="left" w:pos="840"/>
              </w:tabs>
              <w:ind w:left="0" w:firstLine="560" w:firstLineChars="200"/>
              <w:rPr>
                <w:rFonts w:ascii="仿宋_GB2312" w:hAnsi="仿宋_GB2312" w:cs="仿宋_GB2312"/>
                <w:color w:val="000000" w:themeColor="text1"/>
                <w:szCs w:val="28"/>
                <w14:textFill>
                  <w14:solidFill>
                    <w14:schemeClr w14:val="tx1"/>
                  </w14:solidFill>
                </w14:textFill>
              </w:rPr>
            </w:pPr>
            <w:r>
              <w:rPr>
                <w:rFonts w:hint="eastAsia" w:ascii="仿宋_GB2312" w:hAnsi="仿宋_GB2312" w:cs="仿宋_GB2312"/>
                <w:color w:val="000000" w:themeColor="text1"/>
                <w:szCs w:val="28"/>
                <w14:textFill>
                  <w14:solidFill>
                    <w14:schemeClr w14:val="tx1"/>
                  </w14:solidFill>
                </w14:textFill>
              </w:rPr>
              <w:t>工人、技术人员操作错误、缺乏经验、技术不善、疏忽、过失、恶意行为；</w:t>
            </w:r>
          </w:p>
          <w:p>
            <w:pPr>
              <w:numPr>
                <w:ilvl w:val="0"/>
                <w:numId w:val="6"/>
              </w:numPr>
              <w:tabs>
                <w:tab w:val="left" w:pos="840"/>
              </w:tabs>
              <w:ind w:left="0" w:firstLine="560" w:firstLineChars="200"/>
              <w:rPr>
                <w:rFonts w:ascii="仿宋_GB2312" w:hAnsi="仿宋_GB2312" w:cs="仿宋_GB2312"/>
                <w:color w:val="000000" w:themeColor="text1"/>
                <w:szCs w:val="28"/>
                <w14:textFill>
                  <w14:solidFill>
                    <w14:schemeClr w14:val="tx1"/>
                  </w14:solidFill>
                </w14:textFill>
              </w:rPr>
            </w:pPr>
            <w:r>
              <w:rPr>
                <w:rFonts w:hint="eastAsia" w:ascii="仿宋_GB2312" w:hAnsi="仿宋_GB2312" w:cs="仿宋_GB2312"/>
                <w:color w:val="000000" w:themeColor="text1"/>
                <w:szCs w:val="28"/>
                <w14:textFill>
                  <w14:solidFill>
                    <w14:schemeClr w14:val="tx1"/>
                  </w14:solidFill>
                </w14:textFill>
              </w:rPr>
              <w:t>离心力引起的断裂；</w:t>
            </w:r>
          </w:p>
          <w:p>
            <w:pPr>
              <w:numPr>
                <w:ilvl w:val="0"/>
                <w:numId w:val="6"/>
              </w:numPr>
              <w:tabs>
                <w:tab w:val="left" w:pos="840"/>
              </w:tabs>
              <w:ind w:left="0" w:firstLine="560" w:firstLineChars="200"/>
              <w:rPr>
                <w:rFonts w:ascii="仿宋_GB2312" w:hAnsi="仿宋_GB2312" w:cs="仿宋_GB2312"/>
                <w:color w:val="000000" w:themeColor="text1"/>
                <w:szCs w:val="28"/>
                <w14:textFill>
                  <w14:solidFill>
                    <w14:schemeClr w14:val="tx1"/>
                  </w14:solidFill>
                </w14:textFill>
              </w:rPr>
            </w:pPr>
            <w:r>
              <w:rPr>
                <w:rFonts w:hint="eastAsia" w:ascii="仿宋_GB2312" w:hAnsi="仿宋_GB2312" w:cs="仿宋_GB2312"/>
                <w:color w:val="000000" w:themeColor="text1"/>
                <w:szCs w:val="28"/>
                <w14:textFill>
                  <w14:solidFill>
                    <w14:schemeClr w14:val="tx1"/>
                  </w14:solidFill>
                </w14:textFill>
              </w:rPr>
              <w:t>超负荷、超电压、碰线、电弧、漏电、短路、大气放电、感应电及其它电气原因；</w:t>
            </w:r>
          </w:p>
          <w:p>
            <w:pPr>
              <w:numPr>
                <w:ilvl w:val="0"/>
                <w:numId w:val="6"/>
              </w:numPr>
              <w:tabs>
                <w:tab w:val="left" w:pos="840"/>
              </w:tabs>
              <w:ind w:left="0" w:firstLine="560" w:firstLineChars="200"/>
              <w:rPr>
                <w:color w:val="000000" w:themeColor="text1"/>
                <w14:textFill>
                  <w14:solidFill>
                    <w14:schemeClr w14:val="tx1"/>
                  </w14:solidFill>
                </w14:textFill>
              </w:rPr>
            </w:pPr>
            <w:r>
              <w:rPr>
                <w:rFonts w:hint="eastAsia" w:ascii="仿宋_GB2312" w:hAnsi="仿宋_GB2312" w:cs="仿宋_GB2312"/>
                <w:color w:val="000000" w:themeColor="text1"/>
                <w:szCs w:val="28"/>
                <w14:textFill>
                  <w14:solidFill>
                    <w14:schemeClr w14:val="tx1"/>
                  </w14:solidFill>
                </w14:textFill>
              </w:rPr>
              <w:t>除保单之“除外责任”项下规定以外的其它原因。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免赔额：</w:t>
            </w:r>
          </w:p>
        </w:tc>
        <w:tc>
          <w:tcPr>
            <w:tcW w:w="6472" w:type="dxa"/>
            <w:vAlign w:val="center"/>
          </w:tcPr>
          <w:p>
            <w:pPr>
              <w:jc w:val="left"/>
              <w:rPr>
                <w:color w:val="000000" w:themeColor="text1"/>
                <w14:textFill>
                  <w14:solidFill>
                    <w14:schemeClr w14:val="tx1"/>
                  </w14:solidFill>
                </w14:textFill>
              </w:rPr>
            </w:pPr>
            <w:r>
              <w:rPr>
                <w:rFonts w:hint="eastAsia"/>
                <w:color w:val="000000" w:themeColor="text1"/>
                <w:lang w:eastAsia="zh-Hans"/>
                <w14:textFill>
                  <w14:solidFill>
                    <w14:schemeClr w14:val="tx1"/>
                  </w14:solidFill>
                </w14:textFill>
              </w:rPr>
              <w:t>本保单每次事故绝对免赔额为</w:t>
            </w:r>
            <w:r>
              <w:rPr>
                <w:rFonts w:hint="eastAsia"/>
                <w:color w:val="000000" w:themeColor="text1"/>
                <w:lang w:val="en-US" w:eastAsia="zh-CN"/>
                <w14:textFill>
                  <w14:solidFill>
                    <w14:schemeClr w14:val="tx1"/>
                  </w14:solidFill>
                </w14:textFill>
              </w:rPr>
              <w:t>人民币</w:t>
            </w:r>
            <w:r>
              <w:rPr>
                <w:color w:val="000000" w:themeColor="text1"/>
                <w14:textFill>
                  <w14:solidFill>
                    <w14:schemeClr w14:val="tx1"/>
                  </w14:solidFill>
                </w14:textFill>
              </w:rPr>
              <w:t>5</w:t>
            </w:r>
            <w:r>
              <w:rPr>
                <w:rFonts w:hint="eastAsia"/>
                <w:color w:val="000000" w:themeColor="text1"/>
                <w14:textFill>
                  <w14:solidFill>
                    <w14:schemeClr w14:val="tx1"/>
                  </w14:solidFill>
                </w14:textFill>
              </w:rPr>
              <w:t>万元</w:t>
            </w:r>
            <w:r>
              <w:rPr>
                <w:rFonts w:hint="eastAsia"/>
                <w:color w:val="000000" w:themeColor="text1"/>
                <w:lang w:eastAsia="zh-Hans"/>
                <w14:textFill>
                  <w14:solidFill>
                    <w14:schemeClr w14:val="tx1"/>
                  </w14:solidFill>
                </w14:textFill>
              </w:rPr>
              <w:t>或损失金额的1</w:t>
            </w:r>
            <w:r>
              <w:rPr>
                <w:color w:val="000000" w:themeColor="text1"/>
                <w14:textFill>
                  <w14:solidFill>
                    <w14:schemeClr w14:val="tx1"/>
                  </w14:solidFill>
                </w14:textFill>
              </w:rPr>
              <w:t>0</w:t>
            </w:r>
            <w:r>
              <w:rPr>
                <w:rFonts w:hint="eastAsia"/>
                <w:color w:val="000000" w:themeColor="text1"/>
                <w:lang w:eastAsia="zh-Hans"/>
                <w14:textFill>
                  <w14:solidFill>
                    <w14:schemeClr w14:val="tx1"/>
                  </w14:solidFill>
                </w14:textFill>
              </w:rPr>
              <w:t>%，两者以高者为准。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特别约定：</w:t>
            </w:r>
          </w:p>
        </w:tc>
        <w:tc>
          <w:tcPr>
            <w:tcW w:w="6472" w:type="dxa"/>
            <w:vAlign w:val="center"/>
          </w:tcPr>
          <w:p>
            <w:pPr>
              <w:numPr>
                <w:ilvl w:val="0"/>
                <w:numId w:val="0"/>
              </w:numPr>
              <w:jc w:val="left"/>
              <w:rPr>
                <w:lang w:eastAsia="zh-Hans"/>
              </w:rPr>
            </w:pPr>
            <w:r>
              <w:rPr>
                <w:rFonts w:hint="eastAsia"/>
              </w:rPr>
              <w:t>本保单第一受益人为南网融资租赁有限公司。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扩展条款：</w:t>
            </w:r>
          </w:p>
        </w:tc>
        <w:tc>
          <w:tcPr>
            <w:tcW w:w="6472" w:type="dxa"/>
            <w:vAlign w:val="center"/>
          </w:tcPr>
          <w:p>
            <w:pPr>
              <w:numPr>
                <w:ilvl w:val="0"/>
                <w:numId w:val="7"/>
              </w:numPr>
            </w:pPr>
            <w:r>
              <w:rPr>
                <w:rFonts w:hint="eastAsia"/>
              </w:rPr>
              <w:t>附加自动恢复保险金额条款</w:t>
            </w:r>
          </w:p>
          <w:p>
            <w:pPr>
              <w:numPr>
                <w:ilvl w:val="0"/>
                <w:numId w:val="7"/>
              </w:numPr>
            </w:pPr>
            <w:r>
              <w:rPr>
                <w:rFonts w:hint="eastAsia"/>
              </w:rPr>
              <w:t>附加清理残骸费用扩展条款（每次事故赔偿限额100万元，累计赔偿限额500万元）</w:t>
            </w:r>
          </w:p>
          <w:p>
            <w:pPr>
              <w:numPr>
                <w:ilvl w:val="0"/>
                <w:numId w:val="1"/>
              </w:numPr>
              <w:jc w:val="left"/>
              <w:rPr>
                <w:rFonts w:hint="eastAsia"/>
              </w:rPr>
            </w:pPr>
            <w:r>
              <w:rPr>
                <w:rFonts w:hint="eastAsia"/>
                <w:lang w:val="en-US" w:eastAsia="zh-CN"/>
              </w:rPr>
              <w:t>附加索赔费用条款</w:t>
            </w:r>
            <w:r>
              <w:rPr>
                <w:rFonts w:hint="eastAsia"/>
              </w:rPr>
              <w:t>（每次事故赔偿限额100万元，累计赔偿限额500万元）</w:t>
            </w:r>
          </w:p>
          <w:p>
            <w:pPr>
              <w:numPr>
                <w:ilvl w:val="0"/>
                <w:numId w:val="7"/>
              </w:numPr>
              <w:rPr>
                <w:rFonts w:hint="eastAsia"/>
              </w:rPr>
            </w:pPr>
            <w:r>
              <w:rPr>
                <w:rFonts w:hint="eastAsia"/>
              </w:rPr>
              <w:t>附加预防及抢险费用专用条款（每次事故赔偿限额100万元，累计赔偿限额500万元）</w:t>
            </w:r>
          </w:p>
          <w:p>
            <w:pPr>
              <w:numPr>
                <w:ilvl w:val="0"/>
                <w:numId w:val="7"/>
              </w:numPr>
              <w:rPr>
                <w:rFonts w:hint="eastAsia"/>
              </w:rPr>
            </w:pPr>
            <w:r>
              <w:rPr>
                <w:rFonts w:hint="eastAsia"/>
              </w:rPr>
              <w:t>附加保护现场条款</w:t>
            </w:r>
          </w:p>
          <w:p>
            <w:pPr>
              <w:numPr>
                <w:ilvl w:val="0"/>
                <w:numId w:val="7"/>
              </w:numPr>
              <w:rPr>
                <w:rFonts w:hint="eastAsia"/>
              </w:rPr>
            </w:pPr>
            <w:r>
              <w:rPr>
                <w:rFonts w:hint="eastAsia"/>
              </w:rPr>
              <w:t>附加错误和遗漏条款</w:t>
            </w:r>
          </w:p>
          <w:p>
            <w:pPr>
              <w:numPr>
                <w:ilvl w:val="0"/>
                <w:numId w:val="7"/>
              </w:numPr>
            </w:pPr>
            <w:r>
              <w:rPr>
                <w:rFonts w:hint="eastAsia"/>
                <w:lang w:val="en-US" w:eastAsia="zh-CN"/>
              </w:rPr>
              <w:t>附加重置价值条款</w:t>
            </w:r>
          </w:p>
          <w:p>
            <w:pPr>
              <w:numPr>
                <w:ilvl w:val="0"/>
                <w:numId w:val="7"/>
              </w:numPr>
            </w:pPr>
            <w:r>
              <w:t>附加特别费用扩展条款</w:t>
            </w:r>
            <w:r>
              <w:rPr>
                <w:rFonts w:hint="eastAsia"/>
              </w:rPr>
              <w:t>（每次事故赔偿限额100万元，累计赔偿限额500万元）</w:t>
            </w:r>
          </w:p>
          <w:p>
            <w:pPr>
              <w:numPr>
                <w:ilvl w:val="0"/>
                <w:numId w:val="7"/>
              </w:numPr>
            </w:pPr>
            <w:r>
              <w:t>附加专业费用扩展条款</w:t>
            </w:r>
            <w:r>
              <w:rPr>
                <w:rFonts w:hint="eastAsia"/>
              </w:rPr>
              <w:t>（每次事故赔偿限额100万元，累计赔偿限额500万元）</w:t>
            </w:r>
          </w:p>
          <w:p>
            <w:pPr>
              <w:numPr>
                <w:ilvl w:val="0"/>
                <w:numId w:val="7"/>
              </w:numPr>
              <w:rPr>
                <w:rFonts w:hint="eastAsia" w:ascii="Times New Roman" w:hAnsi="Times New Roman" w:cs="Times New Roman"/>
              </w:rPr>
            </w:pPr>
            <w:r>
              <w:rPr>
                <w:rFonts w:hint="eastAsia" w:ascii="Times New Roman" w:hAnsi="Times New Roman" w:cs="Times New Roman"/>
              </w:rPr>
              <w:t>附加预付赔款条款</w:t>
            </w:r>
            <w:r>
              <w:rPr>
                <w:rFonts w:hint="eastAsia" w:ascii="Times New Roman" w:hAnsi="Times New Roman" w:cs="Times New Roman"/>
                <w:lang w:eastAsia="zh-CN"/>
              </w:rPr>
              <w:t>（</w:t>
            </w:r>
            <w:r>
              <w:rPr>
                <w:rFonts w:hint="eastAsia" w:ascii="Times New Roman" w:hAnsi="Times New Roman" w:cs="Times New Roman"/>
                <w:lang w:val="en-US" w:eastAsia="zh-CN"/>
              </w:rPr>
              <w:t>50%</w:t>
            </w:r>
            <w:r>
              <w:rPr>
                <w:rFonts w:hint="eastAsia" w:ascii="Times New Roman" w:hAnsi="Times New Roman" w:cs="Times New Roman"/>
                <w:lang w:eastAsia="zh-CN"/>
              </w:rPr>
              <w:t>）</w:t>
            </w:r>
          </w:p>
          <w:p>
            <w:pPr>
              <w:numPr>
                <w:ilvl w:val="0"/>
                <w:numId w:val="7"/>
              </w:numPr>
              <w:rPr>
                <w:rFonts w:hint="eastAsia" w:ascii="Times New Roman" w:hAnsi="Times New Roman" w:cs="Times New Roman"/>
              </w:rPr>
            </w:pPr>
            <w:r>
              <w:rPr>
                <w:rFonts w:hint="eastAsia" w:ascii="Times New Roman" w:hAnsi="Times New Roman" w:cs="Times New Roman"/>
                <w:lang w:val="en-US" w:eastAsia="zh-CN"/>
              </w:rPr>
              <w:t>附加成对或成套设备条款</w:t>
            </w:r>
          </w:p>
          <w:p>
            <w:pPr>
              <w:numPr>
                <w:ilvl w:val="0"/>
                <w:numId w:val="7"/>
              </w:numPr>
              <w:rPr>
                <w:rFonts w:hint="eastAsia" w:ascii="Times New Roman" w:hAnsi="Times New Roman" w:cs="Times New Roman"/>
                <w:lang w:val="en-US" w:eastAsia="zh-CN"/>
              </w:rPr>
            </w:pPr>
            <w:r>
              <w:rPr>
                <w:rFonts w:hint="eastAsia" w:ascii="Times New Roman" w:hAnsi="Times New Roman" w:cs="Times New Roman"/>
                <w:lang w:val="en-US" w:eastAsia="zh-CN"/>
              </w:rPr>
              <w:t xml:space="preserve">附加检修扩展条款 </w:t>
            </w:r>
          </w:p>
          <w:p>
            <w:pPr>
              <w:numPr>
                <w:ilvl w:val="0"/>
                <w:numId w:val="7"/>
              </w:numPr>
            </w:pPr>
            <w:r>
              <w:rPr>
                <w:rFonts w:hint="eastAsia" w:ascii="Times New Roman" w:hAnsi="Times New Roman" w:cs="Times New Roman"/>
                <w:lang w:val="en-US" w:eastAsia="zh-CN"/>
              </w:rPr>
              <w:t>保护系统拒动保险</w:t>
            </w:r>
          </w:p>
        </w:tc>
      </w:tr>
    </w:tbl>
    <w:p>
      <w:pPr>
        <w:pStyle w:val="20"/>
        <w:ind w:left="560"/>
      </w:pPr>
    </w:p>
    <w:p>
      <w:pPr>
        <w:pStyle w:val="20"/>
        <w:ind w:left="560"/>
      </w:pPr>
    </w:p>
    <w:p>
      <w:r>
        <w:br w:type="page"/>
      </w:r>
    </w:p>
    <w:p>
      <w:pPr>
        <w:numPr>
          <w:ilvl w:val="0"/>
          <w:numId w:val="2"/>
        </w:numPr>
        <w:ind w:firstLine="0"/>
        <w:jc w:val="center"/>
        <w:outlineLvl w:val="0"/>
        <w:rPr>
          <w:b/>
          <w:bCs/>
        </w:rPr>
      </w:pPr>
      <w:r>
        <w:rPr>
          <w:rFonts w:hint="eastAsia"/>
          <w:b/>
          <w:bCs/>
        </w:rPr>
        <w:t>公众责任险</w:t>
      </w:r>
    </w:p>
    <w:tbl>
      <w:tblPr>
        <w:tblStyle w:val="22"/>
        <w:tblW w:w="8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50"/>
        <w:gridCol w:w="69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合同条款：</w:t>
            </w:r>
          </w:p>
        </w:tc>
        <w:tc>
          <w:tcPr>
            <w:tcW w:w="6948" w:type="dxa"/>
            <w:vAlign w:val="center"/>
          </w:tcPr>
          <w:p>
            <w:p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按照保险公司向国家金融监督管理总局备案条款内容执行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spacing w:val="1120"/>
                <w:kern w:val="0"/>
                <w14:textFill>
                  <w14:solidFill>
                    <w14:schemeClr w14:val="tx1"/>
                  </w14:solidFill>
                </w14:textFill>
              </w:rPr>
            </w:pPr>
            <w:r>
              <w:rPr>
                <w:rFonts w:hint="eastAsia"/>
                <w:b/>
                <w:bCs/>
                <w:color w:val="000000" w:themeColor="text1"/>
                <w:kern w:val="0"/>
                <w14:textFill>
                  <w14:solidFill>
                    <w14:schemeClr w14:val="tx1"/>
                  </w14:solidFill>
                </w14:textFill>
              </w:rPr>
              <w:t>投保人</w:t>
            </w:r>
            <w:r>
              <w:rPr>
                <w:rFonts w:hint="eastAsia"/>
                <w:b/>
                <w:bCs/>
                <w:color w:val="000000" w:themeColor="text1"/>
                <w14:textFill>
                  <w14:solidFill>
                    <w14:schemeClr w14:val="tx1"/>
                  </w14:solidFill>
                </w14:textFill>
              </w:rPr>
              <w:t>：</w:t>
            </w:r>
          </w:p>
        </w:tc>
        <w:tc>
          <w:tcPr>
            <w:tcW w:w="6948" w:type="dxa"/>
            <w:vAlign w:val="center"/>
          </w:tcPr>
          <w:p>
            <w:pPr>
              <w:numPr>
                <w:ilvl w:val="0"/>
                <w:numId w:val="8"/>
              </w:numPr>
              <w:ind w:left="420" w:hanging="420" w:hangingChars="15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投保人名称：南网融资租赁有限公司</w:t>
            </w:r>
          </w:p>
          <w:p>
            <w:pPr>
              <w:numPr>
                <w:ilvl w:val="0"/>
                <w:numId w:val="8"/>
              </w:numPr>
              <w:ind w:left="420" w:hanging="420" w:hangingChars="150"/>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投保人地址：广东省广州市南沙区横沥镇明珠一街1号404房A209（仅限办公）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被保险人：</w:t>
            </w:r>
          </w:p>
        </w:tc>
        <w:tc>
          <w:tcPr>
            <w:tcW w:w="6948" w:type="dxa"/>
            <w:vAlign w:val="center"/>
          </w:tcPr>
          <w:p>
            <w:pPr>
              <w:jc w:val="left"/>
              <w:rPr>
                <w:rFonts w:hint="eastAsia"/>
                <w:color w:val="000000" w:themeColor="text1"/>
                <w14:textFill>
                  <w14:solidFill>
                    <w14:schemeClr w14:val="tx1"/>
                  </w14:solidFill>
                </w14:textFill>
              </w:rPr>
            </w:pPr>
            <w:r>
              <w:rPr>
                <w:color w:val="000000" w:themeColor="text1"/>
                <w14:textFill>
                  <w14:solidFill>
                    <w14:schemeClr w14:val="tx1"/>
                  </w14:solidFill>
                </w14:textFill>
              </w:rPr>
              <w:t>南网融资租赁有限公司</w:t>
            </w:r>
          </w:p>
          <w:p>
            <w:pPr>
              <w:jc w:val="left"/>
              <w:rPr>
                <w:color w:val="000000" w:themeColor="text1"/>
                <w:spacing w:val="1120"/>
                <w:kern w:val="0"/>
                <w14:textFill>
                  <w14:solidFill>
                    <w14:schemeClr w14:val="tx1"/>
                  </w14:solidFill>
                </w14:textFill>
              </w:rPr>
            </w:pPr>
            <w:r>
              <w:rPr>
                <w:rFonts w:hint="eastAsia"/>
                <w:color w:val="000000" w:themeColor="text1"/>
                <w:lang w:val="en-US" w:eastAsia="zh-CN"/>
                <w14:textFill>
                  <w14:solidFill>
                    <w14:schemeClr w14:val="tx1"/>
                  </w14:solidFill>
                </w14:textFill>
              </w:rPr>
              <w:t>阿拉善左旗国电光伏发电有限公司（项目二）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保险经纪人：</w:t>
            </w:r>
          </w:p>
        </w:tc>
        <w:tc>
          <w:tcPr>
            <w:tcW w:w="6948" w:type="dxa"/>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瑞恒保险经纪有限责任公司</w:t>
            </w:r>
            <w:r>
              <w:rPr>
                <w:rFonts w:hint="eastAsia"/>
                <w:color w:val="000000" w:themeColor="text1"/>
                <w14:textFill>
                  <w14:solidFill>
                    <w14:schemeClr w14:val="tx1"/>
                  </w14:solidFill>
                </w14:textFill>
              </w:rPr>
              <w:t>广东</w:t>
            </w:r>
            <w:r>
              <w:rPr>
                <w:color w:val="000000" w:themeColor="text1"/>
                <w14:textFill>
                  <w14:solidFill>
                    <w14:schemeClr w14:val="tx1"/>
                  </w14:solidFill>
                </w14:textFill>
              </w:rPr>
              <w:t>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司法管辖：</w:t>
            </w:r>
          </w:p>
        </w:tc>
        <w:tc>
          <w:tcPr>
            <w:tcW w:w="6948" w:type="dxa"/>
            <w:vAlign w:val="center"/>
          </w:tcPr>
          <w:p>
            <w:pPr>
              <w:jc w:val="left"/>
              <w:rPr>
                <w:color w:val="000000" w:themeColor="text1"/>
                <w:spacing w:val="920"/>
                <w:kern w:val="0"/>
                <w14:textFill>
                  <w14:solidFill>
                    <w14:schemeClr w14:val="tx1"/>
                  </w14:solidFill>
                </w14:textFill>
              </w:rPr>
            </w:pPr>
            <w:r>
              <w:rPr>
                <w:color w:val="000000" w:themeColor="text1"/>
                <w14:textFill>
                  <w14:solidFill>
                    <w14:schemeClr w14:val="tx1"/>
                  </w14:solidFill>
                </w14:textFill>
              </w:rPr>
              <w:t>中华人民共和国司法管辖（港、澳、台除外）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投保项目：</w:t>
            </w:r>
          </w:p>
        </w:tc>
        <w:tc>
          <w:tcPr>
            <w:tcW w:w="6948" w:type="dxa"/>
            <w:vAlign w:val="center"/>
          </w:tcPr>
          <w:p>
            <w:pPr>
              <w:jc w:val="left"/>
              <w:rPr>
                <w:color w:val="000000" w:themeColor="text1"/>
                <w:spacing w:val="1120"/>
                <w:kern w:val="0"/>
                <w14:textFill>
                  <w14:solidFill>
                    <w14:schemeClr w14:val="tx1"/>
                  </w14:solidFill>
                </w14:textFill>
              </w:rPr>
            </w:pPr>
            <w:r>
              <w:rPr>
                <w:rFonts w:hint="eastAsia"/>
                <w:color w:val="000000" w:themeColor="text1"/>
                <w:lang w:val="en-US" w:eastAsia="zh-CN"/>
                <w14:textFill>
                  <w14:solidFill>
                    <w14:schemeClr w14:val="tx1"/>
                  </w14:solidFill>
                </w14:textFill>
              </w:rPr>
              <w:t>阿拉善盟吉兰泰30MW光伏电站</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项目地址：</w:t>
            </w:r>
          </w:p>
        </w:tc>
        <w:tc>
          <w:tcPr>
            <w:tcW w:w="6948" w:type="dxa"/>
            <w:vAlign w:val="center"/>
          </w:tcPr>
          <w:p>
            <w:pPr>
              <w:keepNext w:val="0"/>
              <w:keepLines w:val="0"/>
              <w:widowControl/>
              <w:suppressLineNumbers w:val="0"/>
              <w:jc w:val="left"/>
              <w:rPr>
                <w:color w:val="000000" w:themeColor="text1"/>
                <w:spacing w:val="1120"/>
                <w:kern w:val="0"/>
                <w14:textFill>
                  <w14:solidFill>
                    <w14:schemeClr w14:val="tx1"/>
                  </w14:solidFill>
                </w14:textFill>
              </w:rPr>
            </w:pPr>
            <w:r>
              <w:rPr>
                <w:rFonts w:hint="eastAsia"/>
                <w:lang w:val="en-US" w:eastAsia="zh-CN"/>
              </w:rPr>
              <w:t>内蒙古自治区阿拉善盟阿拉善左旗吉兰太镇境内地处吉兰太镇南12KM 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保险标的：</w:t>
            </w:r>
          </w:p>
        </w:tc>
        <w:tc>
          <w:tcPr>
            <w:tcW w:w="6948" w:type="dxa"/>
            <w:vAlign w:val="center"/>
          </w:tcPr>
          <w:p>
            <w:pPr>
              <w:jc w:val="left"/>
              <w:rPr>
                <w:color w:val="000000" w:themeColor="text1"/>
                <w:spacing w:val="1120"/>
                <w:kern w:val="0"/>
                <w14:textFill>
                  <w14:solidFill>
                    <w14:schemeClr w14:val="tx1"/>
                  </w14:solidFill>
                </w14:textFill>
              </w:rPr>
            </w:pPr>
            <w:r>
              <w:rPr>
                <w:rFonts w:hint="eastAsia"/>
                <w:color w:val="000000" w:themeColor="text1"/>
                <w14:textFill>
                  <w14:solidFill>
                    <w14:schemeClr w14:val="tx1"/>
                  </w14:solidFill>
                </w14:textFill>
              </w:rPr>
              <w:t>详见投保清单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保险金额：</w:t>
            </w:r>
          </w:p>
        </w:tc>
        <w:tc>
          <w:tcPr>
            <w:tcW w:w="6948" w:type="dxa"/>
            <w:vAlign w:val="center"/>
          </w:tcPr>
          <w:p>
            <w:pPr>
              <w:jc w:val="left"/>
              <w:rPr>
                <w:rFonts w:hint="eastAsia"/>
                <w:lang w:val="en-US" w:eastAsia="zh-CN"/>
              </w:rPr>
            </w:pPr>
            <w:r>
              <w:rPr>
                <w:rFonts w:hint="eastAsia"/>
                <w:lang w:val="en-US" w:eastAsia="zh-CN"/>
              </w:rPr>
              <w:t>累计事故赔偿限额为人民币1000万元；</w:t>
            </w:r>
          </w:p>
          <w:p>
            <w:pPr>
              <w:jc w:val="left"/>
              <w:rPr>
                <w:rFonts w:hint="eastAsia"/>
                <w:lang w:val="en-US" w:eastAsia="zh-CN"/>
              </w:rPr>
            </w:pPr>
            <w:r>
              <w:rPr>
                <w:rFonts w:hint="eastAsia"/>
                <w:lang w:val="en-US" w:eastAsia="zh-CN"/>
              </w:rPr>
              <w:t>每次事故赔偿限额人民币1000万元；</w:t>
            </w:r>
          </w:p>
          <w:p>
            <w:pPr>
              <w:jc w:val="left"/>
            </w:pPr>
            <w:r>
              <w:rPr>
                <w:rFonts w:hint="eastAsia"/>
                <w:lang w:val="en-US" w:eastAsia="zh-CN"/>
              </w:rPr>
              <w:t>每人每次事故人身伤亡赔偿限额为人民币100万元</w:t>
            </w:r>
            <w:r>
              <w:rPr>
                <w:rFonts w:hint="eastAsi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保险年费率：</w:t>
            </w:r>
          </w:p>
        </w:tc>
        <w:tc>
          <w:tcPr>
            <w:tcW w:w="6948" w:type="dxa"/>
            <w:vAlign w:val="center"/>
          </w:tcPr>
          <w:p>
            <w:pPr>
              <w:jc w:val="left"/>
              <w:rPr>
                <w:rFonts w:hint="eastAsia" w:eastAsia="仿宋_GB2312"/>
                <w:b/>
                <w:color w:val="FF0000"/>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保险费用：</w:t>
            </w:r>
          </w:p>
        </w:tc>
        <w:tc>
          <w:tcPr>
            <w:tcW w:w="6948" w:type="dxa"/>
            <w:vAlign w:val="center"/>
          </w:tcPr>
          <w:p>
            <w:pPr>
              <w:jc w:val="left"/>
              <w:rPr>
                <w:color w:val="000000" w:themeColor="text1"/>
                <w:spacing w:val="1"/>
                <w:w w:val="94"/>
                <w:kern w:val="0"/>
                <w14:textFill>
                  <w14:solidFill>
                    <w14:schemeClr w14:val="tx1"/>
                  </w14:solidFill>
                </w14:textFill>
              </w:rPr>
            </w:pPr>
            <w:r>
              <w:rPr>
                <w:rFonts w:hint="eastAsia"/>
                <w:color w:val="000000" w:themeColor="text1"/>
                <w14:textFill>
                  <w14:solidFill>
                    <w14:schemeClr w14:val="tx1"/>
                  </w14:solidFill>
                </w14:textFill>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kern w:val="0"/>
                <w14:textFill>
                  <w14:solidFill>
                    <w14:schemeClr w14:val="tx1"/>
                  </w14:solidFill>
                </w14:textFill>
              </w:rPr>
            </w:pPr>
            <w:r>
              <w:rPr>
                <w:rFonts w:hint="eastAsia"/>
                <w:b/>
                <w:bCs/>
                <w:color w:val="000000" w:themeColor="text1"/>
                <w:kern w:val="0"/>
                <w14:textFill>
                  <w14:solidFill>
                    <w14:schemeClr w14:val="tx1"/>
                  </w14:solidFill>
                </w14:textFill>
              </w:rPr>
              <w:t>保险期限：</w:t>
            </w:r>
          </w:p>
        </w:tc>
        <w:tc>
          <w:tcPr>
            <w:tcW w:w="6948" w:type="dxa"/>
            <w:vAlign w:val="center"/>
          </w:tcPr>
          <w:p>
            <w:pPr>
              <w:jc w:val="left"/>
              <w:rPr>
                <w:color w:val="000000" w:themeColor="text1"/>
                <w14:textFill>
                  <w14:solidFill>
                    <w14:schemeClr w14:val="tx1"/>
                  </w14:solidFill>
                </w14:textFill>
              </w:rPr>
            </w:pPr>
            <w:r>
              <w:rPr>
                <w:color w:val="000000" w:themeColor="text1"/>
                <w14:textFill>
                  <w14:solidFill>
                    <w14:schemeClr w14:val="tx1"/>
                  </w14:solidFill>
                </w14:textFill>
              </w:rPr>
              <w:t>自合同签订之日起</w:t>
            </w:r>
            <w:r>
              <w:rPr>
                <w:rFonts w:hint="eastAsia"/>
                <w:color w:val="000000" w:themeColor="text1"/>
                <w:lang w:val="en-US" w:eastAsia="zh-CN"/>
                <w14:textFill>
                  <w14:solidFill>
                    <w14:schemeClr w14:val="tx1"/>
                  </w14:solidFill>
                </w14:textFill>
              </w:rPr>
              <w:t>2</w:t>
            </w:r>
            <w:r>
              <w:rPr>
                <w:rFonts w:hint="eastAsia"/>
                <w:color w:val="000000" w:themeColor="text1"/>
                <w14:textFill>
                  <w14:solidFill>
                    <w14:schemeClr w14:val="tx1"/>
                  </w14:solidFill>
                </w14:textFill>
              </w:rPr>
              <w:t>个月</w:t>
            </w:r>
            <w:r>
              <w:rPr>
                <w:color w:val="000000" w:themeColor="text1"/>
                <w14:textFill>
                  <w14:solidFill>
                    <w14:schemeClr w14:val="tx1"/>
                  </w14:solidFill>
                </w14:textFill>
              </w:rPr>
              <w:t>。</w:t>
            </w:r>
          </w:p>
          <w:p>
            <w:pPr>
              <w:jc w:val="left"/>
              <w:rPr>
                <w:color w:val="000000" w:themeColor="text1"/>
                <w14:textFill>
                  <w14:solidFill>
                    <w14:schemeClr w14:val="tx1"/>
                  </w14:solidFill>
                </w14:textFill>
              </w:rPr>
            </w:pPr>
            <w:r>
              <w:rPr>
                <w:color w:val="000000" w:themeColor="text1"/>
                <w14:textFill>
                  <w14:solidFill>
                    <w14:schemeClr w14:val="tx1"/>
                  </w14:solidFill>
                </w14:textFill>
              </w:rPr>
              <w:t>具体日期以出单通知/投保单为准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保险责任：</w:t>
            </w:r>
          </w:p>
        </w:tc>
        <w:tc>
          <w:tcPr>
            <w:tcW w:w="6948" w:type="dxa"/>
            <w:vAlign w:val="center"/>
          </w:tcPr>
          <w:p>
            <w:pPr>
              <w:numPr>
                <w:ilvl w:val="0"/>
                <w:numId w:val="9"/>
              </w:num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在保险期间内，被保险人在保险单/保险合同明细表列明的区域范围内，合法从事经营范围内的业务时发生意外事故造成第三者的人身伤亡或财产损失，依照中华人民共和国法律（不包括港澳台地区法律）应由被保险人承担的经济赔偿责任，保险人按照本保险合同约定负责赔偿。</w:t>
            </w:r>
          </w:p>
          <w:p>
            <w:pPr>
              <w:numPr>
                <w:ilvl w:val="0"/>
                <w:numId w:val="9"/>
              </w:numPr>
              <w:jc w:val="left"/>
              <w:rPr>
                <w:color w:val="000000" w:themeColor="text1"/>
                <w14:textFill>
                  <w14:solidFill>
                    <w14:schemeClr w14:val="tx1"/>
                  </w14:solidFill>
                </w14:textFill>
              </w:rPr>
            </w:pPr>
            <w:r>
              <w:rPr>
                <w:rFonts w:hint="eastAsia"/>
                <w:color w:val="000000" w:themeColor="text1"/>
                <w14:textFill>
                  <w14:solidFill>
                    <w14:schemeClr w14:val="tx1"/>
                  </w14:solidFill>
                </w14:textFill>
              </w:rPr>
              <w:t>保险事故发生后，被保险人因保险事故而被提起仲裁或者诉讼的，对应由被保险人支付的仲裁或诉讼费用以及事先经保险人书面同意支付的其他必要的、合理的费用（以下简称“法律费用”），保险人按照本保险合同约定也负责赔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免赔额：</w:t>
            </w:r>
          </w:p>
        </w:tc>
        <w:tc>
          <w:tcPr>
            <w:tcW w:w="6948" w:type="dxa"/>
            <w:vAlign w:val="center"/>
          </w:tcPr>
          <w:p>
            <w:pPr>
              <w:numPr>
                <w:ilvl w:val="0"/>
                <w:numId w:val="10"/>
              </w:numPr>
              <w:jc w:val="left"/>
              <w:rPr>
                <w:color w:val="000000" w:themeColor="text1"/>
                <w:lang w:eastAsia="zh-Hans"/>
                <w14:textFill>
                  <w14:solidFill>
                    <w14:schemeClr w14:val="tx1"/>
                  </w14:solidFill>
                </w14:textFill>
              </w:rPr>
            </w:pPr>
            <w:r>
              <w:rPr>
                <w:rFonts w:hint="eastAsia"/>
                <w:color w:val="000000" w:themeColor="text1"/>
                <w:lang w:eastAsia="zh-Hans"/>
                <w14:textFill>
                  <w14:solidFill>
                    <w14:schemeClr w14:val="tx1"/>
                  </w14:solidFill>
                </w14:textFill>
              </w:rPr>
              <w:t>本保单每次事故财产损失绝对免赔额为</w:t>
            </w:r>
            <w:r>
              <w:rPr>
                <w:rFonts w:hint="eastAsia"/>
                <w:color w:val="000000" w:themeColor="text1"/>
                <w:lang w:val="en-US" w:eastAsia="zh-CN"/>
                <w14:textFill>
                  <w14:solidFill>
                    <w14:schemeClr w14:val="tx1"/>
                  </w14:solidFill>
                </w14:textFill>
              </w:rPr>
              <w:t>人民币5000</w:t>
            </w:r>
            <w:r>
              <w:rPr>
                <w:rFonts w:hint="eastAsia"/>
                <w:color w:val="000000" w:themeColor="text1"/>
                <w:lang w:eastAsia="zh-Hans"/>
                <w14:textFill>
                  <w14:solidFill>
                    <w14:schemeClr w14:val="tx1"/>
                  </w14:solidFill>
                </w14:textFill>
              </w:rPr>
              <w:t>元或损失金额的</w:t>
            </w:r>
            <w:r>
              <w:rPr>
                <w:color w:val="000000" w:themeColor="text1"/>
                <w:lang w:eastAsia="zh-Hans"/>
                <w14:textFill>
                  <w14:solidFill>
                    <w14:schemeClr w14:val="tx1"/>
                  </w14:solidFill>
                </w14:textFill>
              </w:rPr>
              <w:t>1</w:t>
            </w:r>
            <w:r>
              <w:rPr>
                <w:rFonts w:hint="eastAsia"/>
                <w:color w:val="000000" w:themeColor="text1"/>
                <w:lang w:eastAsia="zh-Hans"/>
                <w14:textFill>
                  <w14:solidFill>
                    <w14:schemeClr w14:val="tx1"/>
                  </w14:solidFill>
                </w14:textFill>
              </w:rPr>
              <w:t>0%，两者以高者为准。</w:t>
            </w:r>
          </w:p>
          <w:p>
            <w:pPr>
              <w:numPr>
                <w:ilvl w:val="0"/>
                <w:numId w:val="10"/>
              </w:numPr>
              <w:jc w:val="left"/>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人身伤亡无免赔。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特别约定：</w:t>
            </w:r>
          </w:p>
        </w:tc>
        <w:tc>
          <w:tcPr>
            <w:tcW w:w="6948" w:type="dxa"/>
            <w:vAlign w:val="center"/>
          </w:tcPr>
          <w:p>
            <w:pPr>
              <w:numPr>
                <w:ilvl w:val="0"/>
                <w:numId w:val="0"/>
              </w:numPr>
              <w:jc w:val="left"/>
              <w:rPr>
                <w:rFonts w:hint="eastAsia" w:eastAsia="仿宋_GB2312"/>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本保单承保的是被保险人固定于保单载明地址内安装的分布式光伏发电系统以及相关配套设施由于保险条款列明保险责任造成的第三者财产损失或第三者人身伤亡。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50" w:type="dxa"/>
            <w:vAlign w:val="center"/>
          </w:tcPr>
          <w:p>
            <w:pPr>
              <w:jc w:val="distribute"/>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扩展条款：</w:t>
            </w:r>
          </w:p>
        </w:tc>
        <w:tc>
          <w:tcPr>
            <w:tcW w:w="6948" w:type="dxa"/>
            <w:vAlign w:val="center"/>
          </w:tcPr>
          <w:p>
            <w:pPr>
              <w:numPr>
                <w:ilvl w:val="0"/>
                <w:numId w:val="11"/>
              </w:numPr>
              <w:rPr>
                <w:rFonts w:hint="eastAsia"/>
                <w:lang w:eastAsia="zh-CN"/>
              </w:rPr>
            </w:pPr>
            <w:r>
              <w:rPr>
                <w:rFonts w:hint="eastAsia"/>
                <w:lang w:eastAsia="zh-CN"/>
              </w:rPr>
              <w:t>火灾和爆炸责任</w:t>
            </w:r>
            <w:r>
              <w:rPr>
                <w:rFonts w:hint="eastAsia"/>
                <w:lang w:val="en-US" w:eastAsia="zh-CN"/>
              </w:rPr>
              <w:t>保险</w:t>
            </w:r>
            <w:r>
              <w:rPr>
                <w:rFonts w:hint="eastAsia"/>
                <w:lang w:eastAsia="zh-CN"/>
              </w:rPr>
              <w:t>（每次事故赔偿限额人民币</w:t>
            </w:r>
            <w:r>
              <w:rPr>
                <w:rFonts w:hint="eastAsia"/>
                <w:lang w:val="en-US" w:eastAsia="zh-CN"/>
              </w:rPr>
              <w:t>5</w:t>
            </w:r>
            <w:r>
              <w:rPr>
                <w:rFonts w:hint="eastAsia"/>
                <w:lang w:eastAsia="zh-CN"/>
              </w:rPr>
              <w:t>00万元）；</w:t>
            </w:r>
          </w:p>
          <w:p>
            <w:pPr>
              <w:numPr>
                <w:ilvl w:val="0"/>
                <w:numId w:val="11"/>
              </w:numPr>
              <w:rPr>
                <w:rFonts w:hint="eastAsia"/>
                <w:lang w:eastAsia="zh-CN"/>
              </w:rPr>
            </w:pPr>
            <w:r>
              <w:rPr>
                <w:rFonts w:hint="eastAsia"/>
                <w:lang w:eastAsia="zh-CN"/>
              </w:rPr>
              <w:t>建筑物改变条款（每次事故赔偿限额人民币5</w:t>
            </w:r>
            <w:r>
              <w:rPr>
                <w:rFonts w:hint="eastAsia"/>
                <w:lang w:val="en-US" w:eastAsia="zh-CN"/>
              </w:rPr>
              <w:t>0</w:t>
            </w:r>
            <w:r>
              <w:rPr>
                <w:rFonts w:hint="eastAsia"/>
                <w:lang w:eastAsia="zh-CN"/>
              </w:rPr>
              <w:t>0万元）；</w:t>
            </w:r>
          </w:p>
          <w:p>
            <w:pPr>
              <w:numPr>
                <w:ilvl w:val="0"/>
                <w:numId w:val="11"/>
              </w:numPr>
              <w:rPr>
                <w:rFonts w:hint="eastAsia"/>
                <w:lang w:eastAsia="zh-CN"/>
              </w:rPr>
            </w:pPr>
            <w:r>
              <w:rPr>
                <w:rFonts w:hint="eastAsia"/>
                <w:lang w:eastAsia="zh-CN"/>
              </w:rPr>
              <w:t>急救费用条款（每次事故赔偿限额人民币50</w:t>
            </w:r>
            <w:r>
              <w:rPr>
                <w:rFonts w:hint="eastAsia"/>
                <w:lang w:val="en-US" w:eastAsia="zh-CN"/>
              </w:rPr>
              <w:t>0</w:t>
            </w:r>
            <w:r>
              <w:rPr>
                <w:rFonts w:hint="eastAsia"/>
                <w:lang w:eastAsia="zh-CN"/>
              </w:rPr>
              <w:t>万元）；</w:t>
            </w:r>
          </w:p>
          <w:p>
            <w:pPr>
              <w:numPr>
                <w:ilvl w:val="0"/>
                <w:numId w:val="11"/>
              </w:numPr>
              <w:rPr>
                <w:rFonts w:hint="eastAsia"/>
                <w:lang w:eastAsia="zh-CN"/>
              </w:rPr>
            </w:pPr>
            <w:r>
              <w:rPr>
                <w:rFonts w:hint="eastAsia"/>
                <w:lang w:eastAsia="zh-CN"/>
              </w:rPr>
              <w:t>附加交叉责任保险（每次事故赔偿限额人民币50</w:t>
            </w:r>
            <w:r>
              <w:rPr>
                <w:rFonts w:hint="eastAsia"/>
                <w:lang w:val="en-US" w:eastAsia="zh-CN"/>
              </w:rPr>
              <w:t>0</w:t>
            </w:r>
            <w:r>
              <w:rPr>
                <w:rFonts w:hint="eastAsia"/>
                <w:lang w:eastAsia="zh-CN"/>
              </w:rPr>
              <w:t>万元）；</w:t>
            </w:r>
          </w:p>
          <w:p>
            <w:pPr>
              <w:numPr>
                <w:ilvl w:val="0"/>
                <w:numId w:val="11"/>
              </w:numPr>
              <w:rPr>
                <w:rFonts w:hint="eastAsia"/>
                <w:lang w:eastAsia="zh-CN"/>
              </w:rPr>
            </w:pPr>
            <w:r>
              <w:rPr>
                <w:rFonts w:hint="eastAsia"/>
                <w:lang w:eastAsia="zh-CN"/>
              </w:rPr>
              <w:t>附加污染责任保险（每次事故赔偿限额人民币50</w:t>
            </w:r>
            <w:r>
              <w:rPr>
                <w:rFonts w:hint="eastAsia"/>
                <w:lang w:val="en-US" w:eastAsia="zh-CN"/>
              </w:rPr>
              <w:t>0</w:t>
            </w:r>
            <w:r>
              <w:rPr>
                <w:rFonts w:hint="eastAsia"/>
                <w:lang w:eastAsia="zh-CN"/>
              </w:rPr>
              <w:t>万元）；</w:t>
            </w:r>
          </w:p>
          <w:p>
            <w:pPr>
              <w:numPr>
                <w:ilvl w:val="0"/>
                <w:numId w:val="11"/>
              </w:numPr>
              <w:rPr>
                <w:rFonts w:hint="eastAsia"/>
                <w:lang w:eastAsia="zh-CN"/>
              </w:rPr>
            </w:pPr>
            <w:r>
              <w:rPr>
                <w:rFonts w:hint="eastAsia"/>
                <w:lang w:eastAsia="zh-CN"/>
              </w:rPr>
              <w:t>社会活动责任</w:t>
            </w:r>
            <w:r>
              <w:rPr>
                <w:rFonts w:hint="eastAsia"/>
                <w:lang w:val="en-US" w:eastAsia="zh-CN"/>
              </w:rPr>
              <w:t>保险；</w:t>
            </w:r>
          </w:p>
          <w:p>
            <w:pPr>
              <w:numPr>
                <w:ilvl w:val="0"/>
                <w:numId w:val="11"/>
              </w:numPr>
              <w:rPr>
                <w:rFonts w:hint="eastAsia"/>
                <w:lang w:eastAsia="zh-CN"/>
              </w:rPr>
            </w:pPr>
            <w:r>
              <w:rPr>
                <w:rFonts w:hint="eastAsia"/>
                <w:lang w:val="en-US" w:eastAsia="zh-CN"/>
              </w:rPr>
              <w:t>附加救火费用保险</w:t>
            </w:r>
            <w:r>
              <w:rPr>
                <w:rFonts w:hint="eastAsia"/>
                <w:lang w:eastAsia="zh-CN"/>
              </w:rPr>
              <w:t>；</w:t>
            </w:r>
          </w:p>
          <w:p>
            <w:pPr>
              <w:numPr>
                <w:ilvl w:val="0"/>
                <w:numId w:val="11"/>
              </w:numPr>
              <w:rPr>
                <w:rFonts w:hint="eastAsia"/>
                <w:lang w:eastAsia="zh-CN"/>
              </w:rPr>
            </w:pPr>
            <w:r>
              <w:rPr>
                <w:rFonts w:hint="eastAsia"/>
                <w:lang w:eastAsia="zh-CN"/>
              </w:rPr>
              <w:t>附加访问者赔偿条款；</w:t>
            </w:r>
          </w:p>
          <w:p>
            <w:pPr>
              <w:numPr>
                <w:ilvl w:val="0"/>
                <w:numId w:val="11"/>
              </w:numPr>
              <w:rPr>
                <w:rFonts w:hint="eastAsia"/>
                <w:lang w:eastAsia="zh-CN"/>
              </w:rPr>
            </w:pPr>
            <w:r>
              <w:rPr>
                <w:rFonts w:hint="eastAsia"/>
                <w:lang w:eastAsia="zh-CN"/>
              </w:rPr>
              <w:t>附加第三者赔偿责任保险条款；</w:t>
            </w:r>
          </w:p>
          <w:p>
            <w:pPr>
              <w:numPr>
                <w:ilvl w:val="0"/>
                <w:numId w:val="11"/>
              </w:numPr>
              <w:rPr>
                <w:rFonts w:hint="eastAsia"/>
                <w:lang w:eastAsia="zh-CN"/>
              </w:rPr>
            </w:pPr>
            <w:r>
              <w:rPr>
                <w:rFonts w:hint="eastAsia"/>
                <w:lang w:eastAsia="zh-CN"/>
              </w:rPr>
              <w:t>附加董事会、监事会成员赔偿保险条款；</w:t>
            </w:r>
          </w:p>
          <w:p>
            <w:pPr>
              <w:numPr>
                <w:ilvl w:val="0"/>
                <w:numId w:val="11"/>
              </w:numPr>
              <w:rPr>
                <w:rFonts w:hint="eastAsia"/>
                <w:lang w:eastAsia="zh-CN"/>
              </w:rPr>
            </w:pPr>
            <w:r>
              <w:rPr>
                <w:rFonts w:hint="eastAsia"/>
                <w:lang w:eastAsia="zh-CN"/>
              </w:rPr>
              <w:t>附加无过失责任保险条款；</w:t>
            </w:r>
          </w:p>
          <w:p>
            <w:pPr>
              <w:numPr>
                <w:ilvl w:val="0"/>
                <w:numId w:val="11"/>
              </w:numPr>
              <w:rPr>
                <w:rFonts w:hint="eastAsia"/>
                <w:lang w:val="en-US" w:eastAsia="zh-CN"/>
              </w:rPr>
            </w:pPr>
            <w:r>
              <w:rPr>
                <w:rFonts w:hint="eastAsia"/>
                <w:lang w:val="en-US" w:eastAsia="zh-CN"/>
              </w:rPr>
              <w:t>附加自然灾害保险</w:t>
            </w:r>
            <w:r>
              <w:rPr>
                <w:rFonts w:hint="eastAsia"/>
                <w:lang w:eastAsia="zh-CN"/>
              </w:rPr>
              <w:t>（每次事故赔偿限额人民币</w:t>
            </w:r>
            <w:r>
              <w:rPr>
                <w:rFonts w:hint="eastAsia"/>
                <w:lang w:val="en-US" w:eastAsia="zh-CN"/>
              </w:rPr>
              <w:t>5</w:t>
            </w:r>
            <w:r>
              <w:rPr>
                <w:rFonts w:hint="eastAsia"/>
                <w:lang w:eastAsia="zh-CN"/>
              </w:rPr>
              <w:t>00万元）。</w:t>
            </w:r>
          </w:p>
        </w:tc>
      </w:tr>
    </w:tbl>
    <w:p>
      <w:pPr>
        <w:pStyle w:val="20"/>
        <w:ind w:left="0" w:leftChars="0" w:firstLine="0"/>
      </w:pPr>
    </w:p>
    <w:sectPr>
      <w:pgSz w:w="11906" w:h="16838"/>
      <w:pgMar w:top="1440" w:right="1800" w:bottom="987"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Microsoft JhengHei">
    <w:panose1 w:val="020B0604030504040204"/>
    <w:charset w:val="88"/>
    <w:family w:val="swiss"/>
    <w:pitch w:val="default"/>
    <w:sig w:usb0="000002A7" w:usb1="28CF4400" w:usb2="00000016" w:usb3="00000000" w:csb0="00100009"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firstLine="560"/>
      <w:jc w:val="center"/>
    </w:pPr>
  </w:p>
  <w:p>
    <w:pPr>
      <w:pStyle w:val="1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3"/>
                          </w:pPr>
                          <w:r>
                            <w:rPr>
                              <w:rFonts w:hint="eastAsia"/>
                            </w:rPr>
                            <w:t xml:space="preserve">第 </w:t>
                          </w:r>
                          <w:r>
                            <w:fldChar w:fldCharType="begin"/>
                          </w:r>
                          <w:r>
                            <w:instrText xml:space="preserve"> PAGE \* MERGEFORMAT </w:instrText>
                          </w:r>
                          <w:r>
                            <w:fldChar w:fldCharType="separate"/>
                          </w:r>
                          <w:r>
                            <w:t>2</w:t>
                          </w:r>
                          <w:r>
                            <w:fldChar w:fldCharType="end"/>
                          </w:r>
                          <w:r>
                            <w:rPr>
                              <w:rFonts w:hint="eastAsia"/>
                            </w:rPr>
                            <w:t xml:space="preserve"> 页 \ 共 </w:t>
                          </w:r>
                          <w:r>
                            <w:fldChar w:fldCharType="begin"/>
                          </w:r>
                          <w:r>
                            <w:instrText xml:space="preserve"> =</w:instrText>
                          </w:r>
                          <w:r>
                            <w:fldChar w:fldCharType="begin"/>
                          </w:r>
                          <w:r>
                            <w:instrText xml:space="preserve"> numpages </w:instrText>
                          </w:r>
                          <w:r>
                            <w:fldChar w:fldCharType="separate"/>
                          </w:r>
                          <w:r>
                            <w:instrText xml:space="preserve">11</w:instrText>
                          </w:r>
                          <w:r>
                            <w:fldChar w:fldCharType="end"/>
                          </w:r>
                          <w:r>
                            <w:instrText xml:space="preserve">-1 </w:instrText>
                          </w:r>
                          <w:r>
                            <w:fldChar w:fldCharType="separate"/>
                          </w:r>
                          <w:r>
                            <w:t>10</w:t>
                          </w:r>
                          <w:r>
                            <w:fldChar w:fldCharType="end"/>
                          </w:r>
                          <w:r>
                            <w:t xml:space="preserve"> </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pPr>
                      <w:pStyle w:val="13"/>
                    </w:pPr>
                    <w:r>
                      <w:rPr>
                        <w:rFonts w:hint="eastAsia"/>
                      </w:rPr>
                      <w:t xml:space="preserve">第 </w:t>
                    </w:r>
                    <w:r>
                      <w:fldChar w:fldCharType="begin"/>
                    </w:r>
                    <w:r>
                      <w:instrText xml:space="preserve"> PAGE \* MERGEFORMAT </w:instrText>
                    </w:r>
                    <w:r>
                      <w:fldChar w:fldCharType="separate"/>
                    </w:r>
                    <w:r>
                      <w:t>2</w:t>
                    </w:r>
                    <w:r>
                      <w:fldChar w:fldCharType="end"/>
                    </w:r>
                    <w:r>
                      <w:rPr>
                        <w:rFonts w:hint="eastAsia"/>
                      </w:rPr>
                      <w:t xml:space="preserve"> 页 \ 共 </w:t>
                    </w:r>
                    <w:r>
                      <w:fldChar w:fldCharType="begin"/>
                    </w:r>
                    <w:r>
                      <w:instrText xml:space="preserve"> =</w:instrText>
                    </w:r>
                    <w:r>
                      <w:fldChar w:fldCharType="begin"/>
                    </w:r>
                    <w:r>
                      <w:instrText xml:space="preserve"> numpages </w:instrText>
                    </w:r>
                    <w:r>
                      <w:fldChar w:fldCharType="separate"/>
                    </w:r>
                    <w:r>
                      <w:instrText xml:space="preserve">11</w:instrText>
                    </w:r>
                    <w:r>
                      <w:fldChar w:fldCharType="end"/>
                    </w:r>
                    <w:r>
                      <w:instrText xml:space="preserve">-1 </w:instrText>
                    </w:r>
                    <w:r>
                      <w:fldChar w:fldCharType="separate"/>
                    </w:r>
                    <w:r>
                      <w:t>10</w:t>
                    </w:r>
                    <w:r>
                      <w:fldChar w:fldCharType="end"/>
                    </w:r>
                    <w:r>
                      <w:t xml:space="preserve"> </w:t>
                    </w:r>
                    <w:r>
                      <w:rPr>
                        <w:rFonts w:hint="eastAsia"/>
                      </w:rPr>
                      <w:t>页</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9267BE"/>
    <w:multiLevelType w:val="singleLevel"/>
    <w:tmpl w:val="9A9267BE"/>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1">
    <w:nsid w:val="A0C48EDA"/>
    <w:multiLevelType w:val="singleLevel"/>
    <w:tmpl w:val="A0C48EDA"/>
    <w:lvl w:ilvl="0" w:tentative="0">
      <w:start w:val="1"/>
      <w:numFmt w:val="chineseCounting"/>
      <w:suff w:val="nothing"/>
      <w:lvlText w:val="%1、"/>
      <w:lvlJc w:val="left"/>
      <w:pPr>
        <w:ind w:left="0" w:firstLine="420"/>
      </w:pPr>
      <w:rPr>
        <w:rFonts w:hint="eastAsia"/>
      </w:rPr>
    </w:lvl>
  </w:abstractNum>
  <w:abstractNum w:abstractNumId="2">
    <w:nsid w:val="B6502A50"/>
    <w:multiLevelType w:val="singleLevel"/>
    <w:tmpl w:val="B6502A50"/>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3">
    <w:nsid w:val="C21F6AD7"/>
    <w:multiLevelType w:val="singleLevel"/>
    <w:tmpl w:val="C21F6AD7"/>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4">
    <w:nsid w:val="E9819119"/>
    <w:multiLevelType w:val="singleLevel"/>
    <w:tmpl w:val="E9819119"/>
    <w:lvl w:ilvl="0" w:tentative="0">
      <w:start w:val="1"/>
      <w:numFmt w:val="decimal"/>
      <w:lvlText w:val="%1."/>
      <w:lvlJc w:val="left"/>
      <w:pPr>
        <w:ind w:left="425" w:hanging="425"/>
      </w:pPr>
      <w:rPr>
        <w:rFonts w:hint="default"/>
        <w:color w:val="000000" w:themeColor="text1"/>
        <w14:textFill>
          <w14:solidFill>
            <w14:schemeClr w14:val="tx1"/>
          </w14:solidFill>
        </w14:textFill>
      </w:rPr>
    </w:lvl>
  </w:abstractNum>
  <w:abstractNum w:abstractNumId="5">
    <w:nsid w:val="FA02F2AD"/>
    <w:multiLevelType w:val="singleLevel"/>
    <w:tmpl w:val="FA02F2AD"/>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6">
    <w:nsid w:val="3F56AFA5"/>
    <w:multiLevelType w:val="singleLevel"/>
    <w:tmpl w:val="3F56AFA5"/>
    <w:lvl w:ilvl="0" w:tentative="0">
      <w:start w:val="1"/>
      <w:numFmt w:val="decimal"/>
      <w:pStyle w:val="27"/>
      <w:lvlText w:val="%1."/>
      <w:lvlJc w:val="left"/>
      <w:pPr>
        <w:ind w:left="425" w:hanging="425"/>
      </w:pPr>
      <w:rPr>
        <w:rFonts w:hint="default"/>
        <w:b w:val="0"/>
        <w:bCs w:val="0"/>
        <w:color w:val="000000" w:themeColor="text1"/>
        <w14:textFill>
          <w14:solidFill>
            <w14:schemeClr w14:val="tx1"/>
          </w14:solidFill>
        </w14:textFill>
      </w:rPr>
    </w:lvl>
  </w:abstractNum>
  <w:abstractNum w:abstractNumId="7">
    <w:nsid w:val="58A07144"/>
    <w:multiLevelType w:val="singleLevel"/>
    <w:tmpl w:val="58A07144"/>
    <w:lvl w:ilvl="0" w:tentative="0">
      <w:start w:val="1"/>
      <w:numFmt w:val="decimal"/>
      <w:suff w:val="nothing"/>
      <w:lvlText w:val="%1、"/>
      <w:lvlJc w:val="left"/>
      <w:rPr>
        <w:rFonts w:hint="default"/>
        <w:color w:val="000000" w:themeColor="text1"/>
        <w14:textFill>
          <w14:solidFill>
            <w14:schemeClr w14:val="tx1"/>
          </w14:solidFill>
        </w14:textFill>
      </w:rPr>
    </w:lvl>
  </w:abstractNum>
  <w:abstractNum w:abstractNumId="8">
    <w:nsid w:val="642F1C80"/>
    <w:multiLevelType w:val="singleLevel"/>
    <w:tmpl w:val="642F1C80"/>
    <w:lvl w:ilvl="0" w:tentative="0">
      <w:start w:val="1"/>
      <w:numFmt w:val="decimal"/>
      <w:suff w:val="nothing"/>
      <w:lvlText w:val="%1、"/>
      <w:lvlJc w:val="left"/>
      <w:rPr>
        <w:rFonts w:hint="default"/>
        <w:color w:val="000000" w:themeColor="text1"/>
        <w14:textFill>
          <w14:solidFill>
            <w14:schemeClr w14:val="tx1"/>
          </w14:solidFill>
        </w14:textFill>
      </w:rPr>
    </w:lvl>
  </w:abstractNum>
  <w:num w:numId="1">
    <w:abstractNumId w:val="6"/>
  </w:num>
  <w:num w:numId="2">
    <w:abstractNumId w:val="1"/>
  </w:num>
  <w:num w:numId="3">
    <w:abstractNumId w:val="5"/>
  </w:num>
  <w:num w:numId="4">
    <w:abstractNumId w:val="2"/>
  </w:num>
  <w:num w:numId="5">
    <w:abstractNumId w:val="8"/>
  </w:num>
  <w:num w:numId="6">
    <w:abstractNumId w:val="4"/>
  </w:num>
  <w:num w:numId="7">
    <w:abstractNumId w:val="6"/>
    <w:lvlOverride w:ilvl="0">
      <w:startOverride w:val="1"/>
    </w:lvlOverride>
  </w:num>
  <w:num w:numId="8">
    <w:abstractNumId w:val="0"/>
  </w:num>
  <w:num w:numId="9">
    <w:abstractNumId w:val="3"/>
  </w:num>
  <w:num w:numId="10">
    <w:abstractNumId w:val="7"/>
  </w:num>
  <w:num w:numId="11">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RhZGJkNDQwZWNjNDFjMjBhYjU1NzM2OWZkOTI3OTgifQ=="/>
  </w:docVars>
  <w:rsids>
    <w:rsidRoot w:val="00A95EC0"/>
    <w:rsid w:val="000F1926"/>
    <w:rsid w:val="002515F6"/>
    <w:rsid w:val="00387C6B"/>
    <w:rsid w:val="00776AAF"/>
    <w:rsid w:val="008D5A78"/>
    <w:rsid w:val="00A939B7"/>
    <w:rsid w:val="00A95EC0"/>
    <w:rsid w:val="00CA6B5B"/>
    <w:rsid w:val="00D03B86"/>
    <w:rsid w:val="00D05E0C"/>
    <w:rsid w:val="00D95295"/>
    <w:rsid w:val="00F73E22"/>
    <w:rsid w:val="00FC766A"/>
    <w:rsid w:val="01017FB5"/>
    <w:rsid w:val="013E5A33"/>
    <w:rsid w:val="01B779D9"/>
    <w:rsid w:val="01F34FBF"/>
    <w:rsid w:val="020134F6"/>
    <w:rsid w:val="020E4C47"/>
    <w:rsid w:val="02756264"/>
    <w:rsid w:val="029A47EC"/>
    <w:rsid w:val="02C42045"/>
    <w:rsid w:val="02C46DAF"/>
    <w:rsid w:val="02DF2912"/>
    <w:rsid w:val="02EC0514"/>
    <w:rsid w:val="030A403F"/>
    <w:rsid w:val="034F527C"/>
    <w:rsid w:val="0364372E"/>
    <w:rsid w:val="038E4D60"/>
    <w:rsid w:val="039F0765"/>
    <w:rsid w:val="03AE3097"/>
    <w:rsid w:val="03C142B6"/>
    <w:rsid w:val="03EA2EFC"/>
    <w:rsid w:val="03EC63FF"/>
    <w:rsid w:val="040E657C"/>
    <w:rsid w:val="04154986"/>
    <w:rsid w:val="04336DBD"/>
    <w:rsid w:val="04C44DDD"/>
    <w:rsid w:val="04D055BA"/>
    <w:rsid w:val="04F76435"/>
    <w:rsid w:val="05176BDE"/>
    <w:rsid w:val="05750484"/>
    <w:rsid w:val="05C71FA7"/>
    <w:rsid w:val="05DC0DD7"/>
    <w:rsid w:val="05E1152D"/>
    <w:rsid w:val="05F0383D"/>
    <w:rsid w:val="06805C4E"/>
    <w:rsid w:val="068A5B0F"/>
    <w:rsid w:val="06BC5A81"/>
    <w:rsid w:val="0722013F"/>
    <w:rsid w:val="076808B4"/>
    <w:rsid w:val="07D8540A"/>
    <w:rsid w:val="08273270"/>
    <w:rsid w:val="08A03E34"/>
    <w:rsid w:val="08E9332E"/>
    <w:rsid w:val="093C2007"/>
    <w:rsid w:val="09D0027E"/>
    <w:rsid w:val="09F73380"/>
    <w:rsid w:val="09FF7E17"/>
    <w:rsid w:val="0A06755F"/>
    <w:rsid w:val="0A197F04"/>
    <w:rsid w:val="0A4669AA"/>
    <w:rsid w:val="0A595171"/>
    <w:rsid w:val="0AB54FE3"/>
    <w:rsid w:val="0AB97D26"/>
    <w:rsid w:val="0B1411F9"/>
    <w:rsid w:val="0B1C785F"/>
    <w:rsid w:val="0B240C0C"/>
    <w:rsid w:val="0B724F56"/>
    <w:rsid w:val="0B7329D8"/>
    <w:rsid w:val="0B9909DD"/>
    <w:rsid w:val="0BA231F9"/>
    <w:rsid w:val="0BBE4B7C"/>
    <w:rsid w:val="0BCB3067"/>
    <w:rsid w:val="0BD62FC0"/>
    <w:rsid w:val="0BE07789"/>
    <w:rsid w:val="0BEE02D9"/>
    <w:rsid w:val="0BFB0D45"/>
    <w:rsid w:val="0C100E63"/>
    <w:rsid w:val="0C5E2FF1"/>
    <w:rsid w:val="0C663265"/>
    <w:rsid w:val="0C897FA2"/>
    <w:rsid w:val="0CB2012F"/>
    <w:rsid w:val="0CE81364"/>
    <w:rsid w:val="0CEF1ADF"/>
    <w:rsid w:val="0D082D43"/>
    <w:rsid w:val="0D215B97"/>
    <w:rsid w:val="0D864FAD"/>
    <w:rsid w:val="0DB13287"/>
    <w:rsid w:val="0EE0601A"/>
    <w:rsid w:val="0F00480E"/>
    <w:rsid w:val="0F276507"/>
    <w:rsid w:val="0F4A1D24"/>
    <w:rsid w:val="0F562964"/>
    <w:rsid w:val="0F826CA8"/>
    <w:rsid w:val="0F9F2C4F"/>
    <w:rsid w:val="0FB107CE"/>
    <w:rsid w:val="0FB66E54"/>
    <w:rsid w:val="0FD932B8"/>
    <w:rsid w:val="0FF91C75"/>
    <w:rsid w:val="10142A71"/>
    <w:rsid w:val="10920C6C"/>
    <w:rsid w:val="10EE21C3"/>
    <w:rsid w:val="11717BFF"/>
    <w:rsid w:val="11A76E76"/>
    <w:rsid w:val="11D351A7"/>
    <w:rsid w:val="11F500D5"/>
    <w:rsid w:val="12234768"/>
    <w:rsid w:val="12247721"/>
    <w:rsid w:val="122A1B26"/>
    <w:rsid w:val="123F412E"/>
    <w:rsid w:val="12464E3E"/>
    <w:rsid w:val="126614AA"/>
    <w:rsid w:val="129763BC"/>
    <w:rsid w:val="12AE6B32"/>
    <w:rsid w:val="12C87390"/>
    <w:rsid w:val="12DE5A77"/>
    <w:rsid w:val="130F285F"/>
    <w:rsid w:val="13155AB7"/>
    <w:rsid w:val="13203BF8"/>
    <w:rsid w:val="13584DCD"/>
    <w:rsid w:val="13A01CAC"/>
    <w:rsid w:val="13B0563C"/>
    <w:rsid w:val="13B26760"/>
    <w:rsid w:val="13E620B2"/>
    <w:rsid w:val="146156BC"/>
    <w:rsid w:val="147E7347"/>
    <w:rsid w:val="149C1E0F"/>
    <w:rsid w:val="14EB7761"/>
    <w:rsid w:val="15DF1566"/>
    <w:rsid w:val="15F06EF0"/>
    <w:rsid w:val="1649189C"/>
    <w:rsid w:val="172614BC"/>
    <w:rsid w:val="176F3141"/>
    <w:rsid w:val="177E7B6A"/>
    <w:rsid w:val="17DE0D84"/>
    <w:rsid w:val="180F3AEF"/>
    <w:rsid w:val="182A4CFD"/>
    <w:rsid w:val="187B13C6"/>
    <w:rsid w:val="18856299"/>
    <w:rsid w:val="18A51F2B"/>
    <w:rsid w:val="18D17E85"/>
    <w:rsid w:val="18DA72A7"/>
    <w:rsid w:val="190B378E"/>
    <w:rsid w:val="19166537"/>
    <w:rsid w:val="194B570C"/>
    <w:rsid w:val="195A37C0"/>
    <w:rsid w:val="197A7E75"/>
    <w:rsid w:val="19993FDF"/>
    <w:rsid w:val="19EA4D01"/>
    <w:rsid w:val="1A17678E"/>
    <w:rsid w:val="1A2950FA"/>
    <w:rsid w:val="1A447D83"/>
    <w:rsid w:val="1A4E2C4E"/>
    <w:rsid w:val="1A9966B3"/>
    <w:rsid w:val="1AC92D98"/>
    <w:rsid w:val="1AD34E44"/>
    <w:rsid w:val="1B1062F2"/>
    <w:rsid w:val="1B1E4952"/>
    <w:rsid w:val="1B4310CA"/>
    <w:rsid w:val="1B557AF8"/>
    <w:rsid w:val="1B951DCE"/>
    <w:rsid w:val="1C282642"/>
    <w:rsid w:val="1C326290"/>
    <w:rsid w:val="1C791147"/>
    <w:rsid w:val="1C92426F"/>
    <w:rsid w:val="1CB047A4"/>
    <w:rsid w:val="1CB7360E"/>
    <w:rsid w:val="1CDE4FB1"/>
    <w:rsid w:val="1CEE1164"/>
    <w:rsid w:val="1CFF3EEB"/>
    <w:rsid w:val="1D0C6137"/>
    <w:rsid w:val="1D0D6C4D"/>
    <w:rsid w:val="1D166A47"/>
    <w:rsid w:val="1D2E40EE"/>
    <w:rsid w:val="1D714AF2"/>
    <w:rsid w:val="1DFBFDC3"/>
    <w:rsid w:val="1E305C7A"/>
    <w:rsid w:val="1EAD4A31"/>
    <w:rsid w:val="1F581FEC"/>
    <w:rsid w:val="1F655993"/>
    <w:rsid w:val="1F8D4ED2"/>
    <w:rsid w:val="1F9522DE"/>
    <w:rsid w:val="1FF361DA"/>
    <w:rsid w:val="2043117D"/>
    <w:rsid w:val="20876C71"/>
    <w:rsid w:val="2112725A"/>
    <w:rsid w:val="21596959"/>
    <w:rsid w:val="21775CF7"/>
    <w:rsid w:val="21855725"/>
    <w:rsid w:val="219D3366"/>
    <w:rsid w:val="21A53343"/>
    <w:rsid w:val="21C173F0"/>
    <w:rsid w:val="21C7641A"/>
    <w:rsid w:val="21ED5BF4"/>
    <w:rsid w:val="21F44012"/>
    <w:rsid w:val="222E099D"/>
    <w:rsid w:val="22F464E8"/>
    <w:rsid w:val="230E380E"/>
    <w:rsid w:val="233A52F5"/>
    <w:rsid w:val="235D2694"/>
    <w:rsid w:val="237830E2"/>
    <w:rsid w:val="238578C3"/>
    <w:rsid w:val="239911F4"/>
    <w:rsid w:val="23E54EA9"/>
    <w:rsid w:val="240901AB"/>
    <w:rsid w:val="24683E4B"/>
    <w:rsid w:val="24A55EAE"/>
    <w:rsid w:val="24E76A0D"/>
    <w:rsid w:val="25396722"/>
    <w:rsid w:val="2546669D"/>
    <w:rsid w:val="25587502"/>
    <w:rsid w:val="25854F49"/>
    <w:rsid w:val="258C4EA7"/>
    <w:rsid w:val="25DC06C7"/>
    <w:rsid w:val="25EF714A"/>
    <w:rsid w:val="25F66AD5"/>
    <w:rsid w:val="26405C4F"/>
    <w:rsid w:val="26847C73"/>
    <w:rsid w:val="268F1252"/>
    <w:rsid w:val="26D63BC5"/>
    <w:rsid w:val="27005585"/>
    <w:rsid w:val="270E1FCF"/>
    <w:rsid w:val="27716366"/>
    <w:rsid w:val="27A22014"/>
    <w:rsid w:val="27B71780"/>
    <w:rsid w:val="27D946EC"/>
    <w:rsid w:val="27E806D5"/>
    <w:rsid w:val="280520B8"/>
    <w:rsid w:val="28357004"/>
    <w:rsid w:val="28656FFC"/>
    <w:rsid w:val="28700CDE"/>
    <w:rsid w:val="289F0C32"/>
    <w:rsid w:val="28AE59C9"/>
    <w:rsid w:val="293811B0"/>
    <w:rsid w:val="293A46B3"/>
    <w:rsid w:val="29421AC0"/>
    <w:rsid w:val="29583FB4"/>
    <w:rsid w:val="29620C42"/>
    <w:rsid w:val="296944DE"/>
    <w:rsid w:val="2A093A87"/>
    <w:rsid w:val="2A376DEC"/>
    <w:rsid w:val="2A3B1CD8"/>
    <w:rsid w:val="2A505038"/>
    <w:rsid w:val="2AA2189F"/>
    <w:rsid w:val="2B1D22CA"/>
    <w:rsid w:val="2B24619F"/>
    <w:rsid w:val="2B3A1BFB"/>
    <w:rsid w:val="2B582D97"/>
    <w:rsid w:val="2B6D6618"/>
    <w:rsid w:val="2B7F6D91"/>
    <w:rsid w:val="2BBC55BB"/>
    <w:rsid w:val="2BD23073"/>
    <w:rsid w:val="2BDB79C9"/>
    <w:rsid w:val="2BFD51BC"/>
    <w:rsid w:val="2C7460FF"/>
    <w:rsid w:val="2C753B81"/>
    <w:rsid w:val="2C983D35"/>
    <w:rsid w:val="2C9C39CF"/>
    <w:rsid w:val="2CAE687E"/>
    <w:rsid w:val="2CD5741D"/>
    <w:rsid w:val="2D5629F9"/>
    <w:rsid w:val="2D832A39"/>
    <w:rsid w:val="2DB609B3"/>
    <w:rsid w:val="2DCB2E2D"/>
    <w:rsid w:val="2E6B07B8"/>
    <w:rsid w:val="2EA5203E"/>
    <w:rsid w:val="2EFD44A4"/>
    <w:rsid w:val="2EFE22BE"/>
    <w:rsid w:val="2F0A52E6"/>
    <w:rsid w:val="2F5856F4"/>
    <w:rsid w:val="2F8D2A58"/>
    <w:rsid w:val="302C7114"/>
    <w:rsid w:val="3046472A"/>
    <w:rsid w:val="307305E8"/>
    <w:rsid w:val="309E11B0"/>
    <w:rsid w:val="30D8296F"/>
    <w:rsid w:val="313D1E3A"/>
    <w:rsid w:val="31482A93"/>
    <w:rsid w:val="314F4B38"/>
    <w:rsid w:val="31666628"/>
    <w:rsid w:val="31CD20C4"/>
    <w:rsid w:val="32121533"/>
    <w:rsid w:val="323B59A2"/>
    <w:rsid w:val="326D3EB5"/>
    <w:rsid w:val="32CE54EA"/>
    <w:rsid w:val="32D86E66"/>
    <w:rsid w:val="32ED7F9D"/>
    <w:rsid w:val="330D0A76"/>
    <w:rsid w:val="331577B1"/>
    <w:rsid w:val="331F2E75"/>
    <w:rsid w:val="334F39D5"/>
    <w:rsid w:val="33541C4A"/>
    <w:rsid w:val="33991811"/>
    <w:rsid w:val="33B52879"/>
    <w:rsid w:val="34630F1A"/>
    <w:rsid w:val="34A42225"/>
    <w:rsid w:val="34A634BD"/>
    <w:rsid w:val="34DA0BF7"/>
    <w:rsid w:val="34F02DEC"/>
    <w:rsid w:val="354808D2"/>
    <w:rsid w:val="356658F1"/>
    <w:rsid w:val="35C054BC"/>
    <w:rsid w:val="360833DF"/>
    <w:rsid w:val="36315202"/>
    <w:rsid w:val="36724CC2"/>
    <w:rsid w:val="36D77A12"/>
    <w:rsid w:val="36DC01E8"/>
    <w:rsid w:val="37005E48"/>
    <w:rsid w:val="372C3815"/>
    <w:rsid w:val="37AA2C03"/>
    <w:rsid w:val="37D747A3"/>
    <w:rsid w:val="37FF2C80"/>
    <w:rsid w:val="389B732F"/>
    <w:rsid w:val="38A04DB5"/>
    <w:rsid w:val="38F10A22"/>
    <w:rsid w:val="38F31AFC"/>
    <w:rsid w:val="3920332C"/>
    <w:rsid w:val="394013CF"/>
    <w:rsid w:val="39782EA9"/>
    <w:rsid w:val="39900A80"/>
    <w:rsid w:val="39956483"/>
    <w:rsid w:val="39F71729"/>
    <w:rsid w:val="3A0D1385"/>
    <w:rsid w:val="3A1122D3"/>
    <w:rsid w:val="3A5E3604"/>
    <w:rsid w:val="3A617AD4"/>
    <w:rsid w:val="3A9B1521"/>
    <w:rsid w:val="3AE55B2F"/>
    <w:rsid w:val="3B4B0235"/>
    <w:rsid w:val="3B725C22"/>
    <w:rsid w:val="3B926F4C"/>
    <w:rsid w:val="3B936E97"/>
    <w:rsid w:val="3BF3026A"/>
    <w:rsid w:val="3C2506B9"/>
    <w:rsid w:val="3C780106"/>
    <w:rsid w:val="3CF30821"/>
    <w:rsid w:val="3D070254"/>
    <w:rsid w:val="3D647253"/>
    <w:rsid w:val="3D7E60CE"/>
    <w:rsid w:val="3D9875C9"/>
    <w:rsid w:val="3DB35EA6"/>
    <w:rsid w:val="3DB835A6"/>
    <w:rsid w:val="3DF70654"/>
    <w:rsid w:val="3E0074A7"/>
    <w:rsid w:val="3E057CD0"/>
    <w:rsid w:val="3E0D47FE"/>
    <w:rsid w:val="3E104D62"/>
    <w:rsid w:val="3E4C07C1"/>
    <w:rsid w:val="3E833A1C"/>
    <w:rsid w:val="3EB7468B"/>
    <w:rsid w:val="3F2D1CB6"/>
    <w:rsid w:val="3F540410"/>
    <w:rsid w:val="3F5C41C8"/>
    <w:rsid w:val="401279AA"/>
    <w:rsid w:val="403779FC"/>
    <w:rsid w:val="40576ADD"/>
    <w:rsid w:val="405979E7"/>
    <w:rsid w:val="40C44283"/>
    <w:rsid w:val="40E83499"/>
    <w:rsid w:val="40F670C1"/>
    <w:rsid w:val="40FC2074"/>
    <w:rsid w:val="40FD2315"/>
    <w:rsid w:val="41087C9E"/>
    <w:rsid w:val="42004812"/>
    <w:rsid w:val="42143C78"/>
    <w:rsid w:val="422D2835"/>
    <w:rsid w:val="4232397A"/>
    <w:rsid w:val="42454447"/>
    <w:rsid w:val="429A0ACF"/>
    <w:rsid w:val="42D25330"/>
    <w:rsid w:val="42E17B48"/>
    <w:rsid w:val="42F57A31"/>
    <w:rsid w:val="432D6B81"/>
    <w:rsid w:val="435B4C6C"/>
    <w:rsid w:val="436E5A51"/>
    <w:rsid w:val="43D37D6C"/>
    <w:rsid w:val="44310994"/>
    <w:rsid w:val="44516A87"/>
    <w:rsid w:val="44A25670"/>
    <w:rsid w:val="44F617B2"/>
    <w:rsid w:val="4583011C"/>
    <w:rsid w:val="458441C7"/>
    <w:rsid w:val="458C2D7C"/>
    <w:rsid w:val="45953444"/>
    <w:rsid w:val="45C67078"/>
    <w:rsid w:val="46153AB0"/>
    <w:rsid w:val="46162F6F"/>
    <w:rsid w:val="46DD5122"/>
    <w:rsid w:val="46E95465"/>
    <w:rsid w:val="46EE3AEB"/>
    <w:rsid w:val="47024846"/>
    <w:rsid w:val="473E03F2"/>
    <w:rsid w:val="475A0C1C"/>
    <w:rsid w:val="476C7D0C"/>
    <w:rsid w:val="476E21A5"/>
    <w:rsid w:val="4790133B"/>
    <w:rsid w:val="47C5042F"/>
    <w:rsid w:val="47D927EF"/>
    <w:rsid w:val="47DE1803"/>
    <w:rsid w:val="47EC180F"/>
    <w:rsid w:val="48077E3B"/>
    <w:rsid w:val="48B70E3F"/>
    <w:rsid w:val="48D94910"/>
    <w:rsid w:val="493A36B0"/>
    <w:rsid w:val="493E5939"/>
    <w:rsid w:val="49B22075"/>
    <w:rsid w:val="49B37AF6"/>
    <w:rsid w:val="4A393C30"/>
    <w:rsid w:val="4A3D0831"/>
    <w:rsid w:val="4A8345D8"/>
    <w:rsid w:val="4AA04C39"/>
    <w:rsid w:val="4B1E683D"/>
    <w:rsid w:val="4B477F0D"/>
    <w:rsid w:val="4B4A2F35"/>
    <w:rsid w:val="4B4F1A19"/>
    <w:rsid w:val="4B5C3E27"/>
    <w:rsid w:val="4BC60300"/>
    <w:rsid w:val="4BF81888"/>
    <w:rsid w:val="4C694B6C"/>
    <w:rsid w:val="4C6F2B63"/>
    <w:rsid w:val="4CBB0D0C"/>
    <w:rsid w:val="4CED3AC0"/>
    <w:rsid w:val="4CF04DD5"/>
    <w:rsid w:val="4CF27D24"/>
    <w:rsid w:val="4D3D03C8"/>
    <w:rsid w:val="4D4B12BA"/>
    <w:rsid w:val="4D7F6B60"/>
    <w:rsid w:val="4D8330BA"/>
    <w:rsid w:val="4DBA1420"/>
    <w:rsid w:val="4E0F0B49"/>
    <w:rsid w:val="4E146DA6"/>
    <w:rsid w:val="4E152629"/>
    <w:rsid w:val="4E447B0E"/>
    <w:rsid w:val="4E506F8B"/>
    <w:rsid w:val="4E6C4ECC"/>
    <w:rsid w:val="4E733E11"/>
    <w:rsid w:val="4E853BE2"/>
    <w:rsid w:val="4E9142C1"/>
    <w:rsid w:val="4E996E58"/>
    <w:rsid w:val="4EB5692F"/>
    <w:rsid w:val="4ECB68D5"/>
    <w:rsid w:val="4EDA48FF"/>
    <w:rsid w:val="4EE6167D"/>
    <w:rsid w:val="4EEC1008"/>
    <w:rsid w:val="4F170F52"/>
    <w:rsid w:val="4F433488"/>
    <w:rsid w:val="4F6B5159"/>
    <w:rsid w:val="4F711151"/>
    <w:rsid w:val="4FA07BB2"/>
    <w:rsid w:val="4FB35F2B"/>
    <w:rsid w:val="4FCA4258"/>
    <w:rsid w:val="4FDC2C97"/>
    <w:rsid w:val="50B618F8"/>
    <w:rsid w:val="50D80B6B"/>
    <w:rsid w:val="50E56BC4"/>
    <w:rsid w:val="51313B46"/>
    <w:rsid w:val="51F27101"/>
    <w:rsid w:val="52152B39"/>
    <w:rsid w:val="52225A65"/>
    <w:rsid w:val="525C54AC"/>
    <w:rsid w:val="52766056"/>
    <w:rsid w:val="528043E7"/>
    <w:rsid w:val="52B1623B"/>
    <w:rsid w:val="52F41359"/>
    <w:rsid w:val="5316015D"/>
    <w:rsid w:val="53211D72"/>
    <w:rsid w:val="53310FA1"/>
    <w:rsid w:val="53BB1C6B"/>
    <w:rsid w:val="53E83D39"/>
    <w:rsid w:val="540A2916"/>
    <w:rsid w:val="545E3978"/>
    <w:rsid w:val="54961EB4"/>
    <w:rsid w:val="54C25C1B"/>
    <w:rsid w:val="550020EE"/>
    <w:rsid w:val="550F3292"/>
    <w:rsid w:val="551C4AFD"/>
    <w:rsid w:val="557C414F"/>
    <w:rsid w:val="55B15523"/>
    <w:rsid w:val="55E03E74"/>
    <w:rsid w:val="562059F2"/>
    <w:rsid w:val="56493019"/>
    <w:rsid w:val="56553E33"/>
    <w:rsid w:val="569D1B97"/>
    <w:rsid w:val="56A83D82"/>
    <w:rsid w:val="56AB4841"/>
    <w:rsid w:val="56BE4E46"/>
    <w:rsid w:val="56D774FE"/>
    <w:rsid w:val="57077481"/>
    <w:rsid w:val="5725734D"/>
    <w:rsid w:val="574C52C4"/>
    <w:rsid w:val="57553D15"/>
    <w:rsid w:val="57816CD0"/>
    <w:rsid w:val="57B30791"/>
    <w:rsid w:val="57CF2661"/>
    <w:rsid w:val="57EE17B9"/>
    <w:rsid w:val="580A43FE"/>
    <w:rsid w:val="58352C42"/>
    <w:rsid w:val="58497766"/>
    <w:rsid w:val="584D2475"/>
    <w:rsid w:val="58B15E90"/>
    <w:rsid w:val="59972C8B"/>
    <w:rsid w:val="5999618E"/>
    <w:rsid w:val="59E2041C"/>
    <w:rsid w:val="5A34074A"/>
    <w:rsid w:val="5A420BA5"/>
    <w:rsid w:val="5A4259A7"/>
    <w:rsid w:val="5A826950"/>
    <w:rsid w:val="5AAC5686"/>
    <w:rsid w:val="5AB843C0"/>
    <w:rsid w:val="5ACB3F81"/>
    <w:rsid w:val="5B1B5558"/>
    <w:rsid w:val="5B6F6839"/>
    <w:rsid w:val="5B796DF4"/>
    <w:rsid w:val="5B831794"/>
    <w:rsid w:val="5BAF47BE"/>
    <w:rsid w:val="5BF062E2"/>
    <w:rsid w:val="5C585689"/>
    <w:rsid w:val="5C5B10AC"/>
    <w:rsid w:val="5CA6628A"/>
    <w:rsid w:val="5CC453C1"/>
    <w:rsid w:val="5CC468A3"/>
    <w:rsid w:val="5CD80250"/>
    <w:rsid w:val="5CF11312"/>
    <w:rsid w:val="5D0D3237"/>
    <w:rsid w:val="5D107A3F"/>
    <w:rsid w:val="5D5B1700"/>
    <w:rsid w:val="5E091AF6"/>
    <w:rsid w:val="5E5D146B"/>
    <w:rsid w:val="5E657DD9"/>
    <w:rsid w:val="5E70314F"/>
    <w:rsid w:val="5E790822"/>
    <w:rsid w:val="5F065FDA"/>
    <w:rsid w:val="5F174FBD"/>
    <w:rsid w:val="5F456359"/>
    <w:rsid w:val="5F6B1C04"/>
    <w:rsid w:val="5FA4593F"/>
    <w:rsid w:val="5FB641AF"/>
    <w:rsid w:val="5FBE2290"/>
    <w:rsid w:val="5FCE5CF8"/>
    <w:rsid w:val="5FE53CE4"/>
    <w:rsid w:val="60052B10"/>
    <w:rsid w:val="60330419"/>
    <w:rsid w:val="6034494B"/>
    <w:rsid w:val="605A0CD5"/>
    <w:rsid w:val="60610711"/>
    <w:rsid w:val="60A44A07"/>
    <w:rsid w:val="60E87EAF"/>
    <w:rsid w:val="610770C4"/>
    <w:rsid w:val="61416F4F"/>
    <w:rsid w:val="617C6D65"/>
    <w:rsid w:val="61953DA6"/>
    <w:rsid w:val="61954E1C"/>
    <w:rsid w:val="61AE3F4C"/>
    <w:rsid w:val="61D87997"/>
    <w:rsid w:val="62181132"/>
    <w:rsid w:val="62242352"/>
    <w:rsid w:val="62365827"/>
    <w:rsid w:val="62461F93"/>
    <w:rsid w:val="62767F2E"/>
    <w:rsid w:val="628D3A49"/>
    <w:rsid w:val="62E82CD5"/>
    <w:rsid w:val="62FE2236"/>
    <w:rsid w:val="630C3698"/>
    <w:rsid w:val="631C0CB0"/>
    <w:rsid w:val="634A6574"/>
    <w:rsid w:val="63604219"/>
    <w:rsid w:val="63BA20AB"/>
    <w:rsid w:val="63D22FD5"/>
    <w:rsid w:val="643C2370"/>
    <w:rsid w:val="647755C8"/>
    <w:rsid w:val="648325E9"/>
    <w:rsid w:val="64B63248"/>
    <w:rsid w:val="64D52842"/>
    <w:rsid w:val="653A7EB8"/>
    <w:rsid w:val="65407390"/>
    <w:rsid w:val="654218BA"/>
    <w:rsid w:val="656132CA"/>
    <w:rsid w:val="6586721C"/>
    <w:rsid w:val="659A3A64"/>
    <w:rsid w:val="659F4C25"/>
    <w:rsid w:val="65D7505D"/>
    <w:rsid w:val="65EF7ACC"/>
    <w:rsid w:val="660A2875"/>
    <w:rsid w:val="661F44CA"/>
    <w:rsid w:val="66252CC1"/>
    <w:rsid w:val="662B33A8"/>
    <w:rsid w:val="66377E5A"/>
    <w:rsid w:val="664C7A0B"/>
    <w:rsid w:val="66613222"/>
    <w:rsid w:val="6676192F"/>
    <w:rsid w:val="669671FC"/>
    <w:rsid w:val="66971D49"/>
    <w:rsid w:val="66A92D8A"/>
    <w:rsid w:val="66B06D03"/>
    <w:rsid w:val="66B40EEB"/>
    <w:rsid w:val="66DB37E1"/>
    <w:rsid w:val="671D44D0"/>
    <w:rsid w:val="672542C6"/>
    <w:rsid w:val="67703441"/>
    <w:rsid w:val="67853257"/>
    <w:rsid w:val="67DC3DF5"/>
    <w:rsid w:val="67EF2EEF"/>
    <w:rsid w:val="6838524A"/>
    <w:rsid w:val="6861575B"/>
    <w:rsid w:val="686D14DA"/>
    <w:rsid w:val="68A13881"/>
    <w:rsid w:val="68AE6453"/>
    <w:rsid w:val="69124CA8"/>
    <w:rsid w:val="69A11233"/>
    <w:rsid w:val="69D05529"/>
    <w:rsid w:val="69DA74ED"/>
    <w:rsid w:val="6A3D22DA"/>
    <w:rsid w:val="6A724D32"/>
    <w:rsid w:val="6AC21899"/>
    <w:rsid w:val="6ACF3DC7"/>
    <w:rsid w:val="6ADA79BD"/>
    <w:rsid w:val="6B6B7FEF"/>
    <w:rsid w:val="6B880FF7"/>
    <w:rsid w:val="6C3E0B26"/>
    <w:rsid w:val="6C6E3873"/>
    <w:rsid w:val="6D3B7744"/>
    <w:rsid w:val="6D5152D9"/>
    <w:rsid w:val="6D642862"/>
    <w:rsid w:val="6E2A0034"/>
    <w:rsid w:val="6E594F60"/>
    <w:rsid w:val="6E5B536B"/>
    <w:rsid w:val="6E696B31"/>
    <w:rsid w:val="6E6A372E"/>
    <w:rsid w:val="6F0B6421"/>
    <w:rsid w:val="6F1E315D"/>
    <w:rsid w:val="6F4F630E"/>
    <w:rsid w:val="6F9260B5"/>
    <w:rsid w:val="6FCA1077"/>
    <w:rsid w:val="6FF034B5"/>
    <w:rsid w:val="70256751"/>
    <w:rsid w:val="70560F05"/>
    <w:rsid w:val="70AB0365"/>
    <w:rsid w:val="70B161CC"/>
    <w:rsid w:val="70D55B19"/>
    <w:rsid w:val="70E24673"/>
    <w:rsid w:val="70FA2ABC"/>
    <w:rsid w:val="71F83F6A"/>
    <w:rsid w:val="7205731D"/>
    <w:rsid w:val="72306EC0"/>
    <w:rsid w:val="72311466"/>
    <w:rsid w:val="726B22F7"/>
    <w:rsid w:val="72781263"/>
    <w:rsid w:val="72A417A5"/>
    <w:rsid w:val="72AC1B0B"/>
    <w:rsid w:val="72BA344C"/>
    <w:rsid w:val="72C53ED8"/>
    <w:rsid w:val="73022BE3"/>
    <w:rsid w:val="73047240"/>
    <w:rsid w:val="73193962"/>
    <w:rsid w:val="73262C77"/>
    <w:rsid w:val="734F3E3C"/>
    <w:rsid w:val="737D110D"/>
    <w:rsid w:val="73A942DC"/>
    <w:rsid w:val="73C94A1F"/>
    <w:rsid w:val="73CF60B1"/>
    <w:rsid w:val="73D759A6"/>
    <w:rsid w:val="73EE759D"/>
    <w:rsid w:val="73F52064"/>
    <w:rsid w:val="742833D9"/>
    <w:rsid w:val="746A6F79"/>
    <w:rsid w:val="747A70DE"/>
    <w:rsid w:val="74AA11A1"/>
    <w:rsid w:val="74B65FBF"/>
    <w:rsid w:val="74C57E5F"/>
    <w:rsid w:val="74CE1506"/>
    <w:rsid w:val="7502674F"/>
    <w:rsid w:val="750A6AE9"/>
    <w:rsid w:val="754D572B"/>
    <w:rsid w:val="75AE4C20"/>
    <w:rsid w:val="75BD46DB"/>
    <w:rsid w:val="75D62AD8"/>
    <w:rsid w:val="75F96975"/>
    <w:rsid w:val="760363EE"/>
    <w:rsid w:val="762811E9"/>
    <w:rsid w:val="764F7F92"/>
    <w:rsid w:val="766259C8"/>
    <w:rsid w:val="7687AC1A"/>
    <w:rsid w:val="76ED0185"/>
    <w:rsid w:val="77F923B9"/>
    <w:rsid w:val="78020B8B"/>
    <w:rsid w:val="782234E4"/>
    <w:rsid w:val="7919782F"/>
    <w:rsid w:val="79217ACA"/>
    <w:rsid w:val="794F1893"/>
    <w:rsid w:val="7961363C"/>
    <w:rsid w:val="797B03BB"/>
    <w:rsid w:val="797D77D1"/>
    <w:rsid w:val="797E23E2"/>
    <w:rsid w:val="79AD76AE"/>
    <w:rsid w:val="79CA0C6C"/>
    <w:rsid w:val="7A4D62A0"/>
    <w:rsid w:val="7A894C71"/>
    <w:rsid w:val="7AF52EC8"/>
    <w:rsid w:val="7BA74D77"/>
    <w:rsid w:val="7BAD4BF5"/>
    <w:rsid w:val="7BDFB067"/>
    <w:rsid w:val="7C030272"/>
    <w:rsid w:val="7C0677A6"/>
    <w:rsid w:val="7C295844"/>
    <w:rsid w:val="7C412EEA"/>
    <w:rsid w:val="7C582B10"/>
    <w:rsid w:val="7C970711"/>
    <w:rsid w:val="7CA06787"/>
    <w:rsid w:val="7CC72281"/>
    <w:rsid w:val="7CD7395C"/>
    <w:rsid w:val="7CDD0179"/>
    <w:rsid w:val="7DC73FEB"/>
    <w:rsid w:val="7DD97789"/>
    <w:rsid w:val="7DE0456D"/>
    <w:rsid w:val="7E0002A6"/>
    <w:rsid w:val="7E7D4A13"/>
    <w:rsid w:val="7E8D7F3F"/>
    <w:rsid w:val="7EF34B21"/>
    <w:rsid w:val="7EF757B3"/>
    <w:rsid w:val="7EFE1AE9"/>
    <w:rsid w:val="7F174C12"/>
    <w:rsid w:val="7F2B002F"/>
    <w:rsid w:val="7F552613"/>
    <w:rsid w:val="7F5A3979"/>
    <w:rsid w:val="7FF00986"/>
    <w:rsid w:val="7FFF7920"/>
    <w:rsid w:val="7FFF7AD4"/>
    <w:rsid w:val="FAFF985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qFormat="1"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560" w:lineRule="exact"/>
      <w:jc w:val="both"/>
    </w:pPr>
    <w:rPr>
      <w:rFonts w:ascii="Times New Roman" w:hAnsi="Times New Roman" w:eastAsia="仿宋_GB2312" w:cs="Times New Roman"/>
      <w:kern w:val="2"/>
      <w:sz w:val="28"/>
      <w:szCs w:val="24"/>
      <w:lang w:val="en-US" w:eastAsia="zh-CN" w:bidi="ar-SA"/>
    </w:rPr>
  </w:style>
  <w:style w:type="paragraph" w:styleId="3">
    <w:name w:val="heading 1"/>
    <w:basedOn w:val="1"/>
    <w:next w:val="1"/>
    <w:link w:val="25"/>
    <w:qFormat/>
    <w:uiPriority w:val="0"/>
    <w:pPr>
      <w:keepNext/>
      <w:keepLines/>
      <w:spacing w:before="100" w:beforeLines="100" w:after="100" w:afterLines="100" w:line="360" w:lineRule="auto"/>
      <w:jc w:val="left"/>
      <w:outlineLvl w:val="0"/>
    </w:pPr>
    <w:rPr>
      <w:rFonts w:ascii="Calibri" w:hAnsi="Calibri" w:eastAsia="宋体"/>
      <w:b/>
      <w:bCs/>
      <w:kern w:val="44"/>
      <w:sz w:val="32"/>
      <w:szCs w:val="44"/>
    </w:rPr>
  </w:style>
  <w:style w:type="paragraph" w:styleId="4">
    <w:name w:val="heading 2"/>
    <w:basedOn w:val="1"/>
    <w:next w:val="1"/>
    <w:link w:val="26"/>
    <w:unhideWhenUsed/>
    <w:qFormat/>
    <w:uiPriority w:val="0"/>
    <w:pPr>
      <w:keepNext/>
      <w:keepLines/>
      <w:spacing w:before="100" w:beforeLines="100" w:after="100" w:afterLines="100" w:line="240" w:lineRule="auto"/>
      <w:ind w:firstLine="883" w:firstLineChars="200"/>
      <w:jc w:val="left"/>
      <w:outlineLvl w:val="1"/>
    </w:pPr>
    <w:rPr>
      <w:rFonts w:ascii="Arial" w:hAnsi="Arial" w:eastAsia="宋体"/>
      <w:b/>
      <w:bCs/>
      <w:kern w:val="0"/>
      <w:szCs w:val="28"/>
    </w:rPr>
  </w:style>
  <w:style w:type="paragraph" w:styleId="5">
    <w:name w:val="heading 3"/>
    <w:basedOn w:val="1"/>
    <w:next w:val="1"/>
    <w:unhideWhenUsed/>
    <w:qFormat/>
    <w:uiPriority w:val="0"/>
    <w:pPr>
      <w:spacing w:before="50" w:beforeLines="50" w:after="50" w:afterLines="50"/>
      <w:ind w:firstLine="440" w:firstLineChars="200"/>
      <w:outlineLvl w:val="2"/>
    </w:pPr>
    <w:rPr>
      <w:rFonts w:cs="Microsoft JhengHei"/>
      <w:b/>
      <w:bCs/>
      <w:szCs w:val="30"/>
    </w:rPr>
  </w:style>
  <w:style w:type="paragraph" w:styleId="6">
    <w:name w:val="heading 4"/>
    <w:basedOn w:val="1"/>
    <w:next w:val="1"/>
    <w:unhideWhenUsed/>
    <w:qFormat/>
    <w:uiPriority w:val="0"/>
    <w:pPr>
      <w:keepNext/>
      <w:keepLines/>
      <w:spacing w:before="280" w:after="290" w:line="372" w:lineRule="auto"/>
      <w:outlineLvl w:val="3"/>
    </w:pPr>
    <w:rPr>
      <w:rFonts w:ascii="Arial" w:hAnsi="Arial" w:eastAsia="黑体"/>
      <w:b/>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Normal Indent"/>
    <w:basedOn w:val="1"/>
    <w:qFormat/>
    <w:uiPriority w:val="0"/>
    <w:pPr>
      <w:snapToGrid w:val="0"/>
      <w:spacing w:line="312" w:lineRule="atLeast"/>
      <w:ind w:firstLine="420"/>
    </w:pPr>
    <w:rPr>
      <w:lang w:eastAsia="en-US"/>
    </w:rPr>
  </w:style>
  <w:style w:type="paragraph" w:styleId="7">
    <w:name w:val="annotation text"/>
    <w:basedOn w:val="1"/>
    <w:qFormat/>
    <w:uiPriority w:val="0"/>
    <w:pPr>
      <w:jc w:val="left"/>
    </w:pPr>
  </w:style>
  <w:style w:type="paragraph" w:styleId="8">
    <w:name w:val="Body Text"/>
    <w:basedOn w:val="1"/>
    <w:next w:val="9"/>
    <w:qFormat/>
    <w:uiPriority w:val="0"/>
    <w:pPr>
      <w:spacing w:after="120"/>
    </w:pPr>
  </w:style>
  <w:style w:type="paragraph" w:styleId="9">
    <w:name w:val="Title"/>
    <w:basedOn w:val="1"/>
    <w:next w:val="1"/>
    <w:qFormat/>
    <w:uiPriority w:val="0"/>
    <w:pPr>
      <w:snapToGrid w:val="0"/>
      <w:spacing w:before="100" w:after="100" w:line="360" w:lineRule="auto"/>
      <w:jc w:val="center"/>
      <w:outlineLvl w:val="0"/>
    </w:pPr>
    <w:rPr>
      <w:rFonts w:ascii="Arial" w:hAnsi="Arial" w:eastAsia="楷体"/>
      <w:b/>
      <w:szCs w:val="20"/>
    </w:rPr>
  </w:style>
  <w:style w:type="paragraph" w:styleId="10">
    <w:name w:val="Body Text Indent"/>
    <w:basedOn w:val="1"/>
    <w:qFormat/>
    <w:uiPriority w:val="0"/>
    <w:pPr>
      <w:adjustRightInd w:val="0"/>
      <w:ind w:left="180"/>
      <w:textAlignment w:val="baseline"/>
    </w:pPr>
    <w:rPr>
      <w:rFonts w:ascii="宋体" w:eastAsia="仿宋"/>
      <w:b/>
      <w:kern w:val="0"/>
      <w:szCs w:val="20"/>
    </w:rPr>
  </w:style>
  <w:style w:type="paragraph" w:styleId="11">
    <w:name w:val="Block Text"/>
    <w:basedOn w:val="1"/>
    <w:next w:val="1"/>
    <w:unhideWhenUsed/>
    <w:qFormat/>
    <w:uiPriority w:val="99"/>
    <w:pPr>
      <w:spacing w:after="120"/>
      <w:ind w:left="1440" w:leftChars="700" w:right="700" w:rightChars="700"/>
    </w:pPr>
  </w:style>
  <w:style w:type="paragraph" w:styleId="12">
    <w:name w:val="Plain Text"/>
    <w:basedOn w:val="1"/>
    <w:qFormat/>
    <w:uiPriority w:val="0"/>
    <w:rPr>
      <w:rFonts w:ascii="宋体" w:hAnsi="Courier New"/>
    </w:rPr>
  </w:style>
  <w:style w:type="paragraph" w:styleId="13">
    <w:name w:val="footer"/>
    <w:basedOn w:val="1"/>
    <w:qFormat/>
    <w:uiPriority w:val="0"/>
    <w:pPr>
      <w:tabs>
        <w:tab w:val="center" w:pos="4153"/>
        <w:tab w:val="right" w:pos="8306"/>
      </w:tabs>
      <w:snapToGrid w:val="0"/>
      <w:jc w:val="left"/>
    </w:pPr>
    <w:rPr>
      <w:sz w:val="18"/>
    </w:rPr>
  </w:style>
  <w:style w:type="paragraph" w:styleId="1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pPr>
    <w:rPr>
      <w:sz w:val="18"/>
    </w:rPr>
  </w:style>
  <w:style w:type="paragraph" w:styleId="15">
    <w:name w:val="footnote text"/>
    <w:basedOn w:val="1"/>
    <w:qFormat/>
    <w:uiPriority w:val="0"/>
    <w:pPr>
      <w:snapToGrid w:val="0"/>
      <w:jc w:val="left"/>
    </w:pPr>
    <w:rPr>
      <w:sz w:val="18"/>
    </w:rPr>
  </w:style>
  <w:style w:type="paragraph" w:styleId="16">
    <w:name w:val="table of figures"/>
    <w:basedOn w:val="1"/>
    <w:next w:val="1"/>
    <w:qFormat/>
    <w:uiPriority w:val="0"/>
    <w:pPr>
      <w:ind w:left="200" w:leftChars="200" w:hanging="200" w:hangingChars="200"/>
    </w:pPr>
  </w:style>
  <w:style w:type="paragraph" w:styleId="17">
    <w:name w:val="Body Text 2"/>
    <w:basedOn w:val="1"/>
    <w:qFormat/>
    <w:uiPriority w:val="0"/>
    <w:pPr>
      <w:spacing w:after="120" w:line="480" w:lineRule="auto"/>
    </w:pPr>
  </w:style>
  <w:style w:type="paragraph" w:styleId="18">
    <w:name w:val="Normal (Web)"/>
    <w:basedOn w:val="1"/>
    <w:qFormat/>
    <w:uiPriority w:val="0"/>
    <w:pPr>
      <w:spacing w:before="100" w:beforeAutospacing="1" w:after="100" w:afterAutospacing="1"/>
      <w:jc w:val="left"/>
    </w:pPr>
    <w:rPr>
      <w:kern w:val="0"/>
      <w:sz w:val="24"/>
    </w:rPr>
  </w:style>
  <w:style w:type="paragraph" w:styleId="19">
    <w:name w:val="Body Text First Indent"/>
    <w:basedOn w:val="8"/>
    <w:unhideWhenUsed/>
    <w:qFormat/>
    <w:uiPriority w:val="0"/>
    <w:pPr>
      <w:spacing w:beforeLines="50" w:line="360" w:lineRule="auto"/>
      <w:ind w:firstLine="200" w:firstLineChars="200"/>
    </w:pPr>
    <w:rPr>
      <w:sz w:val="24"/>
    </w:rPr>
  </w:style>
  <w:style w:type="paragraph" w:styleId="20">
    <w:name w:val="Body Text First Indent 2"/>
    <w:basedOn w:val="10"/>
    <w:qFormat/>
    <w:uiPriority w:val="0"/>
    <w:pPr>
      <w:tabs>
        <w:tab w:val="left" w:pos="0"/>
      </w:tabs>
      <w:spacing w:after="120"/>
      <w:ind w:left="420" w:leftChars="200" w:firstLine="420"/>
    </w:pPr>
    <w:rPr>
      <w:rFonts w:ascii="Times New Roman" w:eastAsia="仿宋_GB2312"/>
      <w:sz w:val="30"/>
    </w:r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annotation reference"/>
    <w:basedOn w:val="23"/>
    <w:qFormat/>
    <w:uiPriority w:val="0"/>
    <w:rPr>
      <w:sz w:val="21"/>
      <w:szCs w:val="21"/>
    </w:rPr>
  </w:style>
  <w:style w:type="character" w:customStyle="1" w:styleId="25">
    <w:name w:val="标题 1 字符"/>
    <w:basedOn w:val="23"/>
    <w:link w:val="3"/>
    <w:qFormat/>
    <w:uiPriority w:val="0"/>
    <w:rPr>
      <w:rFonts w:ascii="Calibri" w:hAnsi="Calibri" w:eastAsia="宋体"/>
      <w:b/>
      <w:bCs/>
      <w:kern w:val="44"/>
      <w:sz w:val="32"/>
      <w:szCs w:val="44"/>
    </w:rPr>
  </w:style>
  <w:style w:type="character" w:customStyle="1" w:styleId="26">
    <w:name w:val="标题 2 字符"/>
    <w:link w:val="4"/>
    <w:qFormat/>
    <w:uiPriority w:val="0"/>
    <w:rPr>
      <w:rFonts w:ascii="Arial" w:hAnsi="Arial" w:eastAsia="宋体" w:cs="宋体"/>
      <w:b/>
    </w:rPr>
  </w:style>
  <w:style w:type="paragraph" w:customStyle="1" w:styleId="27">
    <w:name w:val="样式1"/>
    <w:basedOn w:val="1"/>
    <w:next w:val="1"/>
    <w:qFormat/>
    <w:uiPriority w:val="0"/>
    <w:pPr>
      <w:numPr>
        <w:ilvl w:val="0"/>
        <w:numId w:val="1"/>
      </w:numPr>
    </w:pPr>
  </w:style>
  <w:style w:type="paragraph" w:customStyle="1" w:styleId="28">
    <w:name w:val="Revision"/>
    <w:hidden/>
    <w:unhideWhenUsed/>
    <w:qFormat/>
    <w:uiPriority w:val="99"/>
    <w:rPr>
      <w:rFonts w:ascii="Times New Roman" w:hAnsi="Times New Roman" w:eastAsia="仿宋_GB2312" w:cs="Times New Roman"/>
      <w:kern w:val="2"/>
      <w:sz w:val="28"/>
      <w:szCs w:val="24"/>
      <w:lang w:val="en-US" w:eastAsia="zh-CN" w:bidi="ar-SA"/>
    </w:rPr>
  </w:style>
  <w:style w:type="character" w:customStyle="1" w:styleId="29">
    <w:name w:val="font31"/>
    <w:basedOn w:val="23"/>
    <w:qFormat/>
    <w:uiPriority w:val="0"/>
    <w:rPr>
      <w:rFonts w:hint="eastAsia" w:ascii="楷体" w:hAnsi="楷体" w:eastAsia="楷体" w:cs="楷体"/>
      <w:color w:val="000000"/>
      <w:sz w:val="21"/>
      <w:szCs w:val="21"/>
      <w:u w:val="none"/>
    </w:rPr>
  </w:style>
  <w:style w:type="character" w:customStyle="1" w:styleId="30">
    <w:name w:val="font81"/>
    <w:basedOn w:val="23"/>
    <w:qFormat/>
    <w:uiPriority w:val="0"/>
    <w:rPr>
      <w:rFonts w:hint="eastAsia" w:ascii="楷体" w:hAnsi="楷体" w:eastAsia="楷体" w:cs="楷体"/>
      <w:color w:val="FF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048E392-8BC1-49CA-9752-7FA4773D492E}">
  <ds:schemaRefs/>
</ds:datastoreItem>
</file>

<file path=docProps/app.xml><?xml version="1.0" encoding="utf-8"?>
<Properties xmlns="http://schemas.openxmlformats.org/officeDocument/2006/extended-properties" xmlns:vt="http://schemas.openxmlformats.org/officeDocument/2006/docPropsVTypes">
  <Template>Normal.dotm</Template>
  <Pages>10</Pages>
  <Words>3740</Words>
  <Characters>4114</Characters>
  <Lines>30</Lines>
  <Paragraphs>8</Paragraphs>
  <TotalTime>0</TotalTime>
  <ScaleCrop>false</ScaleCrop>
  <LinksUpToDate>false</LinksUpToDate>
  <CharactersWithSpaces>4210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2021-12-30T22:15:00Z</dcterms:created>
  <dc:creator>wangyf1</dc:creator>
  <cp:lastModifiedBy>阚炜</cp:lastModifiedBy>
  <cp:lastPrinted>2026-02-02T06:06:00Z</cp:lastPrinted>
  <dcterms:modified xsi:type="dcterms:W3CDTF">2026-02-12T07:18:15Z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EDA6E73B4229405DA686B442DDB6C41B_13</vt:lpwstr>
  </property>
  <property fmtid="{D5CDD505-2E9C-101B-9397-08002B2CF9AE}" pid="4" name="KSOTemplateDocerSaveRecord">
    <vt:lpwstr>eyJoZGlkIjoiMDljYzUzMWQ4OWI0YzBkYjYzMDRhZTY5ZjZkYmFmYTgiLCJ1c2VySWQiOiIyMzgwNTk5OTcifQ==</vt:lpwstr>
  </property>
</Properties>
</file>