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60" w:lineRule="auto"/>
        <w:jc w:val="center"/>
        <w:rPr>
          <w:rFonts w:hint="eastAsia" w:hAnsi="宋体" w:eastAsia="宋体" w:cs="宋体"/>
          <w:b/>
          <w:bCs/>
          <w:snapToGrid w:val="0"/>
          <w:sz w:val="32"/>
          <w:szCs w:val="32"/>
        </w:rPr>
      </w:pPr>
      <w:bookmarkStart w:id="0" w:name="_Toc8445"/>
      <w:r>
        <w:rPr>
          <w:rFonts w:hint="eastAsia" w:hAnsi="宋体" w:eastAsia="宋体" w:cs="宋体"/>
          <w:b/>
          <w:bCs/>
          <w:snapToGrid w:val="0"/>
          <w:sz w:val="32"/>
          <w:szCs w:val="32"/>
        </w:rPr>
        <w:t>附件A-项目信息清单</w:t>
      </w:r>
    </w:p>
    <w:p>
      <w:pPr>
        <w:pStyle w:val="2"/>
        <w:spacing w:line="360" w:lineRule="auto"/>
        <w:jc w:val="center"/>
        <w:rPr>
          <w:rFonts w:hint="eastAsia" w:hAnsi="宋体" w:eastAsia="宋体" w:cs="宋体"/>
          <w:b/>
          <w:bCs/>
          <w:snapToGrid w:val="0"/>
          <w:sz w:val="32"/>
          <w:szCs w:val="32"/>
        </w:rPr>
      </w:pPr>
    </w:p>
    <w:p>
      <w:pPr>
        <w:pStyle w:val="2"/>
        <w:adjustRightInd w:val="0"/>
        <w:snapToGrid w:val="0"/>
        <w:spacing w:line="360" w:lineRule="auto"/>
        <w:ind w:firstLine="562" w:firstLineChars="200"/>
        <w:jc w:val="left"/>
        <w:outlineLvl w:val="0"/>
        <w:rPr>
          <w:rFonts w:hint="eastAsia" w:hAnsi="宋体" w:cs="宋体"/>
          <w:b/>
          <w:color w:val="FF0000"/>
          <w:sz w:val="28"/>
          <w:szCs w:val="28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名称：500千伏江城输变电工程监理标段1</w:t>
      </w:r>
    </w:p>
    <w:tbl>
      <w:tblPr>
        <w:tblStyle w:val="12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云南电网有限责任公司</w:t>
            </w:r>
            <w:r>
              <w:rPr>
                <w:rFonts w:hint="eastAsia" w:hAnsi="宋体" w:cs="宋体"/>
                <w:sz w:val="21"/>
                <w:szCs w:val="21"/>
              </w:rPr>
              <w:t>建设分公司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普洱市江城哈尼族彝族自治县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南方电网规划[2025]44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napToGrid w:val="0"/>
                <w:sz w:val="21"/>
                <w:szCs w:val="21"/>
                <w:highlight w:val="cyan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云发改能源[2025]951号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云电规划〔2025〕881号</w:t>
            </w:r>
          </w:p>
        </w:tc>
      </w:tr>
    </w:tbl>
    <w:p>
      <w:pPr>
        <w:pStyle w:val="2"/>
        <w:adjustRightInd w:val="0"/>
        <w:snapToGrid w:val="0"/>
        <w:spacing w:line="360" w:lineRule="auto"/>
        <w:ind w:firstLine="562" w:firstLineChars="200"/>
        <w:jc w:val="center"/>
        <w:outlineLvl w:val="0"/>
        <w:rPr>
          <w:rFonts w:hint="eastAsia" w:hAnsi="宋体" w:cs="宋体"/>
          <w:b/>
          <w:color w:val="FF0000"/>
          <w:sz w:val="28"/>
          <w:szCs w:val="28"/>
        </w:rPr>
      </w:pPr>
    </w:p>
    <w:bookmarkEnd w:id="0"/>
    <w:p>
      <w:pPr>
        <w:pStyle w:val="2"/>
        <w:numPr>
          <w:ilvl w:val="0"/>
          <w:numId w:val="1"/>
        </w:numPr>
        <w:adjustRightInd w:val="0"/>
        <w:snapToGrid w:val="0"/>
        <w:spacing w:line="360" w:lineRule="auto"/>
        <w:ind w:firstLine="482" w:firstLineChars="200"/>
        <w:outlineLvl w:val="0"/>
        <w:rPr>
          <w:rFonts w:hint="eastAsia"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</w:rPr>
        <w:t>建设规模</w:t>
      </w:r>
    </w:p>
    <w:p>
      <w:pPr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1. 500</w:t>
      </w:r>
      <w:r>
        <w:rPr>
          <w:rFonts w:hint="eastAsia" w:ascii="宋体" w:hAnsi="宋体" w:eastAsia="宋体" w:cs="宋体"/>
          <w:b/>
          <w:bCs/>
          <w:kern w:val="0"/>
          <w:szCs w:val="21"/>
          <w:lang w:val="en-US" w:eastAsia="zh-CN"/>
        </w:rPr>
        <w:t>kV</w:t>
      </w:r>
      <w:r>
        <w:rPr>
          <w:rFonts w:hint="eastAsia" w:ascii="宋体" w:hAnsi="宋体" w:eastAsia="宋体" w:cs="宋体"/>
          <w:b/>
          <w:bCs/>
          <w:kern w:val="0"/>
          <w:szCs w:val="21"/>
        </w:rPr>
        <w:t xml:space="preserve">江城变电站新建工程 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（1）主变压器：远期规模 4×1000MVA，本期规模 2×1000MVA。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（2）1、500kV：最终出线10回。本期出线2回接入500kV通宝变，中老滇西南配套工程从版纳变接入1回。备用出线7回，备用出线方向分别为南方向2回、通宝方向1回、西方向2回、抽水蓄能1回、版纳方向1回。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（3）220kV：220kV 侧远期出线 16 回，本期出线 6 回，其中 4 回线路接入，2 回为电气间隔。已确定的4回出线分别至老白寨光伏1回、“Π”接墨江变~戈兰滩水电站线路2回、坝伞村光伏电站1回。电气间隔2回出线至220kV勐烈变电站。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（4）低压无功：本期 2 台主变低压侧各装设 2 组 60Mvar低压电容器和 1 组 60MVar 低压电抗器、各预留 1 组 60MVar低压电抗器和 1 组 60MVar STATCOM；2 台备用主变低压侧各预留 3 组 60MVar 低压电容器和 2 组 60MVar 低压电抗器。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5）线路高抗：本期500kV江城~通宝Ⅰ回江城侧装设1×180Mvar线路高抗，500kV江城~通宝Ⅱ回通宝侧装设1×180Mvar线路高抗。远期备用西方向2回、南方向其中1回、通宝第3回江城侧预留线路高抗位置，备用至版纳变1回利用版纳变线路高抗位置，备用至抽水蓄能、南方向另1回江城侧不预留线路高抗位置。</w:t>
      </w:r>
    </w:p>
    <w:p>
      <w:pPr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2.500</w:t>
      </w:r>
      <w:r>
        <w:rPr>
          <w:rFonts w:hint="eastAsia" w:ascii="宋体" w:hAnsi="宋体" w:eastAsia="宋体" w:cs="宋体"/>
          <w:b/>
          <w:bCs/>
          <w:kern w:val="0"/>
          <w:szCs w:val="21"/>
          <w:lang w:val="en-US" w:eastAsia="zh-CN"/>
        </w:rPr>
        <w:t>kV</w:t>
      </w:r>
      <w:r>
        <w:rPr>
          <w:rFonts w:hint="eastAsia" w:ascii="宋体" w:hAnsi="宋体" w:eastAsia="宋体" w:cs="宋体"/>
          <w:b/>
          <w:bCs/>
          <w:kern w:val="0"/>
          <w:szCs w:val="21"/>
        </w:rPr>
        <w:t>通宝变电站间隔扩建工程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扩建至通宝变500kV出线间隔2个。500kV 电气设备额定电流按5000A、额定短路开断电流水平按63kA选择。</w:t>
      </w:r>
    </w:p>
    <w:p>
      <w:pPr>
        <w:pStyle w:val="2"/>
        <w:numPr>
          <w:ilvl w:val="0"/>
          <w:numId w:val="1"/>
        </w:numPr>
        <w:adjustRightInd w:val="0"/>
        <w:snapToGrid w:val="0"/>
        <w:spacing w:line="360" w:lineRule="auto"/>
        <w:ind w:firstLine="0"/>
        <w:outlineLvl w:val="0"/>
        <w:rPr>
          <w:rFonts w:hint="eastAsia"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</w:rPr>
        <w:t>采购范围</w:t>
      </w:r>
      <w:bookmarkStart w:id="1" w:name="施工招标范围综合"/>
      <w:r>
        <w:rPr>
          <w:rFonts w:hint="eastAsia" w:hAnsi="宋体" w:eastAsia="宋体" w:cs="宋体"/>
          <w:b/>
          <w:sz w:val="24"/>
          <w:szCs w:val="24"/>
        </w:rPr>
        <w:t xml:space="preserve"> </w:t>
      </w:r>
    </w:p>
    <w:bookmarkEnd w:id="1"/>
    <w:p>
      <w:pPr>
        <w:spacing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/>
        </w:rPr>
        <w:t xml:space="preserve">    </w:t>
      </w:r>
      <w:r>
        <w:rPr>
          <w:rFonts w:hint="eastAsia" w:ascii="宋体" w:hAnsi="宋体" w:eastAsia="宋体" w:cs="宋体"/>
          <w:kern w:val="0"/>
          <w:szCs w:val="21"/>
        </w:rPr>
        <w:t>施工图纸范围内的施工准备（含三通一平），施工（含通信），竣工结算，缺陷责任期，电子化移交的全过程监理。</w:t>
      </w:r>
    </w:p>
    <w:p>
      <w:pP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lang w:val="en-US" w:eastAsia="zh-CN"/>
        </w:rPr>
        <w:br w:type="page"/>
      </w:r>
    </w:p>
    <w:p>
      <w:pPr>
        <w:pStyle w:val="2"/>
        <w:spacing w:line="360" w:lineRule="auto"/>
        <w:jc w:val="center"/>
        <w:rPr>
          <w:rFonts w:hAnsi="宋体" w:eastAsia="宋体" w:cs="宋体"/>
          <w:b/>
          <w:bCs/>
          <w:snapToGrid w:val="0"/>
          <w:sz w:val="32"/>
          <w:szCs w:val="32"/>
        </w:rPr>
      </w:pPr>
      <w:r>
        <w:rPr>
          <w:rFonts w:hint="eastAsia" w:hAnsi="宋体" w:eastAsia="宋体" w:cs="宋体"/>
          <w:b/>
          <w:bCs/>
          <w:snapToGrid w:val="0"/>
          <w:sz w:val="32"/>
          <w:szCs w:val="32"/>
        </w:rPr>
        <w:t>附件A-项目信息清单</w:t>
      </w:r>
    </w:p>
    <w:p>
      <w:pPr>
        <w:pStyle w:val="2"/>
        <w:spacing w:line="360" w:lineRule="auto"/>
        <w:jc w:val="center"/>
        <w:rPr>
          <w:rFonts w:hAnsi="宋体" w:eastAsia="宋体" w:cs="宋体"/>
          <w:b/>
          <w:bCs/>
          <w:snapToGrid w:val="0"/>
          <w:sz w:val="32"/>
          <w:szCs w:val="32"/>
        </w:rPr>
      </w:pPr>
    </w:p>
    <w:p>
      <w:pPr>
        <w:pStyle w:val="2"/>
        <w:adjustRightInd w:val="0"/>
        <w:snapToGrid w:val="0"/>
        <w:spacing w:line="360" w:lineRule="auto"/>
        <w:ind w:firstLine="562" w:firstLineChars="200"/>
        <w:jc w:val="left"/>
        <w:outlineLvl w:val="0"/>
        <w:rPr>
          <w:rFonts w:hAnsi="宋体" w:cs="宋体"/>
          <w:b/>
          <w:sz w:val="28"/>
          <w:szCs w:val="28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名称：500kV江城输变电工程监理标段2</w:t>
      </w:r>
    </w:p>
    <w:tbl>
      <w:tblPr>
        <w:tblStyle w:val="12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云南电网有限责任公司</w:t>
            </w:r>
            <w:r>
              <w:rPr>
                <w:rFonts w:hint="eastAsia" w:hAnsi="宋体" w:cs="宋体"/>
                <w:sz w:val="21"/>
                <w:szCs w:val="21"/>
              </w:rPr>
              <w:t>建设分公司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云南省普洱市、</w:t>
            </w:r>
            <w:r>
              <w:rPr>
                <w:rFonts w:hAnsi="宋体" w:eastAsia="宋体" w:cs="宋体"/>
                <w:sz w:val="21"/>
                <w:szCs w:val="21"/>
              </w:rPr>
              <w:t>红河哈尼族彝族自治州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南方电网规划〔2025〕44号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云发改能源〔2025〕951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宋体" w:cs="宋体"/>
                <w:sz w:val="21"/>
                <w:szCs w:val="21"/>
                <w:lang w:val="en-US" w:eastAsia="zh-CN"/>
              </w:rPr>
              <w:t>已落实</w:t>
            </w:r>
          </w:p>
        </w:tc>
      </w:tr>
    </w:tbl>
    <w:p>
      <w:pPr>
        <w:pStyle w:val="2"/>
        <w:adjustRightInd w:val="0"/>
        <w:snapToGrid w:val="0"/>
        <w:spacing w:line="360" w:lineRule="auto"/>
        <w:ind w:firstLine="562" w:firstLineChars="200"/>
        <w:jc w:val="center"/>
        <w:outlineLvl w:val="0"/>
        <w:rPr>
          <w:rFonts w:hAnsi="宋体" w:cs="宋体"/>
          <w:b/>
          <w:sz w:val="28"/>
          <w:szCs w:val="28"/>
        </w:rPr>
      </w:pPr>
    </w:p>
    <w:p>
      <w:pPr>
        <w:pStyle w:val="2"/>
        <w:numPr>
          <w:ilvl w:val="0"/>
          <w:numId w:val="2"/>
        </w:numPr>
        <w:adjustRightInd w:val="0"/>
        <w:snapToGrid w:val="0"/>
        <w:spacing w:line="360" w:lineRule="auto"/>
        <w:ind w:firstLine="0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</w:rPr>
        <w:t>建设规模</w:t>
      </w:r>
    </w:p>
    <w:p>
      <w:pPr>
        <w:pStyle w:val="2"/>
        <w:spacing w:line="360" w:lineRule="auto"/>
        <w:ind w:firstLine="482" w:firstLineChars="200"/>
        <w:rPr>
          <w:rFonts w:hAnsi="宋体" w:eastAsia="宋体" w:cs="宋体"/>
          <w:color w:val="FF0000"/>
          <w:sz w:val="21"/>
          <w:szCs w:val="21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1.</w:t>
      </w:r>
      <w:r>
        <w:rPr>
          <w:rFonts w:hint="eastAsia"/>
        </w:rPr>
        <w:t xml:space="preserve"> 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500kV江城～通宝Ⅰ回（总长度</w:t>
      </w:r>
      <w:r>
        <w:rPr>
          <w:rFonts w:asciiTheme="minorEastAsia" w:hAnsiTheme="minorEastAsia" w:cstheme="minorEastAsia"/>
          <w:b/>
          <w:bCs/>
          <w:sz w:val="24"/>
          <w:szCs w:val="24"/>
        </w:rPr>
        <w:t>181.6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91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km，其中标段2长度84.707km）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新建线路长度约84.707km，单回路架设。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设计基本风速为27m/s（跨江处2</w:t>
      </w:r>
      <w:r>
        <w:rPr>
          <w:rFonts w:ascii="宋体" w:hAnsi="宋体" w:eastAsia="宋体" w:cs="宋体"/>
          <w:kern w:val="0"/>
          <w:szCs w:val="21"/>
        </w:rPr>
        <w:t>9</w:t>
      </w:r>
      <w:r>
        <w:rPr>
          <w:rFonts w:hint="eastAsia" w:ascii="宋体" w:hAnsi="宋体" w:eastAsia="宋体" w:cs="宋体"/>
          <w:kern w:val="0"/>
          <w:szCs w:val="21"/>
        </w:rPr>
        <w:t>m</w:t>
      </w:r>
      <w:r>
        <w:rPr>
          <w:rFonts w:ascii="宋体" w:hAnsi="宋体" w:eastAsia="宋体" w:cs="宋体"/>
          <w:kern w:val="0"/>
          <w:szCs w:val="21"/>
        </w:rPr>
        <w:t>/s</w:t>
      </w:r>
      <w:r>
        <w:rPr>
          <w:rFonts w:hint="eastAsia" w:ascii="宋体" w:hAnsi="宋体" w:eastAsia="宋体" w:cs="宋体"/>
          <w:kern w:val="0"/>
          <w:szCs w:val="21"/>
        </w:rPr>
        <w:t>），设计覆冰为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mm、1</w:t>
      </w:r>
      <w:r>
        <w:rPr>
          <w:rFonts w:ascii="宋体" w:hAnsi="宋体" w:eastAsia="宋体" w:cs="宋体"/>
          <w:kern w:val="0"/>
          <w:szCs w:val="21"/>
        </w:rPr>
        <w:t>0</w:t>
      </w:r>
      <w:r>
        <w:rPr>
          <w:rFonts w:hint="eastAsia" w:ascii="宋体" w:hAnsi="宋体" w:eastAsia="宋体" w:cs="宋体"/>
          <w:kern w:val="0"/>
          <w:szCs w:val="21"/>
        </w:rPr>
        <w:t>mm。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导线采用4分裂JL/LB20A-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00/</w:t>
      </w:r>
      <w:r>
        <w:rPr>
          <w:rFonts w:ascii="宋体" w:hAnsi="宋体" w:eastAsia="宋体" w:cs="宋体"/>
          <w:kern w:val="0"/>
          <w:szCs w:val="21"/>
        </w:rPr>
        <w:t>45</w:t>
      </w:r>
      <w:r>
        <w:rPr>
          <w:rFonts w:hint="eastAsia" w:ascii="宋体" w:hAnsi="宋体" w:eastAsia="宋体" w:cs="宋体"/>
          <w:kern w:val="0"/>
          <w:szCs w:val="21"/>
        </w:rPr>
        <w:t>铝包钢芯铝绞线；新建线路全线架设1根</w:t>
      </w:r>
      <w:r>
        <w:rPr>
          <w:rFonts w:ascii="宋体" w:hAnsi="宋体" w:eastAsia="宋体" w:cs="宋体"/>
          <w:kern w:val="0"/>
          <w:szCs w:val="21"/>
        </w:rPr>
        <w:t>72</w:t>
      </w:r>
      <w:r>
        <w:rPr>
          <w:rFonts w:hint="eastAsia" w:ascii="宋体" w:hAnsi="宋体" w:eastAsia="宋体" w:cs="宋体"/>
          <w:kern w:val="0"/>
          <w:szCs w:val="21"/>
        </w:rPr>
        <w:t>芯OPGW-150光缆和1根JLB27-150普通地线。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全线采用自立式角钢塔。单回路直线塔采用导线水平排列的酒杯型塔，单回路耐张塔采用导线三角排列的干字型塔。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杆塔基础采用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挖孔桩基础、掏挖式基础、直柱板式基础、岩石基础</w:t>
      </w:r>
      <w:r>
        <w:rPr>
          <w:rFonts w:hint="eastAsia" w:ascii="宋体" w:hAnsi="宋体" w:eastAsia="宋体" w:cs="宋体"/>
          <w:kern w:val="0"/>
          <w:szCs w:val="21"/>
        </w:rPr>
        <w:t>等型式。</w:t>
      </w:r>
    </w:p>
    <w:p>
      <w:pPr>
        <w:pStyle w:val="2"/>
        <w:spacing w:line="360" w:lineRule="auto"/>
        <w:ind w:firstLine="482" w:firstLineChars="200"/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2. 500kV江城～通宝Ⅱ回（总长度</w:t>
      </w:r>
      <w:r>
        <w:rPr>
          <w:rFonts w:asciiTheme="minorEastAsia" w:hAnsiTheme="minorEastAsia" w:cstheme="minorEastAsia"/>
          <w:b/>
          <w:bCs/>
          <w:sz w:val="24"/>
          <w:szCs w:val="24"/>
        </w:rPr>
        <w:t>179.6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58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km，其中标段2长度84.409km）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新建线路长度约84.409km，单回路架设。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设计基本风速为27m/s（跨江处2</w:t>
      </w:r>
      <w:r>
        <w:rPr>
          <w:rFonts w:ascii="宋体" w:hAnsi="宋体" w:eastAsia="宋体" w:cs="宋体"/>
          <w:kern w:val="0"/>
          <w:szCs w:val="21"/>
        </w:rPr>
        <w:t>9</w:t>
      </w:r>
      <w:r>
        <w:rPr>
          <w:rFonts w:hint="eastAsia" w:ascii="宋体" w:hAnsi="宋体" w:eastAsia="宋体" w:cs="宋体"/>
          <w:kern w:val="0"/>
          <w:szCs w:val="21"/>
        </w:rPr>
        <w:t>m</w:t>
      </w:r>
      <w:r>
        <w:rPr>
          <w:rFonts w:ascii="宋体" w:hAnsi="宋体" w:eastAsia="宋体" w:cs="宋体"/>
          <w:kern w:val="0"/>
          <w:szCs w:val="21"/>
        </w:rPr>
        <w:t>/s</w:t>
      </w:r>
      <w:r>
        <w:rPr>
          <w:rFonts w:hint="eastAsia" w:ascii="宋体" w:hAnsi="宋体" w:eastAsia="宋体" w:cs="宋体"/>
          <w:kern w:val="0"/>
          <w:szCs w:val="21"/>
        </w:rPr>
        <w:t>），设计覆冰为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mm、1</w:t>
      </w:r>
      <w:r>
        <w:rPr>
          <w:rFonts w:ascii="宋体" w:hAnsi="宋体" w:eastAsia="宋体" w:cs="宋体"/>
          <w:kern w:val="0"/>
          <w:szCs w:val="21"/>
        </w:rPr>
        <w:t>0</w:t>
      </w:r>
      <w:r>
        <w:rPr>
          <w:rFonts w:hint="eastAsia" w:ascii="宋体" w:hAnsi="宋体" w:eastAsia="宋体" w:cs="宋体"/>
          <w:kern w:val="0"/>
          <w:szCs w:val="21"/>
        </w:rPr>
        <w:t>mm。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导线采用4分裂JL/LB20A-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00/</w:t>
      </w:r>
      <w:r>
        <w:rPr>
          <w:rFonts w:ascii="宋体" w:hAnsi="宋体" w:eastAsia="宋体" w:cs="宋体"/>
          <w:kern w:val="0"/>
          <w:szCs w:val="21"/>
        </w:rPr>
        <w:t>45</w:t>
      </w:r>
      <w:r>
        <w:rPr>
          <w:rFonts w:hint="eastAsia" w:ascii="宋体" w:hAnsi="宋体" w:eastAsia="宋体" w:cs="宋体"/>
          <w:kern w:val="0"/>
          <w:szCs w:val="21"/>
        </w:rPr>
        <w:t>铝包钢芯铝绞线；新建线路全线架设1根</w:t>
      </w:r>
      <w:r>
        <w:rPr>
          <w:rFonts w:ascii="宋体" w:hAnsi="宋体" w:eastAsia="宋体" w:cs="宋体"/>
          <w:kern w:val="0"/>
          <w:szCs w:val="21"/>
        </w:rPr>
        <w:t>72</w:t>
      </w:r>
      <w:r>
        <w:rPr>
          <w:rFonts w:hint="eastAsia" w:ascii="宋体" w:hAnsi="宋体" w:eastAsia="宋体" w:cs="宋体"/>
          <w:kern w:val="0"/>
          <w:szCs w:val="21"/>
        </w:rPr>
        <w:t>芯OPGW-150光缆和1根JLB27-150普通地线。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全线采用自立式角钢塔。单回路直线塔采用导线水平排列的酒杯型塔，单回路耐张塔采用导线三角排列的干字型塔。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杆塔基础采用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挖孔桩基础、掏挖式基础、直柱板式基础、岩石基础</w:t>
      </w:r>
      <w:r>
        <w:rPr>
          <w:rFonts w:hint="eastAsia" w:ascii="宋体" w:hAnsi="宋体" w:eastAsia="宋体" w:cs="宋体"/>
          <w:kern w:val="0"/>
          <w:szCs w:val="21"/>
        </w:rPr>
        <w:t>等型式。</w:t>
      </w:r>
    </w:p>
    <w:p>
      <w:pPr>
        <w:pStyle w:val="8"/>
      </w:pPr>
    </w:p>
    <w:p>
      <w:pPr>
        <w:pStyle w:val="2"/>
        <w:numPr>
          <w:ilvl w:val="0"/>
          <w:numId w:val="2"/>
        </w:numPr>
        <w:adjustRightInd w:val="0"/>
        <w:snapToGrid w:val="0"/>
        <w:spacing w:line="360" w:lineRule="auto"/>
        <w:ind w:firstLine="0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</w:rPr>
        <w:t xml:space="preserve">采购范围 </w:t>
      </w:r>
    </w:p>
    <w:p>
      <w:pPr>
        <w:shd w:val="clear" w:color="auto" w:fill="auto"/>
        <w:spacing w:line="560" w:lineRule="exact"/>
        <w:ind w:firstLine="420" w:firstLineChars="20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施工图纸范围内的施工准备，施工（含通信），竣工结算，缺陷责任期，电子化移交的全过程监理。</w:t>
      </w:r>
    </w:p>
    <w:p>
      <w:pP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br w:type="page"/>
      </w:r>
    </w:p>
    <w:p>
      <w:pPr>
        <w:pStyle w:val="2"/>
        <w:spacing w:line="360" w:lineRule="auto"/>
        <w:jc w:val="center"/>
        <w:rPr>
          <w:rFonts w:hAnsi="宋体" w:eastAsia="宋体" w:cs="宋体"/>
          <w:b/>
          <w:bCs/>
          <w:snapToGrid w:val="0"/>
          <w:sz w:val="32"/>
          <w:szCs w:val="32"/>
        </w:rPr>
      </w:pPr>
      <w:r>
        <w:rPr>
          <w:rFonts w:hint="eastAsia" w:hAnsi="宋体" w:eastAsia="宋体" w:cs="宋体"/>
          <w:b/>
          <w:bCs/>
          <w:snapToGrid w:val="0"/>
          <w:sz w:val="32"/>
          <w:szCs w:val="32"/>
        </w:rPr>
        <w:t>附件A-项目信息清单</w:t>
      </w:r>
    </w:p>
    <w:p>
      <w:pPr>
        <w:pStyle w:val="2"/>
        <w:spacing w:line="360" w:lineRule="auto"/>
        <w:jc w:val="center"/>
        <w:rPr>
          <w:rFonts w:hAnsi="宋体" w:eastAsia="宋体" w:cs="宋体"/>
          <w:b/>
          <w:bCs/>
          <w:snapToGrid w:val="0"/>
          <w:sz w:val="32"/>
          <w:szCs w:val="32"/>
        </w:rPr>
      </w:pPr>
    </w:p>
    <w:p>
      <w:pPr>
        <w:pStyle w:val="2"/>
        <w:adjustRightInd w:val="0"/>
        <w:snapToGrid w:val="0"/>
        <w:spacing w:line="360" w:lineRule="auto"/>
        <w:ind w:firstLine="562" w:firstLineChars="200"/>
        <w:jc w:val="left"/>
        <w:outlineLvl w:val="0"/>
        <w:rPr>
          <w:rFonts w:hAnsi="宋体" w:cs="宋体"/>
          <w:b/>
          <w:sz w:val="28"/>
          <w:szCs w:val="28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名称：500kV江城输变电工程监理标段</w:t>
      </w:r>
      <w:r>
        <w:rPr>
          <w:rFonts w:hAnsi="宋体" w:eastAsia="宋体" w:cs="宋体"/>
          <w:b/>
          <w:bCs/>
          <w:snapToGrid w:val="0"/>
          <w:sz w:val="28"/>
          <w:szCs w:val="28"/>
        </w:rPr>
        <w:t>3</w:t>
      </w:r>
    </w:p>
    <w:tbl>
      <w:tblPr>
        <w:tblStyle w:val="12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云南电网有限责任公司</w:t>
            </w:r>
            <w:r>
              <w:rPr>
                <w:rFonts w:hint="eastAsia" w:hAnsi="宋体" w:cs="宋体"/>
                <w:sz w:val="21"/>
                <w:szCs w:val="21"/>
              </w:rPr>
              <w:t>建设分公司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Ansi="宋体" w:eastAsia="宋体" w:cs="宋体"/>
                <w:sz w:val="21"/>
                <w:szCs w:val="21"/>
              </w:rPr>
              <w:t>红河哈尼族彝族自治州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南方电网规划〔2025〕</w:t>
            </w:r>
            <w:r>
              <w:rPr>
                <w:rFonts w:hAnsi="宋体" w:eastAsia="宋体" w:cs="宋体"/>
                <w:sz w:val="21"/>
                <w:szCs w:val="21"/>
              </w:rPr>
              <w:t>4</w:t>
            </w:r>
            <w:r>
              <w:rPr>
                <w:rFonts w:hint="eastAsia" w:hAnsi="宋体" w:eastAsia="宋体" w:cs="宋体"/>
                <w:sz w:val="21"/>
                <w:szCs w:val="21"/>
              </w:rPr>
              <w:t>4号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云发改能源〔2025〕951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宋体" w:cs="宋体"/>
                <w:sz w:val="21"/>
                <w:szCs w:val="21"/>
                <w:lang w:val="en-US" w:eastAsia="zh-CN"/>
              </w:rPr>
              <w:t>已落实</w:t>
            </w:r>
          </w:p>
        </w:tc>
      </w:tr>
    </w:tbl>
    <w:p>
      <w:pPr>
        <w:pStyle w:val="2"/>
        <w:adjustRightInd w:val="0"/>
        <w:snapToGrid w:val="0"/>
        <w:spacing w:line="360" w:lineRule="auto"/>
        <w:ind w:firstLine="562" w:firstLineChars="200"/>
        <w:jc w:val="center"/>
        <w:outlineLvl w:val="0"/>
        <w:rPr>
          <w:rFonts w:hAnsi="宋体" w:cs="宋体"/>
          <w:b/>
          <w:sz w:val="28"/>
          <w:szCs w:val="28"/>
        </w:rPr>
      </w:pPr>
    </w:p>
    <w:p>
      <w:pPr>
        <w:pStyle w:val="2"/>
        <w:numPr>
          <w:ilvl w:val="0"/>
          <w:numId w:val="3"/>
        </w:numPr>
        <w:adjustRightInd w:val="0"/>
        <w:snapToGrid w:val="0"/>
        <w:spacing w:line="360" w:lineRule="auto"/>
        <w:ind w:firstLine="0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</w:rPr>
        <w:t>建设规模</w:t>
      </w:r>
    </w:p>
    <w:p>
      <w:pPr>
        <w:pStyle w:val="2"/>
        <w:spacing w:line="360" w:lineRule="auto"/>
        <w:ind w:firstLine="482" w:firstLineChars="200"/>
        <w:rPr>
          <w:rFonts w:hAnsi="宋体" w:eastAsia="宋体" w:cs="宋体"/>
          <w:color w:val="FF0000"/>
          <w:sz w:val="21"/>
          <w:szCs w:val="21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1.</w:t>
      </w:r>
      <w:r>
        <w:rPr>
          <w:rFonts w:hint="eastAsia"/>
        </w:rPr>
        <w:t xml:space="preserve"> 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500kV江城～通宝Ⅰ回（总长度</w:t>
      </w:r>
      <w:r>
        <w:rPr>
          <w:rFonts w:asciiTheme="minorEastAsia" w:hAnsiTheme="minorEastAsia" w:cstheme="minorEastAsia"/>
          <w:b/>
          <w:bCs/>
          <w:sz w:val="24"/>
          <w:szCs w:val="24"/>
        </w:rPr>
        <w:t>181.6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91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km，其中标段</w:t>
      </w:r>
      <w:r>
        <w:rPr>
          <w:rFonts w:asciiTheme="minorEastAsia" w:hAnsiTheme="minorEastAsia" w:cstheme="minorEastAsia"/>
          <w:b/>
          <w:bCs/>
          <w:sz w:val="24"/>
          <w:szCs w:val="24"/>
        </w:rPr>
        <w:t>3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长度</w:t>
      </w:r>
      <w:r>
        <w:rPr>
          <w:rFonts w:asciiTheme="minorEastAsia" w:hAnsiTheme="minorEastAsia" w:cstheme="minorEastAsia"/>
          <w:b/>
          <w:bCs/>
          <w:sz w:val="24"/>
          <w:szCs w:val="24"/>
        </w:rPr>
        <w:t>96.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984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km）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新建线路长度约</w:t>
      </w:r>
      <w:r>
        <w:rPr>
          <w:rFonts w:ascii="宋体" w:hAnsi="宋体" w:eastAsia="宋体" w:cs="宋体"/>
          <w:kern w:val="0"/>
          <w:szCs w:val="21"/>
        </w:rPr>
        <w:t>96.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984</w:t>
      </w:r>
      <w:r>
        <w:rPr>
          <w:rFonts w:hint="eastAsia" w:ascii="宋体" w:hAnsi="宋体" w:eastAsia="宋体" w:cs="宋体"/>
          <w:kern w:val="0"/>
          <w:szCs w:val="21"/>
        </w:rPr>
        <w:t>km，单回路架设。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设计基本风速为27m/s（跨江处2</w:t>
      </w:r>
      <w:r>
        <w:rPr>
          <w:rFonts w:ascii="宋体" w:hAnsi="宋体" w:eastAsia="宋体" w:cs="宋体"/>
          <w:kern w:val="0"/>
          <w:szCs w:val="21"/>
        </w:rPr>
        <w:t>9</w:t>
      </w:r>
      <w:r>
        <w:rPr>
          <w:rFonts w:hint="eastAsia" w:ascii="宋体" w:hAnsi="宋体" w:eastAsia="宋体" w:cs="宋体"/>
          <w:kern w:val="0"/>
          <w:szCs w:val="21"/>
        </w:rPr>
        <w:t>m</w:t>
      </w:r>
      <w:r>
        <w:rPr>
          <w:rFonts w:ascii="宋体" w:hAnsi="宋体" w:eastAsia="宋体" w:cs="宋体"/>
          <w:kern w:val="0"/>
          <w:szCs w:val="21"/>
        </w:rPr>
        <w:t>/s</w:t>
      </w:r>
      <w:r>
        <w:rPr>
          <w:rFonts w:hint="eastAsia" w:ascii="宋体" w:hAnsi="宋体" w:eastAsia="宋体" w:cs="宋体"/>
          <w:kern w:val="0"/>
          <w:szCs w:val="21"/>
        </w:rPr>
        <w:t>），设计覆冰为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mm、1</w:t>
      </w:r>
      <w:r>
        <w:rPr>
          <w:rFonts w:ascii="宋体" w:hAnsi="宋体" w:eastAsia="宋体" w:cs="宋体"/>
          <w:kern w:val="0"/>
          <w:szCs w:val="21"/>
        </w:rPr>
        <w:t>0</w:t>
      </w:r>
      <w:r>
        <w:rPr>
          <w:rFonts w:hint="eastAsia" w:ascii="宋体" w:hAnsi="宋体" w:eastAsia="宋体" w:cs="宋体"/>
          <w:kern w:val="0"/>
          <w:szCs w:val="21"/>
        </w:rPr>
        <w:t>mm。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导线采用4分裂JL/LB20A-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00/</w:t>
      </w:r>
      <w:r>
        <w:rPr>
          <w:rFonts w:ascii="宋体" w:hAnsi="宋体" w:eastAsia="宋体" w:cs="宋体"/>
          <w:kern w:val="0"/>
          <w:szCs w:val="21"/>
        </w:rPr>
        <w:t>45</w:t>
      </w:r>
      <w:r>
        <w:rPr>
          <w:rFonts w:hint="eastAsia" w:ascii="宋体" w:hAnsi="宋体" w:eastAsia="宋体" w:cs="宋体"/>
          <w:kern w:val="0"/>
          <w:szCs w:val="21"/>
        </w:rPr>
        <w:t>铝包钢芯铝绞线；新建线路全线架设1根</w:t>
      </w:r>
      <w:r>
        <w:rPr>
          <w:rFonts w:ascii="宋体" w:hAnsi="宋体" w:eastAsia="宋体" w:cs="宋体"/>
          <w:kern w:val="0"/>
          <w:szCs w:val="21"/>
        </w:rPr>
        <w:t>72</w:t>
      </w:r>
      <w:r>
        <w:rPr>
          <w:rFonts w:hint="eastAsia" w:ascii="宋体" w:hAnsi="宋体" w:eastAsia="宋体" w:cs="宋体"/>
          <w:kern w:val="0"/>
          <w:szCs w:val="21"/>
        </w:rPr>
        <w:t>芯OPGW-150光缆和1根JLB27-150普通地线。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全线采用自立式角钢塔。单回路直线塔采用导线水平排列的酒杯型塔，单回路耐张塔采用导线三角排列的干字型塔。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杆塔基础采用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挖孔桩基础、掏挖式基础、直柱板式基础、岩石基础</w:t>
      </w:r>
      <w:r>
        <w:rPr>
          <w:rFonts w:hint="eastAsia" w:ascii="宋体" w:hAnsi="宋体" w:eastAsia="宋体" w:cs="宋体"/>
          <w:kern w:val="0"/>
          <w:szCs w:val="21"/>
        </w:rPr>
        <w:t>等型式。</w:t>
      </w:r>
    </w:p>
    <w:p>
      <w:pPr>
        <w:pStyle w:val="2"/>
        <w:spacing w:line="360" w:lineRule="auto"/>
        <w:ind w:firstLine="482" w:firstLineChars="200"/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2. 500kV江城～通宝Ⅱ回（总长度</w:t>
      </w:r>
      <w:r>
        <w:rPr>
          <w:rFonts w:asciiTheme="minorEastAsia" w:hAnsiTheme="minorEastAsia" w:cstheme="minorEastAsia"/>
          <w:b/>
          <w:bCs/>
          <w:sz w:val="24"/>
          <w:szCs w:val="24"/>
        </w:rPr>
        <w:t>179.6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58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km，其中标段</w:t>
      </w:r>
      <w:r>
        <w:rPr>
          <w:rFonts w:asciiTheme="minorEastAsia" w:hAnsiTheme="minorEastAsia" w:cstheme="minorEastAsia"/>
          <w:b/>
          <w:bCs/>
          <w:sz w:val="24"/>
          <w:szCs w:val="24"/>
        </w:rPr>
        <w:t>3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长度</w:t>
      </w:r>
      <w:r>
        <w:rPr>
          <w:rFonts w:asciiTheme="minorEastAsia" w:hAnsiTheme="minorEastAsia" w:cstheme="minorEastAsia"/>
          <w:b/>
          <w:bCs/>
          <w:sz w:val="24"/>
          <w:szCs w:val="24"/>
        </w:rPr>
        <w:t>95.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249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km）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新建线路长度约</w:t>
      </w:r>
      <w:r>
        <w:rPr>
          <w:rFonts w:ascii="宋体" w:hAnsi="宋体" w:eastAsia="宋体" w:cs="宋体"/>
          <w:kern w:val="0"/>
          <w:szCs w:val="21"/>
        </w:rPr>
        <w:t>95.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249</w:t>
      </w:r>
      <w:r>
        <w:rPr>
          <w:rFonts w:hint="eastAsia" w:ascii="宋体" w:hAnsi="宋体" w:eastAsia="宋体" w:cs="宋体"/>
          <w:kern w:val="0"/>
          <w:szCs w:val="21"/>
        </w:rPr>
        <w:t>km，单回路架设。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设计基本风速为27m/s（跨江处2</w:t>
      </w:r>
      <w:r>
        <w:rPr>
          <w:rFonts w:ascii="宋体" w:hAnsi="宋体" w:eastAsia="宋体" w:cs="宋体"/>
          <w:kern w:val="0"/>
          <w:szCs w:val="21"/>
        </w:rPr>
        <w:t>9</w:t>
      </w:r>
      <w:r>
        <w:rPr>
          <w:rFonts w:hint="eastAsia" w:ascii="宋体" w:hAnsi="宋体" w:eastAsia="宋体" w:cs="宋体"/>
          <w:kern w:val="0"/>
          <w:szCs w:val="21"/>
        </w:rPr>
        <w:t>m</w:t>
      </w:r>
      <w:r>
        <w:rPr>
          <w:rFonts w:ascii="宋体" w:hAnsi="宋体" w:eastAsia="宋体" w:cs="宋体"/>
          <w:kern w:val="0"/>
          <w:szCs w:val="21"/>
        </w:rPr>
        <w:t>/s</w:t>
      </w:r>
      <w:r>
        <w:rPr>
          <w:rFonts w:hint="eastAsia" w:ascii="宋体" w:hAnsi="宋体" w:eastAsia="宋体" w:cs="宋体"/>
          <w:kern w:val="0"/>
          <w:szCs w:val="21"/>
        </w:rPr>
        <w:t>），设计覆冰为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mm、1</w:t>
      </w:r>
      <w:r>
        <w:rPr>
          <w:rFonts w:ascii="宋体" w:hAnsi="宋体" w:eastAsia="宋体" w:cs="宋体"/>
          <w:kern w:val="0"/>
          <w:szCs w:val="21"/>
        </w:rPr>
        <w:t>0</w:t>
      </w:r>
      <w:r>
        <w:rPr>
          <w:rFonts w:hint="eastAsia" w:ascii="宋体" w:hAnsi="宋体" w:eastAsia="宋体" w:cs="宋体"/>
          <w:kern w:val="0"/>
          <w:szCs w:val="21"/>
        </w:rPr>
        <w:t>mm。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导线采用4分裂JL/LB20A-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00/</w:t>
      </w:r>
      <w:r>
        <w:rPr>
          <w:rFonts w:ascii="宋体" w:hAnsi="宋体" w:eastAsia="宋体" w:cs="宋体"/>
          <w:kern w:val="0"/>
          <w:szCs w:val="21"/>
        </w:rPr>
        <w:t>45</w:t>
      </w:r>
      <w:r>
        <w:rPr>
          <w:rFonts w:hint="eastAsia" w:ascii="宋体" w:hAnsi="宋体" w:eastAsia="宋体" w:cs="宋体"/>
          <w:kern w:val="0"/>
          <w:szCs w:val="21"/>
        </w:rPr>
        <w:t>铝包钢芯铝绞线；新建线路全线架设1根</w:t>
      </w:r>
      <w:r>
        <w:rPr>
          <w:rFonts w:ascii="宋体" w:hAnsi="宋体" w:eastAsia="宋体" w:cs="宋体"/>
          <w:kern w:val="0"/>
          <w:szCs w:val="21"/>
        </w:rPr>
        <w:t>72</w:t>
      </w:r>
      <w:r>
        <w:rPr>
          <w:rFonts w:hint="eastAsia" w:ascii="宋体" w:hAnsi="宋体" w:eastAsia="宋体" w:cs="宋体"/>
          <w:kern w:val="0"/>
          <w:szCs w:val="21"/>
        </w:rPr>
        <w:t>芯OPGW-150光缆和1根JLB27-150普通地线。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全线采用自立式角钢塔。单回路直线塔采用导线水平排列的酒杯型塔，单回路耐张塔采用导线三角排列的干字型塔。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杆塔基础采用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挖孔桩基础、掏挖式基础、直柱板式基础、岩石基础</w:t>
      </w:r>
      <w:r>
        <w:rPr>
          <w:rFonts w:hint="eastAsia" w:ascii="宋体" w:hAnsi="宋体" w:eastAsia="宋体" w:cs="宋体"/>
          <w:kern w:val="0"/>
          <w:szCs w:val="21"/>
        </w:rPr>
        <w:t>等型式。</w:t>
      </w:r>
    </w:p>
    <w:p>
      <w:pPr>
        <w:pStyle w:val="2"/>
        <w:spacing w:line="360" w:lineRule="auto"/>
        <w:ind w:firstLine="400" w:firstLineChars="200"/>
      </w:pPr>
    </w:p>
    <w:p>
      <w:pPr>
        <w:pStyle w:val="2"/>
        <w:numPr>
          <w:ilvl w:val="0"/>
          <w:numId w:val="3"/>
        </w:numPr>
        <w:adjustRightInd w:val="0"/>
        <w:snapToGrid w:val="0"/>
        <w:spacing w:line="360" w:lineRule="auto"/>
        <w:ind w:firstLine="0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</w:rPr>
        <w:t xml:space="preserve">采购范围 </w:t>
      </w:r>
    </w:p>
    <w:p>
      <w:pPr>
        <w:pStyle w:val="8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/>
        </w:rPr>
        <w:t xml:space="preserve">    </w:t>
      </w:r>
      <w:r>
        <w:rPr>
          <w:rFonts w:hint="eastAsia" w:ascii="宋体" w:hAnsi="宋体" w:eastAsia="宋体" w:cs="宋体"/>
          <w:kern w:val="0"/>
          <w:szCs w:val="21"/>
        </w:rPr>
        <w:t>施工图纸范围内的施工准备，施工（含通信），竣工结算，缺陷责任期，电子化移交的全过程监理。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pStyle w:val="2"/>
        <w:spacing w:line="360" w:lineRule="auto"/>
        <w:jc w:val="center"/>
        <w:rPr>
          <w:rFonts w:hAnsi="宋体" w:eastAsia="宋体" w:cs="宋体"/>
          <w:b/>
          <w:bCs/>
          <w:snapToGrid w:val="0"/>
          <w:sz w:val="32"/>
          <w:szCs w:val="32"/>
        </w:rPr>
      </w:pPr>
      <w:r>
        <w:rPr>
          <w:rFonts w:hint="eastAsia" w:hAnsi="宋体" w:eastAsia="宋体" w:cs="宋体"/>
          <w:b/>
          <w:bCs/>
          <w:snapToGrid w:val="0"/>
          <w:sz w:val="32"/>
          <w:szCs w:val="32"/>
        </w:rPr>
        <w:t>附件A-项目信息清单</w:t>
      </w:r>
    </w:p>
    <w:p>
      <w:pPr>
        <w:pStyle w:val="2"/>
        <w:spacing w:line="360" w:lineRule="auto"/>
        <w:jc w:val="center"/>
        <w:rPr>
          <w:rFonts w:hAnsi="宋体" w:eastAsia="宋体" w:cs="宋体"/>
          <w:b/>
          <w:bCs/>
          <w:snapToGrid w:val="0"/>
          <w:sz w:val="32"/>
          <w:szCs w:val="32"/>
        </w:rPr>
      </w:pPr>
    </w:p>
    <w:p>
      <w:pPr>
        <w:pStyle w:val="2"/>
        <w:adjustRightInd w:val="0"/>
        <w:snapToGrid w:val="0"/>
        <w:spacing w:line="360" w:lineRule="auto"/>
        <w:ind w:firstLine="562" w:firstLineChars="200"/>
        <w:jc w:val="center"/>
        <w:outlineLvl w:val="0"/>
        <w:rPr>
          <w:rFonts w:hAnsi="宋体" w:cs="宋体"/>
          <w:b/>
          <w:color w:val="FF0000"/>
          <w:sz w:val="28"/>
          <w:szCs w:val="28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名称：</w:t>
      </w:r>
      <w:r>
        <w:rPr>
          <w:rFonts w:hint="eastAsia" w:ascii="宋体" w:hAnsi="宋体" w:eastAsia="宋体" w:cs="宋体"/>
          <w:b/>
          <w:bCs/>
          <w:snapToGrid w:val="0"/>
          <w:sz w:val="28"/>
          <w:szCs w:val="28"/>
          <w:lang w:val="en-US" w:eastAsia="zh-CN"/>
        </w:rPr>
        <w:t xml:space="preserve"> 500kV德宏变扩建工程</w:t>
      </w:r>
      <w:r>
        <w:rPr>
          <w:rFonts w:hint="eastAsia" w:ascii="宋体" w:hAnsi="宋体" w:eastAsia="宋体" w:cs="宋体"/>
          <w:b/>
          <w:bCs/>
          <w:snapToGrid w:val="0"/>
          <w:sz w:val="28"/>
          <w:szCs w:val="28"/>
        </w:rPr>
        <w:t>监理</w:t>
      </w:r>
    </w:p>
    <w:tbl>
      <w:tblPr>
        <w:tblStyle w:val="12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default" w:hAnsi="宋体" w:eastAsia="宋体" w:cs="宋体"/>
                <w:snapToGrid w:val="0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云南电网有限责任公司</w:t>
            </w:r>
            <w:r>
              <w:rPr>
                <w:rFonts w:hint="eastAsia" w:hAnsi="宋体" w:eastAsia="宋体" w:cs="宋体"/>
                <w:sz w:val="21"/>
                <w:szCs w:val="21"/>
                <w:lang w:val="en-US" w:eastAsia="zh-CN"/>
              </w:rPr>
              <w:t>德宏供电局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default" w:hAnsi="宋体" w:eastAsia="宋体" w:cs="宋体"/>
                <w:snapToGrid w:val="0"/>
                <w:sz w:val="21"/>
                <w:szCs w:val="21"/>
                <w:lang w:val="en-US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云南省</w:t>
            </w:r>
            <w:r>
              <w:rPr>
                <w:rFonts w:hint="eastAsia" w:hAnsi="宋体" w:eastAsia="宋体" w:cs="宋体"/>
                <w:sz w:val="21"/>
                <w:szCs w:val="21"/>
                <w:lang w:val="en-US" w:eastAsia="zh-CN"/>
              </w:rPr>
              <w:t>德宏州盈江县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南方电网规划〔2025〕72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cya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云发改能源〔2025〕950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cya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云电规划〔2025〕881 号</w:t>
            </w:r>
          </w:p>
        </w:tc>
      </w:tr>
    </w:tbl>
    <w:p>
      <w:pPr>
        <w:pStyle w:val="2"/>
        <w:adjustRightInd w:val="0"/>
        <w:snapToGrid w:val="0"/>
        <w:spacing w:line="360" w:lineRule="auto"/>
        <w:ind w:firstLine="562" w:firstLineChars="200"/>
        <w:jc w:val="center"/>
        <w:outlineLvl w:val="0"/>
        <w:rPr>
          <w:rFonts w:hAnsi="宋体" w:cs="宋体"/>
          <w:b/>
          <w:color w:val="FF0000"/>
          <w:sz w:val="28"/>
          <w:szCs w:val="28"/>
        </w:rPr>
      </w:pPr>
    </w:p>
    <w:p>
      <w:pPr>
        <w:pStyle w:val="2"/>
        <w:numPr>
          <w:ilvl w:val="0"/>
          <w:numId w:val="4"/>
        </w:numPr>
        <w:adjustRightInd w:val="0"/>
        <w:snapToGrid w:val="0"/>
        <w:spacing w:line="360" w:lineRule="auto"/>
        <w:ind w:firstLine="482" w:firstLineChars="200"/>
        <w:outlineLvl w:val="0"/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</w:rPr>
        <w:t>建设规模</w:t>
      </w:r>
    </w:p>
    <w:p>
      <w:pPr>
        <w:pStyle w:val="2"/>
        <w:spacing w:line="360" w:lineRule="auto"/>
        <w:ind w:firstLine="482" w:firstLineChars="200"/>
        <w:rPr>
          <w:rFonts w:hint="eastAsia"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1.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500kV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德宏变扩建工程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 xml:space="preserve"> </w:t>
      </w:r>
    </w:p>
    <w:p>
      <w:pPr>
        <w:pStyle w:val="2"/>
        <w:numPr>
          <w:ilvl w:val="0"/>
          <w:numId w:val="5"/>
        </w:numPr>
        <w:adjustRightInd w:val="0"/>
        <w:snapToGrid w:val="0"/>
        <w:spacing w:line="360" w:lineRule="auto"/>
        <w:ind w:leftChars="0" w:firstLine="420" w:firstLineChars="200"/>
        <w:outlineLvl w:val="0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扩建750兆伏安主变压器1台，新增主变低压侧装设2组60兆乏低压并联电抗器，新增主变中性点小电抗1台；本期新增#3主变500kV侧入串，扩建一个不完整串（即第三串），安装2台断路器，#3主变高压侧接入第三串IM侧。</w:t>
      </w:r>
    </w:p>
    <w:p>
      <w:pPr>
        <w:pStyle w:val="2"/>
        <w:numPr>
          <w:ilvl w:val="0"/>
          <w:numId w:val="5"/>
        </w:numPr>
        <w:adjustRightInd w:val="0"/>
        <w:snapToGrid w:val="0"/>
        <w:spacing w:line="360" w:lineRule="auto"/>
        <w:ind w:left="0" w:leftChars="0" w:firstLine="420" w:firstLineChars="200"/>
        <w:outlineLvl w:val="0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本期新增#3主变220kV侧接入西北侧最后一个备用间隔，本期安装1组断路器。本期新增35千伏III段母线，采用单母线单元接线，本期安装3组断路器。</w:t>
      </w:r>
    </w:p>
    <w:p>
      <w:pPr>
        <w:pStyle w:val="2"/>
        <w:numPr>
          <w:ilvl w:val="0"/>
          <w:numId w:val="0"/>
        </w:numPr>
        <w:adjustRightInd w:val="0"/>
        <w:snapToGrid w:val="0"/>
        <w:spacing w:line="360" w:lineRule="auto"/>
        <w:ind w:leftChars="200"/>
        <w:outlineLvl w:val="0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（3）配套建设二次、土建、暖通、水工工程。</w:t>
      </w:r>
    </w:p>
    <w:p>
      <w:pPr>
        <w:pStyle w:val="2"/>
        <w:numPr>
          <w:ilvl w:val="0"/>
          <w:numId w:val="0"/>
        </w:numPr>
        <w:adjustRightInd w:val="0"/>
        <w:snapToGrid w:val="0"/>
        <w:spacing w:line="360" w:lineRule="auto"/>
        <w:ind w:leftChars="0" w:firstLine="241" w:firstLineChars="100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  <w:lang w:val="en-US" w:eastAsia="zh-CN"/>
        </w:rPr>
        <w:t>二、</w:t>
      </w:r>
      <w:r>
        <w:rPr>
          <w:rFonts w:hint="eastAsia" w:hAnsi="宋体" w:eastAsia="宋体" w:cs="宋体"/>
          <w:b/>
          <w:sz w:val="24"/>
          <w:szCs w:val="24"/>
        </w:rPr>
        <w:t xml:space="preserve">采购范围 </w:t>
      </w:r>
    </w:p>
    <w:p>
      <w:pPr>
        <w:spacing w:line="360" w:lineRule="auto"/>
        <w:ind w:firstLine="42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施工图纸范围内的施工准备，施工，竣工结算，缺陷责任期，电子化移交的全过程监理。</w:t>
      </w:r>
    </w:p>
    <w:p>
      <w:r>
        <w:br w:type="page"/>
      </w:r>
    </w:p>
    <w:p>
      <w:pPr>
        <w:pStyle w:val="2"/>
        <w:spacing w:line="360" w:lineRule="auto"/>
        <w:jc w:val="center"/>
        <w:rPr>
          <w:rFonts w:hAnsi="宋体" w:eastAsia="宋体" w:cs="宋体"/>
          <w:b/>
          <w:bCs/>
          <w:snapToGrid w:val="0"/>
          <w:sz w:val="32"/>
          <w:szCs w:val="32"/>
        </w:rPr>
      </w:pPr>
      <w:r>
        <w:rPr>
          <w:rFonts w:hint="eastAsia" w:hAnsi="宋体" w:eastAsia="宋体" w:cs="宋体"/>
          <w:b/>
          <w:bCs/>
          <w:snapToGrid w:val="0"/>
          <w:sz w:val="32"/>
          <w:szCs w:val="32"/>
        </w:rPr>
        <w:t>附件A-项目信息清单</w:t>
      </w:r>
    </w:p>
    <w:p>
      <w:pPr>
        <w:pStyle w:val="2"/>
        <w:spacing w:line="360" w:lineRule="auto"/>
        <w:jc w:val="center"/>
        <w:rPr>
          <w:rFonts w:hAnsi="宋体" w:eastAsia="宋体" w:cs="宋体"/>
          <w:b/>
          <w:bCs/>
          <w:snapToGrid w:val="0"/>
          <w:sz w:val="32"/>
          <w:szCs w:val="32"/>
        </w:rPr>
      </w:pPr>
    </w:p>
    <w:p>
      <w:pPr>
        <w:pStyle w:val="2"/>
        <w:adjustRightInd w:val="0"/>
        <w:snapToGrid w:val="0"/>
        <w:spacing w:line="360" w:lineRule="auto"/>
        <w:ind w:firstLine="562" w:firstLineChars="200"/>
        <w:jc w:val="left"/>
        <w:outlineLvl w:val="0"/>
        <w:rPr>
          <w:rFonts w:hAnsi="宋体" w:cs="宋体"/>
          <w:b/>
          <w:color w:val="FF0000"/>
          <w:sz w:val="28"/>
          <w:szCs w:val="28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名称：</w:t>
      </w:r>
      <w:r>
        <w:rPr>
          <w:rFonts w:hint="default" w:ascii="宋体" w:hAnsi="宋体" w:eastAsia="宋体" w:cs="宋体"/>
          <w:b/>
          <w:bCs/>
          <w:snapToGrid w:val="0"/>
          <w:sz w:val="28"/>
          <w:szCs w:val="28"/>
        </w:rPr>
        <w:t>500</w:t>
      </w:r>
      <w:r>
        <w:rPr>
          <w:rFonts w:hint="eastAsia" w:ascii="宋体" w:hAnsi="宋体" w:eastAsia="宋体" w:cs="宋体"/>
          <w:b/>
          <w:bCs/>
          <w:snapToGrid w:val="0"/>
          <w:sz w:val="28"/>
          <w:szCs w:val="28"/>
          <w:lang w:val="en-US" w:eastAsia="zh-CN"/>
        </w:rPr>
        <w:t>kV</w:t>
      </w:r>
      <w:r>
        <w:rPr>
          <w:rFonts w:hint="default" w:ascii="宋体" w:hAnsi="宋体" w:eastAsia="宋体" w:cs="宋体"/>
          <w:b/>
          <w:bCs/>
          <w:snapToGrid w:val="0"/>
          <w:sz w:val="28"/>
          <w:szCs w:val="28"/>
        </w:rPr>
        <w:t>和平变扩建主变工程</w:t>
      </w:r>
      <w:r>
        <w:rPr>
          <w:rFonts w:hint="eastAsia" w:ascii="宋体" w:hAnsi="宋体" w:eastAsia="宋体" w:cs="宋体"/>
          <w:b/>
          <w:bCs/>
          <w:snapToGrid w:val="0"/>
          <w:sz w:val="28"/>
          <w:szCs w:val="28"/>
        </w:rPr>
        <w:t>监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理</w:t>
      </w:r>
    </w:p>
    <w:tbl>
      <w:tblPr>
        <w:tblStyle w:val="12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云南电网有限责任公司</w:t>
            </w:r>
            <w:r>
              <w:rPr>
                <w:rFonts w:hint="eastAsia" w:hAnsi="宋体" w:cs="宋体"/>
                <w:sz w:val="21"/>
                <w:szCs w:val="21"/>
              </w:rPr>
              <w:t>建设分公司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default" w:hAnsi="宋体" w:cs="宋体" w:eastAsiaTheme="minorEastAsia"/>
                <w:snapToGrid w:val="0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云南省</w:t>
            </w:r>
            <w:r>
              <w:rPr>
                <w:rFonts w:hint="eastAsia" w:hAnsi="宋体" w:cs="宋体"/>
                <w:sz w:val="21"/>
                <w:szCs w:val="21"/>
              </w:rPr>
              <w:t>楚雄</w:t>
            </w:r>
            <w:r>
              <w:rPr>
                <w:rFonts w:hint="eastAsia" w:hAnsi="宋体" w:cs="宋体"/>
                <w:sz w:val="21"/>
                <w:szCs w:val="21"/>
                <w:lang w:val="en-US" w:eastAsia="zh-CN"/>
              </w:rPr>
              <w:t>州禄丰市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ind w:firstLine="420" w:firstLineChars="200"/>
              <w:jc w:val="both"/>
              <w:outlineLvl w:val="0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南方电网规划〔2024〕146号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云发改能源〔2025〕1050号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cya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</w:rPr>
              <w:t>云电规划〔2025〕881号</w:t>
            </w:r>
          </w:p>
        </w:tc>
      </w:tr>
    </w:tbl>
    <w:p>
      <w:pPr>
        <w:pStyle w:val="2"/>
        <w:adjustRightInd w:val="0"/>
        <w:snapToGrid w:val="0"/>
        <w:spacing w:line="360" w:lineRule="auto"/>
        <w:ind w:firstLine="562" w:firstLineChars="200"/>
        <w:jc w:val="center"/>
        <w:outlineLvl w:val="0"/>
        <w:rPr>
          <w:rFonts w:hAnsi="宋体" w:cs="宋体"/>
          <w:b/>
          <w:color w:val="FF0000"/>
          <w:sz w:val="28"/>
          <w:szCs w:val="28"/>
        </w:rPr>
      </w:pPr>
    </w:p>
    <w:p>
      <w:pPr>
        <w:pStyle w:val="2"/>
        <w:numPr>
          <w:ilvl w:val="0"/>
          <w:numId w:val="6"/>
        </w:numPr>
        <w:adjustRightInd w:val="0"/>
        <w:snapToGrid w:val="0"/>
        <w:spacing w:line="360" w:lineRule="auto"/>
        <w:ind w:firstLine="482" w:firstLineChars="200"/>
        <w:outlineLvl w:val="0"/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</w:rPr>
        <w:t>建设规模</w:t>
      </w:r>
    </w:p>
    <w:p>
      <w:pPr>
        <w:pStyle w:val="2"/>
        <w:spacing w:line="360" w:lineRule="auto"/>
        <w:ind w:firstLine="482" w:firstLineChars="200"/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1.500kV和平变扩建主变工程</w:t>
      </w:r>
      <w:r>
        <w:rPr>
          <w:rFonts w:asciiTheme="minorEastAsia" w:hAnsiTheme="minorEastAsia" w:cstheme="minorEastAsia"/>
          <w:b/>
          <w:bCs/>
          <w:sz w:val="24"/>
          <w:szCs w:val="24"/>
        </w:rPr>
        <w:t xml:space="preserve"> </w:t>
      </w:r>
    </w:p>
    <w:p>
      <w:pPr>
        <w:pStyle w:val="2"/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期扩建750兆伏安主变压器1组；500千伏扩建1个主变进线间隔；220千伏超规模扩建1个主变进线间隔和4个出线间隔（无出线）；本期新建3号主变低压侧配置3组60兆乏低压并联电容器、2组60兆乏低压并联电抗器；在前期1号、2号主变低压侧各增设1组60兆乏低压并联电容器。本期超规模扩建3号主变及其相应的进出线间隔，需外扩围墙并新征用地，新征用地面积1.8597公顷，其中围墙内用地面积0.9638公顷。新征用地不涉及基本农田及生态红线。随和平变扩建间隔调整220千伏和腰I、II回线路1根24芯光缆，与原架空光缆接续。</w:t>
      </w:r>
    </w:p>
    <w:p>
      <w:pPr>
        <w:pStyle w:val="2"/>
        <w:spacing w:line="360" w:lineRule="auto"/>
        <w:ind w:firstLine="482" w:firstLineChars="200"/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2.500kV草和乙线线路工程</w:t>
      </w:r>
    </w:p>
    <w:p>
      <w:pPr>
        <w:pStyle w:val="2"/>
        <w:spacing w:line="360" w:lineRule="auto"/>
        <w:ind w:firstLine="420" w:firstLineChars="200"/>
        <w:rPr>
          <w:rFonts w:hint="eastAsia" w:hAnsi="宋体" w:eastAsia="宋体" w:cs="宋体"/>
          <w:sz w:val="21"/>
          <w:szCs w:val="21"/>
        </w:rPr>
      </w:pPr>
      <w:r>
        <w:rPr>
          <w:rFonts w:hint="eastAsia" w:hAnsi="宋体" w:eastAsia="宋体" w:cs="宋体"/>
          <w:sz w:val="21"/>
          <w:szCs w:val="21"/>
        </w:rPr>
        <w:t>根据系统规划及现有扩建场地条件，需将已建的500千伏草和乙线以及220千伏和腰Ⅰ、Ⅱ回线进行局部迁改。在500千伏草和乙线N64-N65档中新建1基铁塔，使500千伏草和乙线对220千伏配电场地东南侧扩建场地的安全距离满足规程规范要求。本工程迁改方案新建500千伏线路长度约1.1km，按单回路架设，新建线路位于云南省楚雄州禄丰市金山镇，地形为一般山地和丘陵，海拔高度分布在1680m-1830m之间。</w:t>
      </w:r>
    </w:p>
    <w:p>
      <w:pPr>
        <w:pStyle w:val="2"/>
        <w:spacing w:line="360" w:lineRule="auto"/>
        <w:ind w:firstLine="420" w:firstLineChars="200"/>
        <w:rPr>
          <w:rFonts w:hAnsi="宋体" w:eastAsia="宋体" w:cs="宋体"/>
          <w:sz w:val="21"/>
          <w:szCs w:val="21"/>
        </w:rPr>
      </w:pPr>
      <w:r>
        <w:rPr>
          <w:rFonts w:hint="eastAsia" w:hAnsi="宋体" w:eastAsia="宋体" w:cs="宋体"/>
          <w:sz w:val="21"/>
          <w:szCs w:val="21"/>
        </w:rPr>
        <w:t>本工程需拆除原500千伏草和乙线导、地线路径长度约1.1km，不拆铁塔。</w:t>
      </w:r>
    </w:p>
    <w:p>
      <w:pPr>
        <w:pStyle w:val="2"/>
        <w:spacing w:line="360" w:lineRule="auto"/>
        <w:ind w:firstLine="482" w:firstLineChars="200"/>
        <w:rPr>
          <w:rFonts w:hint="eastAsia"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3.220kV和腰Ⅰ、Ⅱ回线线路工程</w:t>
      </w:r>
    </w:p>
    <w:p>
      <w:pPr>
        <w:pStyle w:val="2"/>
        <w:spacing w:line="360" w:lineRule="auto"/>
        <w:ind w:firstLine="420" w:firstLineChars="200"/>
        <w:rPr>
          <w:rFonts w:hAnsi="宋体" w:eastAsia="宋体" w:cs="宋体"/>
          <w:sz w:val="21"/>
          <w:szCs w:val="21"/>
          <w:shd w:val="clear" w:color="auto" w:fill="FFFFFF"/>
        </w:rPr>
      </w:pPr>
      <w:r>
        <w:rPr>
          <w:rFonts w:hint="eastAsia" w:hAnsi="宋体" w:eastAsia="宋体" w:cs="宋体"/>
          <w:sz w:val="21"/>
          <w:szCs w:val="21"/>
        </w:rPr>
        <w:t>根据系统规划，将220千伏和腰Ⅰ、Ⅱ回线由原和平变西南侧220千伏出线从由东南往西北数第二、一两个出线间隔，调整至本期扩建的220千伏配电场从东南往西北数第四、三两个出线间隔。本工程推荐迁改方案新建220千伏线路长度约0.45km双回路+0.8km单回路，新建线路位于云南省楚雄州禄丰市金山镇，地形为一般山地和丘陵，海拔高度分布在1700m-1850m之间。本工程需拆除原220千伏和腰Ⅰ线长约0.734km、拆除原220千伏和腰Ⅱ线长约0.723km，拆除220千伏双回铁塔2基。</w:t>
      </w:r>
    </w:p>
    <w:p>
      <w:pPr>
        <w:pStyle w:val="2"/>
        <w:numPr>
          <w:ilvl w:val="0"/>
          <w:numId w:val="6"/>
        </w:numPr>
        <w:adjustRightInd w:val="0"/>
        <w:snapToGrid w:val="0"/>
        <w:spacing w:line="360" w:lineRule="auto"/>
        <w:ind w:firstLine="0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</w:rPr>
        <w:t xml:space="preserve">采购范围 </w:t>
      </w:r>
    </w:p>
    <w:p>
      <w:pPr>
        <w:pStyle w:val="6"/>
        <w:jc w:val="both"/>
        <w:rPr>
          <w:rFonts w:hint="eastAsia" w:ascii="宋体" w:hAnsi="宋体" w:eastAsia="宋体" w:cs="宋体"/>
          <w:b w:val="0"/>
          <w:bCs w:val="0"/>
          <w:i w:val="0"/>
          <w:iCs/>
          <w:color w:val="auto"/>
          <w:kern w:val="0"/>
          <w:sz w:val="21"/>
          <w:szCs w:val="21"/>
          <w:lang w:val="en-US" w:eastAsia="zh-CN" w:bidi="ar-SA"/>
        </w:rPr>
      </w:pPr>
      <w:r>
        <w:rPr>
          <w:rFonts w:hint="eastAsia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i w:val="0"/>
          <w:iCs/>
          <w:color w:val="auto"/>
          <w:kern w:val="0"/>
          <w:sz w:val="21"/>
          <w:szCs w:val="21"/>
          <w:lang w:val="en-US" w:eastAsia="zh-CN" w:bidi="ar-SA"/>
        </w:rPr>
        <w:t>施工图纸范围内的施工准备（含三通一平），施工（含通信），竣工结算，缺陷责任期，电子化移交的全过程监理。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pStyle w:val="2"/>
        <w:spacing w:line="360" w:lineRule="auto"/>
        <w:jc w:val="center"/>
        <w:rPr>
          <w:rFonts w:hAnsi="宋体" w:eastAsia="宋体" w:cs="宋体"/>
          <w:b/>
          <w:bCs/>
          <w:snapToGrid w:val="0"/>
          <w:sz w:val="32"/>
          <w:szCs w:val="32"/>
        </w:rPr>
      </w:pPr>
      <w:r>
        <w:rPr>
          <w:rFonts w:hint="eastAsia" w:hAnsi="宋体" w:eastAsia="宋体" w:cs="宋体"/>
          <w:b/>
          <w:bCs/>
          <w:snapToGrid w:val="0"/>
          <w:sz w:val="32"/>
          <w:szCs w:val="32"/>
        </w:rPr>
        <w:t>附件A-项目信息清单</w:t>
      </w:r>
    </w:p>
    <w:p>
      <w:pPr>
        <w:pStyle w:val="2"/>
        <w:spacing w:line="360" w:lineRule="auto"/>
        <w:jc w:val="center"/>
        <w:rPr>
          <w:rFonts w:hAnsi="宋体" w:eastAsia="宋体" w:cs="宋体"/>
          <w:b/>
          <w:bCs/>
          <w:snapToGrid w:val="0"/>
          <w:sz w:val="32"/>
          <w:szCs w:val="32"/>
        </w:rPr>
      </w:pPr>
    </w:p>
    <w:p>
      <w:pPr>
        <w:pStyle w:val="2"/>
        <w:adjustRightInd w:val="0"/>
        <w:snapToGrid w:val="0"/>
        <w:spacing w:line="360" w:lineRule="auto"/>
        <w:ind w:firstLine="562" w:firstLineChars="200"/>
        <w:jc w:val="left"/>
        <w:outlineLvl w:val="0"/>
        <w:rPr>
          <w:rFonts w:hAnsi="宋体" w:cs="宋体"/>
          <w:b/>
          <w:color w:val="FF0000"/>
          <w:sz w:val="28"/>
          <w:szCs w:val="28"/>
          <w:highlight w:val="none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名称：</w:t>
      </w:r>
      <w:r>
        <w:rPr>
          <w:rFonts w:hint="eastAsia" w:hAnsi="宋体" w:eastAsia="宋体" w:cs="宋体"/>
          <w:b/>
          <w:bCs/>
          <w:snapToGrid w:val="0"/>
          <w:sz w:val="28"/>
          <w:szCs w:val="28"/>
          <w:highlight w:val="none"/>
        </w:rPr>
        <w:t>500千伏耿马变扩建电工程监理</w:t>
      </w:r>
    </w:p>
    <w:tbl>
      <w:tblPr>
        <w:tblStyle w:val="12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sz w:val="21"/>
                <w:szCs w:val="21"/>
                <w:highlight w:val="none"/>
              </w:rPr>
              <w:t>云南电网有限责任公司</w:t>
            </w:r>
            <w:r>
              <w:rPr>
                <w:rFonts w:hint="eastAsia" w:hAnsi="宋体" w:cs="宋体"/>
                <w:sz w:val="21"/>
                <w:szCs w:val="21"/>
                <w:highlight w:val="none"/>
              </w:rPr>
              <w:t>建设分公司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  <w:t>项目建设地点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sz w:val="21"/>
                <w:szCs w:val="21"/>
                <w:highlight w:val="none"/>
              </w:rPr>
              <w:t>云南省</w:t>
            </w:r>
            <w:r>
              <w:rPr>
                <w:rFonts w:hint="eastAsia" w:hAnsi="宋体" w:eastAsia="宋体" w:cs="宋体"/>
                <w:sz w:val="21"/>
                <w:szCs w:val="21"/>
                <w:highlight w:val="none"/>
                <w:lang w:val="en-US" w:eastAsia="zh-CN"/>
              </w:rPr>
              <w:t>临沧</w:t>
            </w:r>
            <w:r>
              <w:rPr>
                <w:rFonts w:hint="eastAsia" w:hAnsi="宋体" w:eastAsia="宋体" w:cs="宋体"/>
                <w:sz w:val="21"/>
                <w:szCs w:val="21"/>
                <w:highlight w:val="none"/>
              </w:rPr>
              <w:t>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  <w:t>可研批复文号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sz w:val="21"/>
                <w:szCs w:val="21"/>
                <w:highlight w:val="none"/>
              </w:rPr>
              <w:t>南方电网规划〔</w:t>
            </w:r>
            <w:r>
              <w:rPr>
                <w:rFonts w:hint="eastAsia" w:hAnsi="宋体" w:eastAsia="宋体" w:cs="宋体"/>
                <w:sz w:val="21"/>
                <w:szCs w:val="21"/>
                <w:highlight w:val="none"/>
                <w:lang w:val="en-US" w:eastAsia="zh-CN"/>
              </w:rPr>
              <w:t>2025</w:t>
            </w:r>
            <w:r>
              <w:rPr>
                <w:rFonts w:hint="eastAsia" w:hAnsi="宋体" w:eastAsia="宋体" w:cs="宋体"/>
                <w:sz w:val="21"/>
                <w:szCs w:val="21"/>
                <w:highlight w:val="none"/>
              </w:rPr>
              <w:t>〕</w:t>
            </w:r>
            <w:r>
              <w:rPr>
                <w:rFonts w:hint="eastAsia" w:hAnsi="宋体" w:eastAsia="宋体" w:cs="宋体"/>
                <w:sz w:val="21"/>
                <w:szCs w:val="21"/>
                <w:highlight w:val="none"/>
                <w:lang w:val="en-US" w:eastAsia="zh-CN"/>
              </w:rPr>
              <w:t>80</w:t>
            </w:r>
            <w:r>
              <w:rPr>
                <w:rFonts w:hint="eastAsia" w:hAnsi="宋体" w:eastAsia="宋体" w:cs="宋体"/>
                <w:sz w:val="21"/>
                <w:szCs w:val="21"/>
                <w:highlight w:val="none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sz w:val="21"/>
                <w:szCs w:val="21"/>
                <w:highlight w:val="none"/>
              </w:rPr>
              <w:t>云发改能源〔2025〕</w:t>
            </w:r>
            <w:r>
              <w:rPr>
                <w:rFonts w:hint="eastAsia" w:hAnsi="宋体" w:eastAsia="宋体" w:cs="宋体"/>
                <w:sz w:val="21"/>
                <w:szCs w:val="21"/>
                <w:highlight w:val="none"/>
                <w:lang w:val="en-US" w:eastAsia="zh-CN"/>
              </w:rPr>
              <w:t>947</w:t>
            </w:r>
            <w:r>
              <w:rPr>
                <w:rFonts w:hint="eastAsia" w:hAnsi="宋体" w:eastAsia="宋体" w:cs="宋体"/>
                <w:sz w:val="21"/>
                <w:szCs w:val="21"/>
                <w:highlight w:val="none"/>
              </w:rPr>
              <w:t xml:space="preserve">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  <w:highlight w:val="none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云电规划〔2025〕881号</w:t>
            </w:r>
          </w:p>
        </w:tc>
      </w:tr>
    </w:tbl>
    <w:p>
      <w:pPr>
        <w:pStyle w:val="2"/>
        <w:numPr>
          <w:ilvl w:val="0"/>
          <w:numId w:val="0"/>
        </w:numPr>
        <w:adjustRightInd w:val="0"/>
        <w:snapToGrid w:val="0"/>
        <w:spacing w:line="360" w:lineRule="auto"/>
        <w:ind w:leftChars="0"/>
        <w:jc w:val="left"/>
        <w:outlineLvl w:val="0"/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  <w:lang w:val="en-US" w:eastAsia="zh-CN"/>
        </w:rPr>
        <w:t>一、</w:t>
      </w:r>
      <w:r>
        <w:rPr>
          <w:rFonts w:hint="eastAsia" w:hAnsi="宋体" w:eastAsia="宋体" w:cs="宋体"/>
          <w:b/>
          <w:sz w:val="24"/>
          <w:szCs w:val="24"/>
        </w:rPr>
        <w:t>建设规模</w:t>
      </w:r>
    </w:p>
    <w:p>
      <w:pPr>
        <w:pStyle w:val="2"/>
        <w:spacing w:line="360" w:lineRule="auto"/>
        <w:ind w:firstLine="482" w:firstLineChars="200"/>
        <w:rPr>
          <w:rFonts w:asciiTheme="minorEastAsia" w:hAnsiTheme="minorEastAsia" w:cstheme="minorEastAsia"/>
          <w:b/>
          <w:bCs/>
          <w:sz w:val="24"/>
          <w:szCs w:val="24"/>
          <w:highlight w:val="none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highlight w:val="none"/>
        </w:rPr>
        <w:t>1. 500千伏耿马变扩建工程</w:t>
      </w:r>
    </w:p>
    <w:p>
      <w:pPr>
        <w:spacing w:line="360" w:lineRule="auto"/>
        <w:ind w:left="420" w:firstLine="420" w:firstLineChars="200"/>
        <w:rPr>
          <w:rFonts w:ascii="宋体" w:hAnsi="宋体" w:eastAsia="宋体" w:cs="宋体"/>
          <w:kern w:val="0"/>
          <w:szCs w:val="21"/>
          <w:highlight w:val="none"/>
        </w:rPr>
      </w:pPr>
      <w:r>
        <w:rPr>
          <w:rFonts w:hint="eastAsia" w:ascii="宋体" w:hAnsi="宋体" w:eastAsia="宋体" w:cs="宋体"/>
          <w:kern w:val="0"/>
          <w:szCs w:val="21"/>
          <w:highlight w:val="none"/>
        </w:rPr>
        <w:t>（1）主变压器：远期规模 4×1000MVA，</w:t>
      </w:r>
      <w:r>
        <w:rPr>
          <w:rFonts w:hint="eastAsia" w:ascii="宋体" w:hAnsi="宋体" w:eastAsia="宋体" w:cs="宋体"/>
          <w:kern w:val="0"/>
          <w:szCs w:val="21"/>
          <w:highlight w:val="none"/>
          <w:lang w:val="en-US" w:eastAsia="zh-CN"/>
        </w:rPr>
        <w:t>一期建成2</w:t>
      </w:r>
      <w:r>
        <w:rPr>
          <w:rFonts w:hint="eastAsia" w:ascii="宋体" w:hAnsi="宋体" w:eastAsia="宋体" w:cs="宋体"/>
          <w:kern w:val="0"/>
          <w:szCs w:val="21"/>
          <w:highlight w:val="none"/>
        </w:rPr>
        <w:t>×1000MVA</w:t>
      </w:r>
      <w:r>
        <w:rPr>
          <w:rFonts w:hint="eastAsia" w:ascii="宋体" w:hAnsi="宋体" w:eastAsia="宋体" w:cs="宋体"/>
          <w:kern w:val="0"/>
          <w:szCs w:val="21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kern w:val="0"/>
          <w:szCs w:val="21"/>
          <w:highlight w:val="none"/>
        </w:rPr>
        <w:t xml:space="preserve">本期规模 </w:t>
      </w:r>
      <w:r>
        <w:rPr>
          <w:rFonts w:hint="eastAsia" w:ascii="宋体" w:hAnsi="宋体" w:eastAsia="宋体" w:cs="宋体"/>
          <w:kern w:val="0"/>
          <w:szCs w:val="21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Cs w:val="21"/>
          <w:highlight w:val="none"/>
        </w:rPr>
        <w:t>×1000MVA。</w:t>
      </w:r>
    </w:p>
    <w:p>
      <w:pPr>
        <w:spacing w:line="360" w:lineRule="auto"/>
        <w:ind w:left="420" w:firstLine="420" w:firstLineChars="200"/>
        <w:rPr>
          <w:rFonts w:ascii="宋体" w:hAnsi="宋体" w:eastAsia="宋体" w:cs="宋体"/>
          <w:kern w:val="0"/>
          <w:szCs w:val="21"/>
          <w:highlight w:val="none"/>
        </w:rPr>
      </w:pPr>
      <w:r>
        <w:rPr>
          <w:rFonts w:hint="eastAsia" w:ascii="宋体" w:hAnsi="宋体" w:eastAsia="宋体" w:cs="宋体"/>
          <w:kern w:val="0"/>
          <w:szCs w:val="21"/>
          <w:highlight w:val="none"/>
        </w:rPr>
        <w:t>（2）500kV出线：远期8回</w:t>
      </w:r>
      <w:r>
        <w:rPr>
          <w:rFonts w:hint="eastAsia" w:ascii="宋体" w:hAnsi="宋体" w:eastAsia="宋体" w:cs="宋体"/>
          <w:kern w:val="0"/>
          <w:szCs w:val="21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kern w:val="0"/>
          <w:szCs w:val="21"/>
          <w:highlight w:val="none"/>
        </w:rPr>
        <w:t>一期出线2回</w:t>
      </w:r>
      <w:r>
        <w:rPr>
          <w:rFonts w:hint="eastAsia" w:ascii="宋体" w:hAnsi="宋体" w:eastAsia="宋体" w:cs="宋体"/>
          <w:kern w:val="0"/>
          <w:szCs w:val="21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kern w:val="0"/>
          <w:szCs w:val="21"/>
          <w:highlight w:val="none"/>
        </w:rPr>
        <w:t>本期</w:t>
      </w:r>
      <w:r>
        <w:rPr>
          <w:rFonts w:hint="eastAsia" w:ascii="宋体" w:hAnsi="宋体" w:eastAsia="宋体" w:cs="宋体"/>
          <w:kern w:val="0"/>
          <w:szCs w:val="21"/>
          <w:highlight w:val="none"/>
          <w:lang w:val="en-US" w:eastAsia="zh-CN"/>
        </w:rPr>
        <w:t>无</w:t>
      </w:r>
      <w:r>
        <w:rPr>
          <w:rFonts w:hint="eastAsia" w:ascii="宋体" w:hAnsi="宋体" w:eastAsia="宋体" w:cs="宋体"/>
          <w:kern w:val="0"/>
          <w:szCs w:val="21"/>
          <w:highlight w:val="none"/>
        </w:rPr>
        <w:t>。</w:t>
      </w:r>
    </w:p>
    <w:p>
      <w:pPr>
        <w:spacing w:line="360" w:lineRule="auto"/>
        <w:ind w:left="420" w:firstLine="420" w:firstLineChars="200"/>
        <w:rPr>
          <w:rFonts w:hint="eastAsia" w:ascii="宋体" w:hAnsi="宋体" w:eastAsia="宋体" w:cs="宋体"/>
          <w:kern w:val="0"/>
          <w:szCs w:val="21"/>
          <w:highlight w:val="none"/>
        </w:rPr>
      </w:pPr>
      <w:r>
        <w:rPr>
          <w:rFonts w:hint="eastAsia" w:ascii="宋体" w:hAnsi="宋体" w:eastAsia="宋体" w:cs="宋体"/>
          <w:kern w:val="0"/>
          <w:szCs w:val="21"/>
          <w:highlight w:val="none"/>
        </w:rPr>
        <w:t>（3）220kV出线：远期16回</w:t>
      </w:r>
      <w:r>
        <w:rPr>
          <w:rFonts w:hint="eastAsia" w:ascii="宋体" w:hAnsi="宋体" w:eastAsia="宋体" w:cs="宋体"/>
          <w:kern w:val="0"/>
          <w:szCs w:val="21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kern w:val="0"/>
          <w:szCs w:val="21"/>
          <w:highlight w:val="none"/>
        </w:rPr>
        <w:t>一期出线4回</w:t>
      </w:r>
      <w:r>
        <w:rPr>
          <w:rFonts w:hint="eastAsia" w:ascii="宋体" w:hAnsi="宋体" w:eastAsia="宋体" w:cs="宋体"/>
          <w:kern w:val="0"/>
          <w:szCs w:val="21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kern w:val="0"/>
          <w:szCs w:val="21"/>
          <w:highlight w:val="none"/>
        </w:rPr>
        <w:t>本期</w:t>
      </w:r>
      <w:r>
        <w:rPr>
          <w:rFonts w:hint="eastAsia" w:ascii="宋体" w:hAnsi="宋体" w:eastAsia="宋体" w:cs="宋体"/>
          <w:kern w:val="0"/>
          <w:szCs w:val="21"/>
          <w:highlight w:val="none"/>
          <w:lang w:val="en-US" w:eastAsia="zh-CN"/>
        </w:rPr>
        <w:t>无（</w:t>
      </w:r>
      <w:r>
        <w:rPr>
          <w:rFonts w:hint="eastAsia" w:ascii="宋体" w:hAnsi="宋体" w:eastAsia="宋体" w:cs="宋体"/>
          <w:kern w:val="0"/>
          <w:szCs w:val="21"/>
          <w:highlight w:val="none"/>
        </w:rPr>
        <w:t>本期新增5个电气备用出线间隔</w:t>
      </w:r>
      <w:r>
        <w:rPr>
          <w:rFonts w:hint="eastAsia" w:ascii="宋体" w:hAnsi="宋体" w:eastAsia="宋体" w:cs="宋体"/>
          <w:kern w:val="0"/>
          <w:szCs w:val="21"/>
          <w:highlight w:val="none"/>
          <w:lang w:val="en-US" w:eastAsia="zh-CN"/>
        </w:rPr>
        <w:t>）</w:t>
      </w:r>
      <w:r>
        <w:rPr>
          <w:rFonts w:hint="eastAsia" w:ascii="宋体" w:hAnsi="宋体" w:eastAsia="宋体" w:cs="宋体"/>
          <w:kern w:val="0"/>
          <w:szCs w:val="21"/>
          <w:highlight w:val="none"/>
        </w:rPr>
        <w:t>。</w:t>
      </w:r>
    </w:p>
    <w:p>
      <w:pPr>
        <w:spacing w:line="360" w:lineRule="auto"/>
        <w:ind w:left="420" w:firstLine="420" w:firstLineChars="200"/>
        <w:rPr>
          <w:rFonts w:ascii="宋体" w:hAnsi="宋体" w:eastAsia="宋体" w:cs="宋体"/>
          <w:kern w:val="0"/>
          <w:szCs w:val="21"/>
          <w:highlight w:val="none"/>
        </w:rPr>
      </w:pPr>
      <w:r>
        <w:rPr>
          <w:rFonts w:hint="eastAsia" w:ascii="宋体" w:hAnsi="宋体" w:eastAsia="宋体" w:cs="宋体"/>
          <w:kern w:val="0"/>
          <w:szCs w:val="21"/>
          <w:highlight w:val="none"/>
        </w:rPr>
        <w:t>（</w:t>
      </w:r>
      <w:r>
        <w:rPr>
          <w:rFonts w:hint="eastAsia" w:ascii="宋体" w:hAnsi="宋体" w:eastAsia="宋体" w:cs="宋体"/>
          <w:kern w:val="0"/>
          <w:szCs w:val="21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kern w:val="0"/>
          <w:szCs w:val="21"/>
          <w:highlight w:val="none"/>
        </w:rPr>
        <w:t>）高压无功补偿：本期</w:t>
      </w:r>
      <w:r>
        <w:rPr>
          <w:rFonts w:hint="eastAsia" w:ascii="宋体" w:hAnsi="宋体" w:eastAsia="宋体" w:cs="宋体"/>
          <w:kern w:val="0"/>
          <w:szCs w:val="21"/>
          <w:highlight w:val="none"/>
          <w:lang w:val="en-US" w:eastAsia="zh-CN"/>
        </w:rPr>
        <w:t>无新增</w:t>
      </w:r>
      <w:r>
        <w:rPr>
          <w:rFonts w:hint="eastAsia" w:ascii="宋体" w:hAnsi="宋体" w:eastAsia="宋体" w:cs="宋体"/>
          <w:kern w:val="0"/>
          <w:szCs w:val="21"/>
          <w:highlight w:val="none"/>
        </w:rPr>
        <w:t>。</w:t>
      </w:r>
    </w:p>
    <w:p>
      <w:pPr>
        <w:spacing w:line="360" w:lineRule="auto"/>
        <w:ind w:left="420" w:firstLine="420" w:firstLineChars="200"/>
        <w:rPr>
          <w:rFonts w:hint="eastAsia" w:ascii="宋体" w:hAnsi="宋体" w:eastAsia="宋体" w:cs="宋体"/>
          <w:kern w:val="0"/>
          <w:szCs w:val="21"/>
          <w:highlight w:val="none"/>
        </w:rPr>
      </w:pPr>
      <w:r>
        <w:rPr>
          <w:rFonts w:hint="eastAsia" w:ascii="宋体" w:hAnsi="宋体" w:eastAsia="宋体" w:cs="宋体"/>
          <w:kern w:val="0"/>
          <w:szCs w:val="21"/>
          <w:highlight w:val="none"/>
        </w:rPr>
        <w:t>（</w:t>
      </w:r>
      <w:r>
        <w:rPr>
          <w:rFonts w:hint="eastAsia" w:ascii="宋体" w:hAnsi="宋体" w:eastAsia="宋体" w:cs="宋体"/>
          <w:kern w:val="0"/>
          <w:szCs w:val="21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Cs w:val="21"/>
          <w:highlight w:val="none"/>
        </w:rPr>
        <w:t>）无功补偿装置：本期#3主变下配置2×60MVar低压电容。</w:t>
      </w:r>
    </w:p>
    <w:p>
      <w:pPr>
        <w:pStyle w:val="2"/>
        <w:numPr>
          <w:ilvl w:val="0"/>
          <w:numId w:val="0"/>
        </w:numPr>
        <w:adjustRightInd w:val="0"/>
        <w:snapToGrid w:val="0"/>
        <w:spacing w:line="360" w:lineRule="auto"/>
        <w:ind w:left="-482" w:leftChars="0" w:firstLine="482" w:firstLineChars="200"/>
        <w:jc w:val="left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  <w:lang w:val="en-US" w:eastAsia="zh-CN"/>
        </w:rPr>
        <w:t>二、</w:t>
      </w:r>
      <w:r>
        <w:rPr>
          <w:rFonts w:hint="eastAsia" w:hAnsi="宋体" w:eastAsia="宋体" w:cs="宋体"/>
          <w:b/>
          <w:sz w:val="24"/>
          <w:szCs w:val="24"/>
        </w:rPr>
        <w:t xml:space="preserve">采购范围 </w:t>
      </w:r>
    </w:p>
    <w:p>
      <w:pPr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施工图纸范围内的施工准备，施工（含通信），竣工结算，缺陷责任期，电子化移交的全过程监理。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附件A-项目信息清单</w:t>
      </w: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名称：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500千伏望谟输变电工程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  <w:t>监理</w:t>
      </w:r>
    </w:p>
    <w:tbl>
      <w:tblPr>
        <w:tblStyle w:val="12"/>
        <w:tblW w:w="85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0"/>
        <w:gridCol w:w="3366"/>
        <w:gridCol w:w="4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36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4023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336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4023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贵州电网有限责任公司建设分公司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336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4023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兴义市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、黔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西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南州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336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4023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南方电网规划〔2024〕48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336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项目核准、备案文号</w:t>
            </w:r>
          </w:p>
        </w:tc>
        <w:tc>
          <w:tcPr>
            <w:tcW w:w="4023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黔能源审〔2025〕178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336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4023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黔电计财〔2025〕69 号</w:t>
            </w:r>
          </w:p>
        </w:tc>
      </w:tr>
    </w:tbl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default" w:hAnsi="宋体" w:cs="宋体"/>
          <w:b/>
          <w:color w:val="auto"/>
          <w:sz w:val="28"/>
          <w:szCs w:val="28"/>
          <w:highlight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numPr>
          <w:ilvl w:val="0"/>
          <w:numId w:val="7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建设规模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500千伏望谟输变电工程</w:t>
      </w: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监理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highlight w:val="none"/>
          <w:lang w:val="en-US" w:eastAsia="zh-CN"/>
        </w:rPr>
        <w:t>1、500千伏望谟变电站新建工程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本期建设1000兆伏安主变2组、500千伏出线2回、220千伏出线5回，本期新建主变低压侧各装设2组60兆乏电容器和2组6</w:t>
      </w:r>
      <w:r>
        <w:rPr>
          <w:rFonts w:hint="eastAsia" w:ascii="宋体" w:hAnsi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0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兆乏电抗器。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500千伏采用1个半断路器接线，本期安装7台断路器，220千伏采用双母线接线，本期安装11台断路器，35千伏采用单母线单元接线，本期安装12台断路器。主变压器采用单相、自耦、油浸式无励磁调压变压器；500千伏采用HGIS设备；220千伏采用六氟化硫罐式断路器设备；35千伏采用六氟化硫罐式断路器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本工程按最终规模一次征地，全站总征地面积12.3117公顷，其中围墙内用地面积5.8543 公顷。全站总建筑面积2957.5平方米。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highlight w:val="none"/>
          <w:lang w:val="en-US" w:eastAsia="zh-CN"/>
        </w:rPr>
        <w:t>2、仁独II回π接入望谟变500kV线路工程</w:t>
      </w:r>
      <w:r>
        <w:rPr>
          <w:rFonts w:hint="eastAsia" w:ascii="宋体" w:hAnsi="宋体" w:cs="宋体"/>
          <w:b/>
          <w:bCs/>
          <w:color w:val="auto"/>
          <w:kern w:val="2"/>
          <w:sz w:val="21"/>
          <w:szCs w:val="21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highlight w:val="none"/>
          <w:lang w:val="en-US" w:eastAsia="zh-CN"/>
        </w:rPr>
        <w:t>光纤通信工程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新建线路长度67千米，其中新建仁义侧开断线路长度约35.5约 0.3 千米采用双回路架设（本期单回挂线），其余段均采用单回路架设。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设计基本风速取25米/秒；设计覆冰厚度为10毫米、20毫米，长度分别为64千米、3千米。导线采用JL/LB20A-400/50铝包钢芯铝绞线，每相4分裂。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新建线路采用自立式铁塔，因地制宜采用人工挖孔桩基础、掏挖基础、岩石嵌固基础、钢筋混凝土板式基础、机械挖孔桩基等。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20" w:firstLineChars="200"/>
        <w:textAlignment w:val="auto"/>
        <w:rPr>
          <w:rFonts w:hint="default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随望谟站至仁义～独山第二回500千伏线路解口点新建2根48芯OPGW光缆，利用上述光缆建设南网ASON网、保底通信网骨干域、贵州省新A网、保底通信网贵州省域、兴义地区新A网、兴义地区保底通信网光纤电路。</w:t>
      </w:r>
    </w:p>
    <w:p>
      <w:pPr>
        <w:pStyle w:val="2"/>
        <w:keepNext w:val="0"/>
        <w:keepLines w:val="0"/>
        <w:pageBreakBefore w:val="0"/>
        <w:numPr>
          <w:ilvl w:val="0"/>
          <w:numId w:val="7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采购范围</w:t>
      </w:r>
    </w:p>
    <w:p>
      <w:pPr>
        <w:rPr>
          <w:rFonts w:hint="eastAsia" w:ascii="宋体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施工准备（含三通一平）、施工（含通信）、竣工结算、缺陷责任期、电子化移交的全过程监理。按照建设单位要求使用工程信息管理系统。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adjustRightInd w:val="0"/>
        <w:snapToGrid w:val="0"/>
        <w:spacing w:line="360" w:lineRule="auto"/>
        <w:jc w:val="center"/>
        <w:rPr>
          <w:rFonts w:hint="default" w:ascii="Times New Roman" w:hAnsi="Times New Roman" w:cs="Times New Roman"/>
          <w:b/>
          <w:bCs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32"/>
          <w:szCs w:val="32"/>
          <w:highlight w:val="none"/>
        </w:rPr>
        <w:t>附件A-项目信息清单</w:t>
      </w:r>
    </w:p>
    <w:p>
      <w:pPr>
        <w:adjustRightInd w:val="0"/>
        <w:snapToGrid w:val="0"/>
        <w:spacing w:line="360" w:lineRule="auto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highlight w:val="none"/>
        </w:rPr>
      </w:pPr>
      <w:r>
        <w:rPr>
          <w:rFonts w:hint="eastAsia" w:ascii="Times New Roman" w:hAnsi="Times New Roman" w:cs="Times New Roman"/>
          <w:b/>
          <w:bCs/>
          <w:color w:val="auto"/>
          <w:sz w:val="28"/>
          <w:szCs w:val="28"/>
          <w:highlight w:val="none"/>
          <w:lang w:val="en-US" w:eastAsia="zh-CN"/>
        </w:rPr>
        <w:t>项目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highlight w:val="none"/>
        </w:rPr>
        <w:t>名称：</w:t>
      </w:r>
      <w:r>
        <w:rPr>
          <w:rFonts w:hint="default" w:ascii="Times New Roman" w:hAnsi="Times New Roman" w:eastAsia="宋体" w:cs="Times New Roman"/>
          <w:b/>
          <w:bCs/>
          <w:i w:val="0"/>
          <w:iCs w:val="0"/>
          <w:color w:val="auto"/>
          <w:sz w:val="28"/>
          <w:szCs w:val="28"/>
          <w:highlight w:val="none"/>
          <w:u w:val="none"/>
          <w:lang w:val="en-US" w:eastAsia="zh-CN"/>
        </w:rPr>
        <w:t>海南-广东电力灵活互济工程（陆上部分）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highlight w:val="none"/>
        </w:rPr>
        <w:t>监理</w:t>
      </w:r>
    </w:p>
    <w:tbl>
      <w:tblPr>
        <w:tblStyle w:val="12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文件名称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南方电网规划〔2025〕60号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sz w:val="21"/>
                <w:szCs w:val="21"/>
              </w:rPr>
              <w:t>项目备案文号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snapToGrid w:val="0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napToGrid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default" w:ascii="Times New Roman" w:hAnsi="Times New Roman" w:eastAsia="宋体" w:cs="Times New Roman"/>
                <w:snapToGrid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snapToGrid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超高压计划〔2025〕24号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snapToGrid w:val="0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napToGrid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default" w:ascii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napToGrid w:val="0"/>
                <w:sz w:val="21"/>
                <w:szCs w:val="21"/>
              </w:rPr>
              <w:t>南网超高压公司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snapToGrid w:val="0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napToGrid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default" w:ascii="Times New Roman" w:hAnsi="Times New Roman" w:eastAsia="宋体" w:cs="Times New Roman"/>
                <w:snapToGrid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广东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eastAsia="zh-CN"/>
              </w:rPr>
              <w:t>、海南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                                           </w:t>
            </w:r>
          </w:p>
        </w:tc>
      </w:tr>
    </w:tbl>
    <w:p>
      <w:pPr>
        <w:snapToGrid w:val="0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adjustRightInd w:val="0"/>
        <w:snapToGrid w:val="0"/>
        <w:spacing w:line="360" w:lineRule="auto"/>
        <w:rPr>
          <w:rFonts w:hint="default" w:ascii="Times New Roman" w:hAnsi="Times New Roman" w:cs="Times New Roman"/>
          <w:b/>
          <w:bCs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highlight w:val="none"/>
        </w:rPr>
        <w:t>一、</w:t>
      </w:r>
      <w:r>
        <w:rPr>
          <w:rFonts w:hint="default" w:ascii="Times New Roman" w:hAnsi="Times New Roman" w:cs="Times New Roman"/>
          <w:b/>
          <w:sz w:val="24"/>
          <w:szCs w:val="24"/>
        </w:rPr>
        <w:t>项目概况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default" w:ascii="Times New Roman" w:hAnsi="Times New Roman" w:cs="Times New Roman"/>
          <w:bCs/>
          <w:color w:val="auto"/>
          <w:szCs w:val="21"/>
          <w:highlight w:val="none"/>
        </w:rPr>
      </w:pPr>
      <w:r>
        <w:rPr>
          <w:rFonts w:hint="default" w:ascii="Times New Roman" w:hAnsi="Times New Roman" w:cs="Times New Roman" w:eastAsiaTheme="minorEastAsia"/>
          <w:b w:val="0"/>
          <w:bCs w:val="0"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海南-广东电力灵活互济工程主要包括以下：500kV福山变电站扩建工程、500kV徐闻开关站扩建工程、500kV林诗岛终端站扩建工程、500kV东莞村终端站新建工程、500kV海缆线路新建工程、500kV福山变电站～林诗岛终端站线路新建工程、500kV东莞村终端站～徐闻开关站线路新建工程、建设配套的通信及二次系统工程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</w:rPr>
        <w:t>。</w:t>
      </w:r>
    </w:p>
    <w:p>
      <w:pPr>
        <w:adjustRightInd w:val="0"/>
        <w:snapToGrid w:val="0"/>
        <w:spacing w:line="360" w:lineRule="auto"/>
        <w:rPr>
          <w:rFonts w:hint="default" w:ascii="Times New Roman" w:hAnsi="Times New Roman" w:cs="Times New Roman"/>
          <w:b/>
          <w:bCs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highlight w:val="none"/>
        </w:rPr>
        <w:t>二、采购范围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Times New Roman" w:hAnsi="Times New Roman" w:eastAsia="宋体" w:cs="Times New Roman"/>
          <w:bCs/>
          <w:color w:val="auto"/>
          <w:szCs w:val="21"/>
          <w:highlight w:val="none"/>
          <w:lang w:eastAsia="zh-CN"/>
        </w:rPr>
      </w:pPr>
      <w:r>
        <w:rPr>
          <w:rFonts w:hint="default" w:ascii="Times New Roman" w:hAnsi="Times New Roman" w:cs="Times New Roman" w:eastAsiaTheme="minorEastAsia"/>
          <w:b w:val="0"/>
          <w:bCs w:val="0"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海南-广东电力灵活互济工程（陆上部分）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</w:rPr>
        <w:t>三通一平、土建、电气</w:t>
      </w:r>
      <w:r>
        <w:rPr>
          <w:rFonts w:hint="eastAsia" w:ascii="Times New Roman" w:hAnsi="Times New Roman" w:cs="Times New Roman"/>
          <w:bCs/>
          <w:color w:val="auto"/>
          <w:szCs w:val="21"/>
          <w:highlight w:val="none"/>
          <w:lang w:eastAsia="zh-CN"/>
        </w:rPr>
        <w:t>安装及调试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</w:rPr>
        <w:t>等施工全过程监理，配合环水保监理、后期工程质量提升及创优工程等工作。</w:t>
      </w:r>
      <w:r>
        <w:rPr>
          <w:rFonts w:hint="eastAsia" w:ascii="Times New Roman" w:hAnsi="Times New Roman" w:cs="Times New Roman"/>
          <w:bCs/>
          <w:color w:val="auto"/>
          <w:szCs w:val="21"/>
          <w:highlight w:val="none"/>
          <w:lang w:eastAsia="zh-CN"/>
        </w:rPr>
        <w:t>其中</w:t>
      </w:r>
      <w:r>
        <w:rPr>
          <w:rFonts w:hint="default" w:ascii="Times New Roman" w:hAnsi="Times New Roman" w:cs="Times New Roman" w:eastAsiaTheme="minorEastAsia"/>
          <w:b w:val="0"/>
          <w:bCs w:val="0"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陆上部分主要包括以下：500kV福山变电站扩建工程、500kV徐闻开关站扩建工程、500kV林诗岛终端站扩建工程、500kV东莞村终端站新建工程、500kV福山变电站～林诗岛终端站线路新建工程、500kV东莞村终端站～徐闻开关站线路新建工程、建设配套的通信及二次系统工程</w:t>
      </w:r>
      <w:r>
        <w:rPr>
          <w:rFonts w:hint="eastAsia" w:ascii="Times New Roman" w:hAnsi="Times New Roman" w:cs="Times New Roman" w:eastAsiaTheme="minorEastAsia"/>
          <w:b w:val="0"/>
          <w:bCs w:val="0"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。</w:t>
      </w:r>
    </w:p>
    <w:p>
      <w:pPr>
        <w:shd w:val="clear" w:color="auto" w:fill="auto"/>
        <w:ind w:firstLine="420" w:firstLineChars="200"/>
        <w:rPr>
          <w:rFonts w:hint="default" w:ascii="Times New Roman" w:hAnsi="Times New Roman" w:cs="Times New Roman"/>
          <w:bCs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bCs/>
          <w:color w:val="auto"/>
          <w:szCs w:val="21"/>
          <w:highlight w:val="none"/>
        </w:rPr>
        <w:t>监理负责全面贯彻建设单位要求，协助建设单位做好工程建设过程中管理工作，协调各参建单位间的工作关系，落实建设单位各项管理要求。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pStyle w:val="2"/>
        <w:snapToGrid w:val="0"/>
        <w:spacing w:line="360" w:lineRule="auto"/>
        <w:jc w:val="center"/>
        <w:outlineLvl w:val="0"/>
        <w:rPr>
          <w:rFonts w:hAnsi="宋体" w:cs="宋体"/>
          <w:b/>
          <w:sz w:val="28"/>
          <w:szCs w:val="28"/>
          <w:highlight w:val="none"/>
        </w:rPr>
      </w:pPr>
      <w:r>
        <w:rPr>
          <w:rFonts w:hint="eastAsia" w:hAnsi="宋体" w:cs="宋体"/>
          <w:b/>
          <w:bCs/>
          <w:snapToGrid w:val="0"/>
          <w:sz w:val="32"/>
          <w:szCs w:val="32"/>
          <w:highlight w:val="none"/>
        </w:rPr>
        <w:t>附件A-项目信息清单</w:t>
      </w:r>
    </w:p>
    <w:p>
      <w:pPr>
        <w:pStyle w:val="2"/>
        <w:adjustRightInd w:val="0"/>
        <w:snapToGrid w:val="0"/>
        <w:spacing w:line="360" w:lineRule="auto"/>
        <w:ind w:firstLine="562" w:firstLineChars="200"/>
        <w:jc w:val="center"/>
        <w:rPr>
          <w:rFonts w:hAnsi="宋体" w:cs="宋体"/>
          <w:b/>
          <w:bCs/>
          <w:snapToGrid w:val="0"/>
          <w:sz w:val="28"/>
          <w:szCs w:val="28"/>
          <w:highlight w:val="none"/>
        </w:rPr>
      </w:pPr>
      <w:r>
        <w:rPr>
          <w:rFonts w:hint="eastAsia" w:hAnsi="宋体" w:cs="宋体"/>
          <w:b/>
          <w:bCs/>
          <w:snapToGrid w:val="0"/>
          <w:sz w:val="28"/>
          <w:szCs w:val="28"/>
          <w:highlight w:val="none"/>
        </w:rPr>
        <w:t>项目名称：500千伏桂北输变电工程（超高压公司部分）</w:t>
      </w:r>
    </w:p>
    <w:p>
      <w:pPr>
        <w:pStyle w:val="2"/>
        <w:adjustRightInd w:val="0"/>
        <w:snapToGrid w:val="0"/>
        <w:spacing w:line="360" w:lineRule="auto"/>
        <w:jc w:val="center"/>
        <w:rPr>
          <w:rFonts w:hAnsi="宋体" w:cs="宋体"/>
          <w:snapToGrid w:val="0"/>
          <w:sz w:val="28"/>
          <w:szCs w:val="28"/>
          <w:highlight w:val="none"/>
        </w:rPr>
      </w:pPr>
      <w:r>
        <w:rPr>
          <w:rFonts w:hint="eastAsia" w:hAnsi="宋体" w:cs="宋体"/>
          <w:b/>
          <w:sz w:val="28"/>
          <w:szCs w:val="28"/>
          <w:highlight w:val="none"/>
        </w:rPr>
        <w:t>监理</w:t>
      </w:r>
    </w:p>
    <w:tbl>
      <w:tblPr>
        <w:tblStyle w:val="12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  <w:t>文件名称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南方电网规划〔202</w:t>
            </w:r>
            <w:r>
              <w:rPr>
                <w:rFonts w:hint="eastAsia" w:hAnsi="宋体" w:cs="宋体"/>
                <w:sz w:val="21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eastAsia" w:hAnsi="宋体" w:cs="宋体"/>
                <w:sz w:val="21"/>
                <w:szCs w:val="21"/>
                <w:highlight w:val="none"/>
              </w:rPr>
              <w:t>〕</w:t>
            </w:r>
            <w:r>
              <w:rPr>
                <w:rFonts w:hint="eastAsia" w:hAnsi="宋体" w:cs="宋体"/>
                <w:sz w:val="21"/>
                <w:szCs w:val="21"/>
                <w:highlight w:val="none"/>
                <w:lang w:val="en-US" w:eastAsia="zh-CN"/>
              </w:rPr>
              <w:t>35</w:t>
            </w:r>
            <w:r>
              <w:rPr>
                <w:rFonts w:hint="eastAsia" w:hAnsi="宋体" w:cs="宋体"/>
                <w:sz w:val="21"/>
                <w:szCs w:val="21"/>
                <w:highlight w:val="none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项目备案文号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color w:val="FF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highlight w:val="none"/>
                <w:lang w:val="en-US" w:eastAsia="zh-CN" w:bidi="ar-SA"/>
              </w:rPr>
              <w:t>桂发改电力〔2024〕910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eastAsia" w:hAnsi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初设批复文号</w:t>
            </w:r>
          </w:p>
        </w:tc>
        <w:tc>
          <w:tcPr>
            <w:tcW w:w="3476" w:type="dxa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highlight w:val="none"/>
                <w:lang w:val="en-US" w:eastAsia="zh-CN" w:bidi="ar-SA"/>
              </w:rPr>
              <w:t>南方电网输配电〔2025〕66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ascii="宋体" w:hAnsi="宋体" w:eastAsia="宋体" w:cs="宋体"/>
                <w:snapToGrid w:val="0"/>
                <w:color w:val="FF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超高压计划〔202</w:t>
            </w:r>
            <w:r>
              <w:rPr>
                <w:rFonts w:hint="eastAsia" w:hAnsi="宋体" w:cs="宋体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hAnsi="宋体" w:cs="宋体"/>
                <w:sz w:val="21"/>
                <w:szCs w:val="21"/>
                <w:highlight w:val="none"/>
              </w:rPr>
              <w:t>〕</w:t>
            </w:r>
            <w:r>
              <w:rPr>
                <w:rFonts w:hint="eastAsia" w:hAnsi="宋体" w:cs="宋体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hAnsi="宋体" w:cs="宋体"/>
                <w:sz w:val="21"/>
                <w:szCs w:val="21"/>
                <w:highlight w:val="none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施工图预算批复文号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  <w:highlight w:val="none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  <w:highlight w:val="none"/>
              </w:rPr>
              <w:t>中国南方电网有限责任公司超高压输电公司柳州局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  <w:highlight w:val="none"/>
              </w:rPr>
              <w:t>广西桂林市灵川县</w:t>
            </w:r>
          </w:p>
        </w:tc>
      </w:tr>
    </w:tbl>
    <w:p>
      <w:pPr>
        <w:pStyle w:val="2"/>
        <w:spacing w:line="360" w:lineRule="auto"/>
        <w:jc w:val="left"/>
        <w:outlineLvl w:val="0"/>
        <w:rPr>
          <w:rFonts w:hAnsi="宋体" w:cs="宋体"/>
          <w:b/>
          <w:bCs/>
          <w:snapToGrid w:val="0"/>
          <w:sz w:val="28"/>
          <w:szCs w:val="28"/>
          <w:highlight w:val="none"/>
        </w:rPr>
      </w:pPr>
    </w:p>
    <w:p>
      <w:pPr>
        <w:pStyle w:val="2"/>
        <w:adjustRightInd w:val="0"/>
        <w:snapToGrid w:val="0"/>
        <w:spacing w:line="360" w:lineRule="auto"/>
        <w:rPr>
          <w:rFonts w:hAnsi="宋体" w:cs="宋体"/>
          <w:b/>
          <w:sz w:val="24"/>
          <w:szCs w:val="24"/>
          <w:highlight w:val="none"/>
        </w:rPr>
      </w:pPr>
      <w:r>
        <w:rPr>
          <w:rFonts w:hint="eastAsia" w:hAnsi="宋体" w:cs="宋体"/>
          <w:b/>
          <w:sz w:val="24"/>
          <w:szCs w:val="24"/>
          <w:highlight w:val="none"/>
        </w:rPr>
        <w:t>一、项目概况</w:t>
      </w:r>
      <w:bookmarkStart w:id="2" w:name="_Toc28718"/>
      <w:bookmarkStart w:id="3" w:name="_Toc4755"/>
      <w:bookmarkStart w:id="4" w:name="_Toc13498"/>
    </w:p>
    <w:bookmarkEnd w:id="2"/>
    <w:bookmarkEnd w:id="3"/>
    <w:bookmarkEnd w:id="4"/>
    <w:p>
      <w:pPr>
        <w:pStyle w:val="2"/>
        <w:adjustRightInd w:val="0"/>
        <w:snapToGrid w:val="0"/>
        <w:spacing w:line="360" w:lineRule="auto"/>
        <w:ind w:firstLine="422" w:firstLineChars="200"/>
        <w:rPr>
          <w:rFonts w:hAnsi="宋体" w:cs="宋体"/>
          <w:b/>
          <w:sz w:val="21"/>
          <w:szCs w:val="21"/>
          <w:highlight w:val="none"/>
        </w:rPr>
      </w:pPr>
      <w:r>
        <w:rPr>
          <w:rFonts w:hint="eastAsia" w:hAnsi="宋体" w:cs="宋体"/>
          <w:b/>
          <w:sz w:val="21"/>
          <w:szCs w:val="21"/>
          <w:highlight w:val="none"/>
        </w:rPr>
        <w:t>（一）500千伏桂北输变电工程（超高压公司部分）监理</w:t>
      </w:r>
    </w:p>
    <w:p>
      <w:pPr>
        <w:widowControl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eastAsia="宋体" w:cs="宋体"/>
          <w:b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kern w:val="0"/>
          <w:sz w:val="21"/>
          <w:szCs w:val="21"/>
          <w:highlight w:val="none"/>
          <w:lang w:val="en-US" w:eastAsia="zh-CN" w:bidi="ar-SA"/>
        </w:rPr>
        <w:t>※变电部分: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bCs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变电</w:t>
      </w:r>
      <w:r>
        <w:rPr>
          <w:rFonts w:hint="eastAsia" w:ascii="宋体" w:hAnsi="宋体" w:cs="宋体"/>
          <w:b/>
          <w:bCs/>
          <w:szCs w:val="21"/>
          <w:highlight w:val="none"/>
        </w:rPr>
        <w:t>建筑工程：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hint="eastAsia" w:ascii="宋体" w:hAnsi="宋体" w:cs="宋体"/>
          <w:bCs/>
          <w:szCs w:val="21"/>
          <w:highlight w:val="none"/>
        </w:rPr>
      </w:pPr>
      <w:r>
        <w:rPr>
          <w:rFonts w:hint="eastAsia" w:ascii="宋体" w:hAnsi="宋体" w:cs="宋体"/>
          <w:bCs/>
          <w:szCs w:val="21"/>
          <w:highlight w:val="none"/>
        </w:rPr>
        <w:t>1）500kV部分：扩建2个500kV出线间隔的构架及基础、设备支架及基础。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highlight w:val="none"/>
        </w:rPr>
      </w:pPr>
      <w:r>
        <w:rPr>
          <w:rFonts w:hint="eastAsia" w:ascii="宋体" w:hAnsi="宋体" w:cs="宋体"/>
          <w:bCs/>
          <w:szCs w:val="21"/>
          <w:highlight w:val="none"/>
        </w:rPr>
        <w:t>2）其他部分：新建与本次扩建相关的电缆沟和操作小道，拆除扩建间隔内原有支柱绝缘子支架及其基础，拆除部分原有道路及排水管道后重建。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Cs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变电</w:t>
      </w:r>
      <w:r>
        <w:rPr>
          <w:rFonts w:hint="eastAsia" w:ascii="宋体" w:hAnsi="宋体" w:cs="宋体"/>
          <w:b/>
          <w:bCs/>
          <w:szCs w:val="21"/>
          <w:highlight w:val="none"/>
        </w:rPr>
        <w:t>安装工程：</w:t>
      </w:r>
    </w:p>
    <w:p>
      <w:pPr>
        <w:widowControl w:val="0"/>
        <w:adjustRightInd w:val="0"/>
        <w:snapToGrid w:val="0"/>
        <w:spacing w:line="360" w:lineRule="auto"/>
        <w:ind w:firstLine="420" w:firstLineChars="200"/>
        <w:jc w:val="left"/>
        <w:rPr>
          <w:rFonts w:hint="eastAsia" w:ascii="宋体" w:hAnsi="宋体" w:eastAsia="宋体" w:cs="宋体"/>
          <w:bCs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Cs/>
          <w:kern w:val="0"/>
          <w:sz w:val="21"/>
          <w:szCs w:val="21"/>
          <w:highlight w:val="none"/>
          <w:lang w:val="en-US" w:eastAsia="zh-CN" w:bidi="ar-SA"/>
        </w:rPr>
        <w:t>1）本期在原第五串、第六串位置分别扩建500kV“桂北II”、“桂北I”出线，将原来的2个不完整串完善形成2个完整串。</w:t>
      </w:r>
    </w:p>
    <w:p>
      <w:pPr>
        <w:widowControl w:val="0"/>
        <w:adjustRightInd w:val="0"/>
        <w:snapToGrid w:val="0"/>
        <w:spacing w:line="360" w:lineRule="auto"/>
        <w:ind w:firstLine="420" w:firstLineChars="200"/>
        <w:jc w:val="left"/>
        <w:rPr>
          <w:rFonts w:hint="eastAsia" w:ascii="宋体" w:hAnsi="宋体" w:eastAsia="宋体" w:cs="宋体"/>
          <w:bCs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Cs/>
          <w:kern w:val="0"/>
          <w:sz w:val="21"/>
          <w:szCs w:val="21"/>
          <w:highlight w:val="none"/>
          <w:lang w:val="en-US" w:eastAsia="zh-CN" w:bidi="ar-SA"/>
        </w:rPr>
        <w:t>）本期新上二次设备含保护装置、测控装置，以及场地新增端子箱、智能图像运行系统、一键顺控系统摄像机安装、智能传感器安装，调整相应二次线。</w:t>
      </w:r>
    </w:p>
    <w:p>
      <w:pPr>
        <w:widowControl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eastAsia="宋体" w:cs="宋体"/>
          <w:b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kern w:val="0"/>
          <w:sz w:val="21"/>
          <w:szCs w:val="21"/>
          <w:highlight w:val="none"/>
          <w:lang w:val="en-US" w:eastAsia="zh-CN" w:bidi="ar-SA"/>
        </w:rPr>
        <w:t>※架空线路部分: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  <w:highlight w:val="none"/>
        </w:rPr>
      </w:pPr>
      <w:r>
        <w:rPr>
          <w:rFonts w:hint="eastAsia" w:ascii="宋体" w:hAnsi="宋体" w:cs="宋体"/>
          <w:bCs/>
          <w:szCs w:val="21"/>
          <w:highlight w:val="none"/>
        </w:rPr>
        <w:t>本项目不涉及。</w:t>
      </w:r>
    </w:p>
    <w:p>
      <w:pPr>
        <w:pStyle w:val="2"/>
        <w:snapToGrid w:val="0"/>
        <w:spacing w:line="360" w:lineRule="auto"/>
        <w:ind w:firstLine="422" w:firstLineChars="200"/>
        <w:jc w:val="left"/>
        <w:rPr>
          <w:rFonts w:hAnsi="宋体" w:cs="宋体"/>
          <w:bCs/>
          <w:sz w:val="21"/>
          <w:szCs w:val="21"/>
          <w:highlight w:val="none"/>
        </w:rPr>
      </w:pPr>
      <w:r>
        <w:rPr>
          <w:rFonts w:hint="eastAsia" w:hAnsi="宋体" w:cs="宋体"/>
          <w:b/>
          <w:sz w:val="21"/>
          <w:szCs w:val="21"/>
          <w:highlight w:val="none"/>
        </w:rPr>
        <w:t>※通信部分：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hint="eastAsia" w:ascii="宋体" w:hAnsi="宋体" w:cs="宋体"/>
          <w:bCs/>
          <w:szCs w:val="21"/>
          <w:highlight w:val="none"/>
        </w:rPr>
      </w:pPr>
      <w:r>
        <w:rPr>
          <w:rFonts w:hint="eastAsia" w:ascii="宋体" w:hAnsi="宋体" w:cs="宋体"/>
          <w:bCs/>
          <w:szCs w:val="21"/>
          <w:highlight w:val="none"/>
        </w:rPr>
        <w:t>1、在桂林站已有主干ASON网光传输设备上新增2块L-64.2光口板（含光模块）、1块2M光支路板以及1套光路子系统，在如画站已有主干ASON网光传输设备上新增1块L-64.2光口板（含光模块）以及1套光路子系统。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hint="eastAsia" w:ascii="宋体" w:hAnsi="宋体" w:cs="宋体"/>
          <w:bCs/>
          <w:szCs w:val="21"/>
          <w:highlight w:val="none"/>
        </w:rPr>
      </w:pPr>
      <w:r>
        <w:rPr>
          <w:rFonts w:hint="eastAsia" w:ascii="宋体" w:hAnsi="宋体" w:cs="宋体"/>
          <w:bCs/>
          <w:szCs w:val="21"/>
          <w:highlight w:val="none"/>
        </w:rPr>
        <w:t>2、在桂林站已有主干新网B光传输设备上新增2块L-64.2光口板（含光模块）、1块2M光支路板以及1套光路子系统，在如画站已有主干新网B光传输设备上新增1块L-64.2光口板（含光模块）以及1套光路子系统。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hint="eastAsia" w:ascii="宋体" w:hAnsi="宋体" w:cs="宋体"/>
          <w:bCs/>
          <w:szCs w:val="21"/>
          <w:highlight w:val="none"/>
        </w:rPr>
      </w:pPr>
      <w:r>
        <w:rPr>
          <w:rFonts w:hint="eastAsia" w:ascii="宋体" w:hAnsi="宋体" w:cs="宋体"/>
          <w:bCs/>
          <w:szCs w:val="21"/>
          <w:highlight w:val="none"/>
        </w:rPr>
        <w:t>3、在桂林站、如画站各新增1台广西传输网A设备(含板件、子框和机柜)及1套光路子系统，在桂林、如画站原有广西传输网A OSN7500设备各调整2条2.5G光路。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hint="eastAsia" w:ascii="宋体" w:hAnsi="宋体" w:cs="宋体"/>
          <w:bCs/>
          <w:szCs w:val="21"/>
          <w:highlight w:val="none"/>
        </w:rPr>
      </w:pPr>
      <w:r>
        <w:rPr>
          <w:rFonts w:hint="eastAsia" w:ascii="宋体" w:hAnsi="宋体" w:cs="宋体"/>
          <w:bCs/>
          <w:szCs w:val="21"/>
          <w:highlight w:val="none"/>
        </w:rPr>
        <w:t>4、在桂林站已有广西新网B光传输设备上新增1块L-64.2光口板（含光模块）、1块2M光支路板，在如画站已有广西新网B光传输设备上新增1块L-64.2光口板（含光模块）以及1套光路子系统。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highlight w:val="none"/>
        </w:rPr>
      </w:pPr>
      <w:r>
        <w:rPr>
          <w:rFonts w:hint="eastAsia" w:ascii="宋体" w:hAnsi="宋体" w:cs="宋体"/>
          <w:bCs/>
          <w:szCs w:val="21"/>
          <w:highlight w:val="none"/>
        </w:rPr>
        <w:t>5、根据项目需求对通信通道进行调试。</w:t>
      </w:r>
    </w:p>
    <w:p>
      <w:pPr>
        <w:pStyle w:val="2"/>
        <w:adjustRightInd w:val="0"/>
        <w:snapToGrid w:val="0"/>
        <w:spacing w:line="360" w:lineRule="auto"/>
        <w:ind w:firstLine="422" w:firstLineChars="200"/>
        <w:rPr>
          <w:rFonts w:hAnsi="宋体" w:cs="宋体"/>
          <w:b/>
          <w:sz w:val="21"/>
          <w:szCs w:val="21"/>
          <w:highlight w:val="none"/>
        </w:rPr>
      </w:pPr>
      <w:r>
        <w:rPr>
          <w:rFonts w:hint="eastAsia" w:hAnsi="宋体" w:cs="宋体"/>
          <w:b/>
          <w:sz w:val="21"/>
          <w:szCs w:val="21"/>
          <w:highlight w:val="none"/>
          <w:u w:val="single"/>
        </w:rPr>
        <w:t>具体建设规模以施工图纸为准。</w:t>
      </w:r>
    </w:p>
    <w:p>
      <w:pPr>
        <w:pStyle w:val="2"/>
        <w:snapToGrid w:val="0"/>
        <w:spacing w:line="360" w:lineRule="auto"/>
        <w:jc w:val="left"/>
        <w:outlineLvl w:val="0"/>
        <w:rPr>
          <w:rFonts w:hAnsi="宋体" w:cs="宋体"/>
          <w:b/>
          <w:bCs/>
          <w:snapToGrid w:val="0"/>
          <w:sz w:val="24"/>
          <w:szCs w:val="24"/>
          <w:highlight w:val="none"/>
        </w:rPr>
      </w:pPr>
      <w:r>
        <w:rPr>
          <w:rFonts w:hint="eastAsia" w:hAnsi="宋体" w:cs="宋体"/>
          <w:b/>
          <w:bCs/>
          <w:snapToGrid w:val="0"/>
          <w:sz w:val="24"/>
          <w:szCs w:val="24"/>
          <w:highlight w:val="none"/>
          <w:lang w:val="en-US" w:eastAsia="zh-CN"/>
        </w:rPr>
        <w:t>二</w:t>
      </w:r>
      <w:r>
        <w:rPr>
          <w:rFonts w:hint="eastAsia" w:hAnsi="宋体" w:cs="宋体"/>
          <w:b/>
          <w:bCs/>
          <w:snapToGrid w:val="0"/>
          <w:sz w:val="24"/>
          <w:szCs w:val="24"/>
          <w:highlight w:val="none"/>
        </w:rPr>
        <w:t>、采购范围</w:t>
      </w:r>
    </w:p>
    <w:p>
      <w:pPr>
        <w:ind w:firstLine="422" w:firstLineChars="200"/>
        <w:rPr>
          <w:rFonts w:hint="eastAsia" w:ascii="Times New Roman" w:hAnsi="Times New Roman" w:eastAsia="宋体" w:cs="Times New Roman"/>
          <w:bCs/>
          <w:color w:val="auto"/>
          <w:szCs w:val="21"/>
          <w:highlight w:val="none"/>
          <w:lang w:val="en-US" w:eastAsia="zh-CN"/>
        </w:rPr>
      </w:pPr>
      <w:bookmarkStart w:id="5" w:name="_GoBack"/>
      <w:bookmarkEnd w:id="5"/>
      <w:r>
        <w:rPr>
          <w:rFonts w:hint="eastAsia" w:hAnsi="宋体" w:cs="宋体"/>
          <w:b/>
          <w:bCs/>
          <w:snapToGrid w:val="0"/>
          <w:sz w:val="21"/>
          <w:szCs w:val="21"/>
          <w:highlight w:val="none"/>
        </w:rPr>
        <w:t>包括施工准备、施工（含通信）、竣工结算、缺陷责任期、电子化移交的全过程监理。按照建设单位要求使用工程信息管理系统。</w:t>
      </w:r>
      <w:r>
        <w:rPr>
          <w:rFonts w:hint="eastAsia" w:ascii="Times New Roman" w:hAnsi="Times New Roman" w:eastAsia="宋体" w:cs="Times New Roman"/>
          <w:bCs/>
          <w:color w:val="auto"/>
          <w:szCs w:val="21"/>
          <w:highlight w:val="none"/>
          <w:lang w:val="en-US" w:eastAsia="zh-CN"/>
        </w:rPr>
        <w:br w:type="page"/>
      </w:r>
    </w:p>
    <w:p>
      <w:pPr>
        <w:pStyle w:val="2"/>
        <w:snapToGrid w:val="0"/>
        <w:spacing w:line="360" w:lineRule="auto"/>
        <w:jc w:val="center"/>
        <w:outlineLvl w:val="0"/>
        <w:rPr>
          <w:rFonts w:hAnsi="宋体" w:cs="宋体"/>
          <w:b/>
          <w:sz w:val="28"/>
          <w:szCs w:val="28"/>
          <w:highlight w:val="none"/>
        </w:rPr>
      </w:pPr>
      <w:r>
        <w:rPr>
          <w:rFonts w:hint="eastAsia" w:hAnsi="宋体" w:cs="宋体"/>
          <w:b/>
          <w:bCs/>
          <w:snapToGrid w:val="0"/>
          <w:sz w:val="32"/>
          <w:szCs w:val="32"/>
          <w:highlight w:val="none"/>
        </w:rPr>
        <w:t>附件A-项目信息清单</w:t>
      </w:r>
    </w:p>
    <w:p>
      <w:pPr>
        <w:pStyle w:val="2"/>
        <w:adjustRightInd w:val="0"/>
        <w:snapToGrid w:val="0"/>
        <w:spacing w:line="360" w:lineRule="auto"/>
        <w:ind w:firstLine="562" w:firstLineChars="200"/>
        <w:jc w:val="center"/>
        <w:rPr>
          <w:rFonts w:hAnsi="宋体" w:cs="宋体"/>
          <w:b/>
          <w:bCs/>
          <w:snapToGrid w:val="0"/>
          <w:sz w:val="28"/>
          <w:szCs w:val="28"/>
          <w:highlight w:val="none"/>
        </w:rPr>
      </w:pPr>
      <w:r>
        <w:rPr>
          <w:rFonts w:hint="eastAsia" w:hAnsi="宋体" w:cs="宋体"/>
          <w:b/>
          <w:bCs/>
          <w:snapToGrid w:val="0"/>
          <w:sz w:val="28"/>
          <w:szCs w:val="28"/>
          <w:highlight w:val="none"/>
        </w:rPr>
        <w:t>项目名称：500千伏桂中网架完善工程（超高压公司部分）</w:t>
      </w:r>
    </w:p>
    <w:p>
      <w:pPr>
        <w:pStyle w:val="2"/>
        <w:adjustRightInd w:val="0"/>
        <w:snapToGrid w:val="0"/>
        <w:spacing w:line="360" w:lineRule="auto"/>
        <w:jc w:val="center"/>
        <w:rPr>
          <w:rFonts w:hAnsi="宋体" w:cs="宋体"/>
          <w:snapToGrid w:val="0"/>
          <w:sz w:val="28"/>
          <w:szCs w:val="28"/>
          <w:highlight w:val="none"/>
        </w:rPr>
      </w:pPr>
      <w:r>
        <w:rPr>
          <w:rFonts w:hint="eastAsia" w:hAnsi="宋体" w:cs="宋体"/>
          <w:b/>
          <w:sz w:val="28"/>
          <w:szCs w:val="28"/>
          <w:highlight w:val="none"/>
        </w:rPr>
        <w:t>监理</w:t>
      </w:r>
    </w:p>
    <w:tbl>
      <w:tblPr>
        <w:tblStyle w:val="12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  <w:t>文件名称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可研批复文号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2"/>
              <w:snapToGrid w:val="0"/>
              <w:jc w:val="center"/>
              <w:rPr>
                <w:rFonts w:hint="eastAsia" w:hAnsi="宋体" w:eastAsia="宋体" w:cs="宋体"/>
                <w:snapToGrid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南方电网规划〔2025〕62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项目备案文号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hAnsi="宋体" w:eastAsia="宋体" w:cs="宋体"/>
                <w:snapToGrid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桂发改电力函〔2025〕1717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初设批复文号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hint="default" w:ascii="宋体" w:hAnsi="宋体" w:eastAsia="宋体" w:cs="宋体"/>
                <w:snapToGrid w:val="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highlight w:val="none"/>
                <w:lang w:val="en-US" w:eastAsia="zh-CN" w:bidi="ar-SA"/>
              </w:rPr>
              <w:t>南方电网工程〔2025〕3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资金落实情况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2"/>
              <w:snapToGrid w:val="0"/>
              <w:jc w:val="center"/>
              <w:rPr>
                <w:rFonts w:hint="default" w:ascii="宋体" w:hAnsi="宋体" w:eastAsia="宋体" w:cs="宋体"/>
                <w:snapToGrid w:val="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highlight w:val="none"/>
              </w:rPr>
              <w:t>超高压计划〔202</w:t>
            </w:r>
            <w:r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sz w:val="21"/>
                <w:szCs w:val="21"/>
                <w:highlight w:val="none"/>
              </w:rPr>
              <w:t>〕</w:t>
            </w:r>
            <w:r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sz w:val="21"/>
                <w:szCs w:val="21"/>
                <w:highlight w:val="none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施工图预算批复文号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  <w:highlight w:val="none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  <w:highlight w:val="none"/>
              </w:rPr>
              <w:t>中国南方电网有限责任公司超高压输电公司柳州局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  <w:highlight w:val="none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int="default" w:hAnsi="宋体" w:eastAsia="宋体" w:cs="宋体"/>
                <w:snapToGrid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  <w:highlight w:val="none"/>
              </w:rPr>
              <w:t>广西壮族自治区柳州市柳江县进德镇</w:t>
            </w:r>
            <w:r>
              <w:rPr>
                <w:rFonts w:hint="eastAsia" w:hAnsi="宋体" w:cs="宋体"/>
                <w:snapToGrid w:val="0"/>
                <w:sz w:val="21"/>
                <w:szCs w:val="21"/>
                <w:highlight w:val="none"/>
                <w:lang w:val="en-US" w:eastAsia="zh-CN"/>
              </w:rPr>
              <w:t>500kV桂中换流站</w:t>
            </w:r>
          </w:p>
        </w:tc>
      </w:tr>
    </w:tbl>
    <w:p>
      <w:pPr>
        <w:pStyle w:val="2"/>
        <w:spacing w:line="360" w:lineRule="auto"/>
        <w:jc w:val="left"/>
        <w:outlineLvl w:val="0"/>
        <w:rPr>
          <w:rFonts w:hAnsi="宋体" w:cs="宋体"/>
          <w:b/>
          <w:bCs/>
          <w:snapToGrid w:val="0"/>
          <w:sz w:val="28"/>
          <w:szCs w:val="28"/>
          <w:highlight w:val="none"/>
        </w:rPr>
      </w:pPr>
    </w:p>
    <w:p>
      <w:pPr>
        <w:pStyle w:val="2"/>
        <w:adjustRightInd w:val="0"/>
        <w:snapToGrid w:val="0"/>
        <w:spacing w:line="360" w:lineRule="auto"/>
        <w:rPr>
          <w:rFonts w:hAnsi="宋体" w:cs="宋体"/>
          <w:b/>
          <w:sz w:val="24"/>
          <w:szCs w:val="24"/>
          <w:highlight w:val="none"/>
        </w:rPr>
      </w:pPr>
      <w:r>
        <w:rPr>
          <w:rFonts w:hint="eastAsia" w:hAnsi="宋体" w:cs="宋体"/>
          <w:b/>
          <w:sz w:val="24"/>
          <w:szCs w:val="24"/>
          <w:highlight w:val="none"/>
        </w:rPr>
        <w:t>一、项目概况</w:t>
      </w:r>
    </w:p>
    <w:p>
      <w:pPr>
        <w:pStyle w:val="2"/>
        <w:adjustRightInd w:val="0"/>
        <w:snapToGrid w:val="0"/>
        <w:spacing w:line="360" w:lineRule="auto"/>
        <w:ind w:firstLine="422" w:firstLineChars="200"/>
        <w:rPr>
          <w:rFonts w:hAnsi="宋体" w:cs="宋体"/>
          <w:b/>
          <w:sz w:val="21"/>
          <w:szCs w:val="21"/>
          <w:highlight w:val="none"/>
        </w:rPr>
      </w:pPr>
      <w:r>
        <w:rPr>
          <w:rFonts w:hint="eastAsia" w:hAnsi="宋体" w:cs="宋体"/>
          <w:b/>
          <w:sz w:val="21"/>
          <w:szCs w:val="21"/>
          <w:highlight w:val="none"/>
        </w:rPr>
        <w:t>（一）</w:t>
      </w:r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500千伏桂中网架完善工程（超高压公司部分）监理</w:t>
      </w:r>
    </w:p>
    <w:p>
      <w:pPr>
        <w:widowControl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eastAsia="宋体" w:cs="宋体"/>
          <w:b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kern w:val="0"/>
          <w:sz w:val="21"/>
          <w:szCs w:val="21"/>
          <w:highlight w:val="none"/>
          <w:lang w:val="en-US" w:eastAsia="zh-CN" w:bidi="ar-SA"/>
        </w:rPr>
        <w:t>※变电部分: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bCs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变电</w:t>
      </w:r>
      <w:r>
        <w:rPr>
          <w:rFonts w:hint="eastAsia" w:ascii="宋体" w:hAnsi="宋体" w:cs="宋体"/>
          <w:b/>
          <w:bCs/>
          <w:szCs w:val="21"/>
          <w:highlight w:val="none"/>
        </w:rPr>
        <w:t>建筑工程：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hint="eastAsia"/>
          <w:highlight w:val="none"/>
          <w:lang w:val="en-US" w:eastAsia="zh-CN"/>
        </w:rPr>
      </w:pPr>
      <w:r>
        <w:rPr>
          <w:rFonts w:hint="eastAsia" w:ascii="宋体" w:hAnsi="宋体" w:cs="宋体"/>
          <w:bCs/>
          <w:szCs w:val="21"/>
          <w:highlight w:val="none"/>
        </w:rPr>
        <w:t>1）500kV部分：扩建500kV</w:t>
      </w:r>
      <w:r>
        <w:rPr>
          <w:rFonts w:hint="eastAsia" w:ascii="宋体" w:hAnsi="宋体" w:cs="宋体"/>
          <w:bCs/>
          <w:szCs w:val="21"/>
          <w:highlight w:val="none"/>
          <w:lang w:val="en-US" w:eastAsia="zh-CN"/>
        </w:rPr>
        <w:t>第三串（左到右）出</w:t>
      </w:r>
      <w:r>
        <w:rPr>
          <w:rFonts w:hint="eastAsia" w:ascii="宋体" w:hAnsi="宋体" w:cs="宋体"/>
          <w:bCs/>
          <w:szCs w:val="21"/>
          <w:highlight w:val="none"/>
        </w:rPr>
        <w:t>线间隔共</w:t>
      </w:r>
      <w:r>
        <w:rPr>
          <w:rFonts w:hint="eastAsia" w:ascii="宋体" w:hAnsi="宋体" w:cs="宋体"/>
          <w:bCs/>
          <w:szCs w:val="21"/>
          <w:highlight w:val="none"/>
          <w:lang w:val="en-US" w:eastAsia="zh-CN"/>
        </w:rPr>
        <w:t>4</w:t>
      </w:r>
      <w:r>
        <w:rPr>
          <w:rFonts w:hint="eastAsia" w:ascii="宋体" w:hAnsi="宋体" w:cs="宋体"/>
          <w:bCs/>
          <w:szCs w:val="21"/>
          <w:highlight w:val="none"/>
        </w:rPr>
        <w:t>组设备支架及基础</w:t>
      </w:r>
      <w:r>
        <w:rPr>
          <w:rFonts w:hint="eastAsia" w:ascii="宋体" w:hAnsi="宋体" w:cs="宋体"/>
          <w:bCs/>
          <w:szCs w:val="21"/>
          <w:highlight w:val="none"/>
          <w:lang w:eastAsia="zh-CN"/>
        </w:rPr>
        <w:t>；</w:t>
      </w:r>
      <w:r>
        <w:rPr>
          <w:rFonts w:hint="eastAsia" w:ascii="宋体" w:hAnsi="宋体" w:cs="宋体"/>
          <w:bCs/>
          <w:szCs w:val="21"/>
          <w:highlight w:val="none"/>
          <w:lang w:val="en-US" w:eastAsia="zh-CN"/>
        </w:rPr>
        <w:t>改造第二串柱顶安装钢材。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highlight w:val="none"/>
        </w:rPr>
      </w:pPr>
      <w:r>
        <w:rPr>
          <w:rFonts w:hint="eastAsia" w:ascii="宋体" w:hAnsi="宋体" w:cs="宋体"/>
          <w:bCs/>
          <w:szCs w:val="21"/>
          <w:highlight w:val="none"/>
          <w:lang w:val="en-US" w:eastAsia="zh-CN"/>
        </w:rPr>
        <w:t>2</w:t>
      </w:r>
      <w:r>
        <w:rPr>
          <w:rFonts w:hint="eastAsia" w:ascii="宋体" w:hAnsi="宋体" w:cs="宋体"/>
          <w:bCs/>
          <w:szCs w:val="21"/>
          <w:highlight w:val="none"/>
        </w:rPr>
        <w:t>）其他部分：新建与本次扩建相关的操作小道</w:t>
      </w:r>
      <w:r>
        <w:rPr>
          <w:rFonts w:hint="eastAsia" w:ascii="宋体" w:hAnsi="宋体" w:cs="宋体"/>
          <w:bCs/>
          <w:szCs w:val="21"/>
          <w:highlight w:val="none"/>
          <w:lang w:eastAsia="zh-CN"/>
        </w:rPr>
        <w:t>、</w:t>
      </w:r>
      <w:r>
        <w:rPr>
          <w:rFonts w:hint="eastAsia" w:ascii="宋体" w:hAnsi="宋体" w:cs="宋体"/>
          <w:bCs/>
          <w:szCs w:val="21"/>
          <w:highlight w:val="none"/>
          <w:lang w:val="en-US" w:eastAsia="zh-CN"/>
        </w:rPr>
        <w:t>绝缘地面；拆除500kV支柱绝缘子支架及基础</w:t>
      </w:r>
      <w:r>
        <w:rPr>
          <w:rFonts w:hint="eastAsia" w:ascii="宋体" w:hAnsi="宋体" w:cs="宋体"/>
          <w:bCs/>
          <w:szCs w:val="21"/>
          <w:highlight w:val="none"/>
        </w:rPr>
        <w:t>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Cs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变电</w:t>
      </w:r>
      <w:r>
        <w:rPr>
          <w:rFonts w:hint="eastAsia" w:ascii="宋体" w:hAnsi="宋体" w:cs="宋体"/>
          <w:b/>
          <w:bCs/>
          <w:szCs w:val="21"/>
          <w:highlight w:val="none"/>
        </w:rPr>
        <w:t>安装工程：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hint="eastAsia" w:ascii="宋体" w:hAnsi="宋体" w:eastAsia="宋体" w:cs="宋体"/>
          <w:bCs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zCs w:val="21"/>
          <w:highlight w:val="none"/>
          <w:lang w:val="en-US" w:eastAsia="zh-CN"/>
        </w:rPr>
        <w:t>1）本期在原第三串位置扩建一回500kV出线，将原来的不完整串完善形成1个完整串，</w:t>
      </w:r>
      <w:r>
        <w:rPr>
          <w:rFonts w:hint="eastAsia" w:ascii="宋体" w:hAnsi="宋体" w:eastAsia="宋体" w:cs="宋体"/>
          <w:bCs/>
          <w:szCs w:val="21"/>
          <w:highlight w:val="none"/>
        </w:rPr>
        <w:t>为避免站外线路交叉跨越，本期将第二串至来宾变500kV出线改接至西起第三串扩建间隔，本期至溯河变500kV出线接至原第二串来宾变500kV出线间隔。同时，本期调整后第2串内电流互感器及隔离开关额定电流不满足系统接入需求，更换第二串原有电流互感器、隔离开关设备</w:t>
      </w:r>
      <w:r>
        <w:rPr>
          <w:rFonts w:hint="eastAsia" w:ascii="宋体" w:hAnsi="宋体" w:eastAsia="宋体" w:cs="宋体"/>
          <w:bCs/>
          <w:szCs w:val="21"/>
          <w:highlight w:val="none"/>
          <w:lang w:val="en-US" w:eastAsia="zh-CN"/>
        </w:rPr>
        <w:t>。</w:t>
      </w:r>
    </w:p>
    <w:p>
      <w:pPr>
        <w:widowControl w:val="0"/>
        <w:adjustRightInd w:val="0"/>
        <w:snapToGrid w:val="0"/>
        <w:spacing w:line="360" w:lineRule="auto"/>
        <w:ind w:firstLine="400" w:firstLineChars="200"/>
        <w:jc w:val="left"/>
        <w:rPr>
          <w:rFonts w:ascii="宋体" w:hAnsi="宋体" w:eastAsia="宋体" w:cs="宋体"/>
          <w:bCs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Cs/>
          <w:kern w:val="0"/>
          <w:sz w:val="20"/>
          <w:szCs w:val="21"/>
          <w:highlight w:val="none"/>
          <w:lang w:val="en-US" w:eastAsia="zh-CN" w:bidi="ar-SA"/>
        </w:rPr>
        <w:t>2）</w:t>
      </w:r>
      <w:r>
        <w:rPr>
          <w:rFonts w:hint="eastAsia" w:ascii="宋体" w:hAnsi="宋体" w:eastAsia="宋体" w:cs="宋体"/>
          <w:bCs/>
          <w:kern w:val="0"/>
          <w:sz w:val="21"/>
          <w:szCs w:val="21"/>
          <w:highlight w:val="none"/>
          <w:lang w:val="en-US" w:eastAsia="zh-CN" w:bidi="ar-SA"/>
        </w:rPr>
        <w:t>本期新上二次设备含保护装置、测控装置，以及场地新增端子箱、视频及环境监控系统摄像机安装，调整相应二次线。</w:t>
      </w:r>
    </w:p>
    <w:p>
      <w:pPr>
        <w:widowControl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eastAsia="宋体" w:cs="宋体"/>
          <w:b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kern w:val="0"/>
          <w:sz w:val="21"/>
          <w:szCs w:val="21"/>
          <w:highlight w:val="none"/>
          <w:lang w:val="en-US" w:eastAsia="zh-CN" w:bidi="ar-SA"/>
        </w:rPr>
        <w:t>※架空线路部分: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  <w:highlight w:val="none"/>
        </w:rPr>
      </w:pPr>
      <w:r>
        <w:rPr>
          <w:rFonts w:hint="eastAsia" w:ascii="宋体" w:hAnsi="宋体" w:cs="宋体"/>
          <w:bCs/>
          <w:szCs w:val="21"/>
          <w:highlight w:val="none"/>
        </w:rPr>
        <w:t>本项目不涉及。</w:t>
      </w:r>
    </w:p>
    <w:p>
      <w:pPr>
        <w:pStyle w:val="2"/>
        <w:snapToGrid w:val="0"/>
        <w:spacing w:line="360" w:lineRule="auto"/>
        <w:ind w:firstLine="422" w:firstLineChars="200"/>
        <w:jc w:val="left"/>
        <w:rPr>
          <w:rFonts w:hAnsi="宋体" w:cs="宋体"/>
          <w:bCs/>
          <w:sz w:val="21"/>
          <w:szCs w:val="21"/>
          <w:highlight w:val="none"/>
        </w:rPr>
      </w:pPr>
      <w:r>
        <w:rPr>
          <w:rFonts w:hint="eastAsia" w:hAnsi="宋体" w:cs="宋体"/>
          <w:b/>
          <w:sz w:val="21"/>
          <w:szCs w:val="21"/>
          <w:highlight w:val="none"/>
        </w:rPr>
        <w:t>※通信部分：</w:t>
      </w:r>
    </w:p>
    <w:p>
      <w:pPr>
        <w:numPr>
          <w:ilvl w:val="0"/>
          <w:numId w:val="8"/>
        </w:num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hint="eastAsia" w:ascii="宋体" w:hAnsi="宋体" w:cs="宋体"/>
          <w:bCs/>
          <w:szCs w:val="21"/>
          <w:highlight w:val="none"/>
        </w:rPr>
      </w:pPr>
      <w:r>
        <w:rPr>
          <w:rFonts w:hint="eastAsia" w:ascii="宋体" w:hAnsi="宋体" w:cs="宋体"/>
          <w:bCs/>
          <w:szCs w:val="21"/>
          <w:highlight w:val="none"/>
        </w:rPr>
        <w:t>在</w:t>
      </w:r>
      <w:r>
        <w:rPr>
          <w:rFonts w:hint="eastAsia" w:ascii="宋体" w:hAnsi="宋体" w:cs="宋体"/>
          <w:bCs/>
          <w:szCs w:val="21"/>
          <w:highlight w:val="none"/>
          <w:lang w:val="en-US" w:eastAsia="zh-CN"/>
        </w:rPr>
        <w:t>桂中</w:t>
      </w:r>
      <w:r>
        <w:rPr>
          <w:rFonts w:hint="eastAsia" w:ascii="宋体" w:hAnsi="宋体" w:cs="宋体"/>
          <w:bCs/>
          <w:szCs w:val="21"/>
          <w:highlight w:val="none"/>
        </w:rPr>
        <w:t>变已有南网保底网（广西省域）光传输设备上新增1块新增1块L-64.</w:t>
      </w:r>
      <w:r>
        <w:rPr>
          <w:rFonts w:hint="eastAsia" w:ascii="宋体" w:hAnsi="宋体" w:cs="宋体"/>
          <w:bCs/>
          <w:szCs w:val="21"/>
          <w:highlight w:val="none"/>
          <w:lang w:val="en-US" w:eastAsia="zh-CN"/>
        </w:rPr>
        <w:t>1</w:t>
      </w:r>
      <w:r>
        <w:rPr>
          <w:rFonts w:hint="eastAsia" w:ascii="宋体" w:hAnsi="宋体" w:cs="宋体"/>
          <w:bCs/>
          <w:szCs w:val="21"/>
          <w:highlight w:val="none"/>
        </w:rPr>
        <w:t>光口板（含光模块）和1块2M光接口板（含处理板和接口板）。</w:t>
      </w:r>
    </w:p>
    <w:p>
      <w:pPr>
        <w:numPr>
          <w:ilvl w:val="0"/>
          <w:numId w:val="8"/>
        </w:num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hint="eastAsia" w:ascii="宋体" w:hAnsi="宋体" w:cs="宋体"/>
          <w:bCs/>
          <w:szCs w:val="21"/>
          <w:highlight w:val="none"/>
        </w:rPr>
      </w:pPr>
      <w:r>
        <w:rPr>
          <w:rFonts w:hint="eastAsia" w:ascii="宋体" w:hAnsi="宋体" w:cs="宋体"/>
          <w:bCs/>
          <w:szCs w:val="21"/>
          <w:highlight w:val="none"/>
        </w:rPr>
        <w:t>在</w:t>
      </w:r>
      <w:r>
        <w:rPr>
          <w:rFonts w:hint="eastAsia" w:ascii="宋体" w:hAnsi="宋体" w:cs="宋体"/>
          <w:bCs/>
          <w:szCs w:val="21"/>
          <w:highlight w:val="none"/>
          <w:lang w:eastAsia="zh-CN"/>
        </w:rPr>
        <w:t>桂中变</w:t>
      </w:r>
      <w:r>
        <w:rPr>
          <w:rFonts w:hint="eastAsia" w:ascii="宋体" w:hAnsi="宋体" w:cs="宋体"/>
          <w:bCs/>
          <w:szCs w:val="21"/>
          <w:highlight w:val="none"/>
        </w:rPr>
        <w:t>新增1面</w:t>
      </w:r>
      <w:r>
        <w:rPr>
          <w:rFonts w:hint="eastAsia" w:ascii="宋体" w:hAnsi="宋体" w:cs="宋体"/>
          <w:bCs/>
          <w:szCs w:val="21"/>
          <w:highlight w:val="none"/>
          <w:lang w:val="en-US" w:eastAsia="zh-CN"/>
        </w:rPr>
        <w:t>光纤配线</w:t>
      </w:r>
      <w:r>
        <w:rPr>
          <w:rFonts w:hint="eastAsia" w:ascii="宋体" w:hAnsi="宋体" w:cs="宋体"/>
          <w:bCs/>
          <w:szCs w:val="21"/>
          <w:highlight w:val="none"/>
        </w:rPr>
        <w:t>柜。</w:t>
      </w:r>
    </w:p>
    <w:p>
      <w:pPr>
        <w:numPr>
          <w:ilvl w:val="0"/>
          <w:numId w:val="8"/>
        </w:num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hint="eastAsia" w:ascii="宋体" w:hAnsi="宋体" w:cs="宋体"/>
          <w:bCs/>
          <w:szCs w:val="21"/>
          <w:highlight w:val="none"/>
        </w:rPr>
      </w:pPr>
      <w:r>
        <w:rPr>
          <w:rFonts w:hint="eastAsia" w:ascii="宋体" w:hAnsi="宋体" w:cs="宋体"/>
          <w:bCs/>
          <w:szCs w:val="21"/>
          <w:highlight w:val="none"/>
        </w:rPr>
        <w:t>根据项目需求对通信通道进行调试。</w:t>
      </w:r>
    </w:p>
    <w:p>
      <w:pPr>
        <w:numPr>
          <w:ilvl w:val="0"/>
          <w:numId w:val="8"/>
        </w:num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hint="eastAsia" w:ascii="宋体" w:hAnsi="宋体" w:cs="宋体"/>
          <w:bCs/>
          <w:szCs w:val="21"/>
          <w:highlight w:val="none"/>
        </w:rPr>
      </w:pPr>
      <w:r>
        <w:rPr>
          <w:rFonts w:hint="eastAsia" w:ascii="宋体" w:hAnsi="宋体" w:cs="宋体"/>
          <w:bCs/>
          <w:szCs w:val="21"/>
          <w:highlight w:val="none"/>
        </w:rPr>
        <w:t>在</w:t>
      </w:r>
      <w:r>
        <w:rPr>
          <w:rFonts w:hint="eastAsia" w:ascii="宋体" w:hAnsi="宋体" w:cs="宋体"/>
          <w:bCs/>
          <w:szCs w:val="21"/>
          <w:highlight w:val="none"/>
          <w:lang w:eastAsia="zh-CN"/>
        </w:rPr>
        <w:t>桂中变</w:t>
      </w:r>
      <w:r>
        <w:rPr>
          <w:rFonts w:hint="eastAsia" w:ascii="宋体" w:hAnsi="宋体" w:cs="宋体"/>
          <w:bCs/>
          <w:szCs w:val="21"/>
          <w:highlight w:val="none"/>
        </w:rPr>
        <w:t>站内从构架至通信机房敷设</w:t>
      </w:r>
      <w:r>
        <w:rPr>
          <w:rFonts w:hint="eastAsia" w:ascii="宋体" w:hAnsi="宋体" w:cs="宋体"/>
          <w:bCs/>
          <w:szCs w:val="21"/>
          <w:highlight w:val="none"/>
          <w:lang w:val="en-US" w:eastAsia="zh-CN"/>
        </w:rPr>
        <w:t>的</w:t>
      </w:r>
      <w:r>
        <w:rPr>
          <w:rFonts w:hint="eastAsia" w:ascii="宋体" w:hAnsi="宋体" w:cs="宋体"/>
          <w:bCs/>
          <w:szCs w:val="21"/>
          <w:highlight w:val="none"/>
        </w:rPr>
        <w:t>光缆。</w:t>
      </w:r>
    </w:p>
    <w:p>
      <w:pPr>
        <w:pStyle w:val="2"/>
        <w:adjustRightInd w:val="0"/>
        <w:snapToGrid w:val="0"/>
        <w:spacing w:line="360" w:lineRule="auto"/>
        <w:ind w:firstLine="422" w:firstLineChars="200"/>
        <w:rPr>
          <w:rFonts w:hAnsi="宋体" w:cs="宋体"/>
          <w:b/>
          <w:sz w:val="21"/>
          <w:szCs w:val="21"/>
          <w:highlight w:val="none"/>
        </w:rPr>
      </w:pPr>
      <w:r>
        <w:rPr>
          <w:rFonts w:hint="eastAsia" w:hAnsi="宋体" w:cs="宋体"/>
          <w:b/>
          <w:sz w:val="21"/>
          <w:szCs w:val="21"/>
          <w:highlight w:val="none"/>
          <w:u w:val="single"/>
        </w:rPr>
        <w:t>具体建设规模以施工图纸为准。</w:t>
      </w:r>
    </w:p>
    <w:p>
      <w:pPr>
        <w:pStyle w:val="2"/>
        <w:snapToGrid w:val="0"/>
        <w:spacing w:line="360" w:lineRule="auto"/>
        <w:jc w:val="left"/>
        <w:outlineLvl w:val="0"/>
        <w:rPr>
          <w:rFonts w:hAnsi="宋体" w:cs="宋体"/>
          <w:b/>
          <w:bCs/>
          <w:snapToGrid w:val="0"/>
          <w:sz w:val="24"/>
          <w:szCs w:val="24"/>
          <w:highlight w:val="none"/>
        </w:rPr>
      </w:pPr>
      <w:r>
        <w:rPr>
          <w:rFonts w:hint="eastAsia" w:hAnsi="宋体" w:cs="宋体"/>
          <w:b/>
          <w:bCs/>
          <w:snapToGrid w:val="0"/>
          <w:sz w:val="24"/>
          <w:szCs w:val="24"/>
          <w:highlight w:val="none"/>
        </w:rPr>
        <w:t>二、采购范围</w:t>
      </w:r>
    </w:p>
    <w:p>
      <w:pPr>
        <w:pStyle w:val="2"/>
        <w:ind w:firstLine="422" w:firstLineChars="200"/>
        <w:rPr>
          <w:rFonts w:hint="eastAsia" w:hAnsi="宋体" w:cs="宋体"/>
          <w:b/>
          <w:bCs/>
          <w:snapToGrid w:val="0"/>
          <w:sz w:val="21"/>
          <w:szCs w:val="21"/>
          <w:highlight w:val="none"/>
        </w:rPr>
      </w:pPr>
      <w:r>
        <w:rPr>
          <w:rFonts w:hint="eastAsia" w:hAnsi="宋体" w:cs="宋体"/>
          <w:b/>
          <w:bCs/>
          <w:snapToGrid w:val="0"/>
          <w:sz w:val="21"/>
          <w:szCs w:val="21"/>
          <w:highlight w:val="none"/>
        </w:rPr>
        <w:t>包括施工准备、施工（含通信）、竣工结算、缺陷责任期、电子化移交的全过程监理。按照建设单位要求使用工程信息管理系统。</w:t>
      </w:r>
    </w:p>
    <w:p>
      <w:pPr>
        <w:rPr>
          <w:rFonts w:hint="eastAsia" w:hAnsi="宋体" w:cs="宋体"/>
          <w:b/>
          <w:bCs/>
          <w:snapToGrid w:val="0"/>
          <w:sz w:val="21"/>
          <w:szCs w:val="21"/>
          <w:highlight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sz w:val="21"/>
          <w:szCs w:val="21"/>
          <w:highlight w:val="none"/>
          <w:lang w:val="en-US" w:eastAsia="zh-CN"/>
        </w:rPr>
        <w:br w:type="page"/>
      </w:r>
    </w:p>
    <w:p>
      <w:pPr>
        <w:pStyle w:val="2"/>
        <w:snapToGrid w:val="0"/>
        <w:spacing w:line="360" w:lineRule="auto"/>
        <w:jc w:val="center"/>
        <w:outlineLvl w:val="0"/>
        <w:rPr>
          <w:rFonts w:hAnsi="宋体" w:cs="宋体"/>
          <w:b/>
          <w:bCs/>
          <w:snapToGrid w:val="0"/>
          <w:sz w:val="32"/>
          <w:szCs w:val="32"/>
        </w:rPr>
      </w:pPr>
      <w:r>
        <w:rPr>
          <w:rFonts w:hint="eastAsia" w:hAnsi="宋体" w:cs="宋体"/>
          <w:b/>
          <w:bCs/>
          <w:snapToGrid w:val="0"/>
          <w:sz w:val="32"/>
          <w:szCs w:val="32"/>
        </w:rPr>
        <w:t>附件A-项目信息清单</w:t>
      </w:r>
    </w:p>
    <w:p>
      <w:pPr>
        <w:pStyle w:val="2"/>
        <w:adjustRightInd w:val="0"/>
        <w:snapToGrid w:val="0"/>
        <w:spacing w:line="360" w:lineRule="auto"/>
        <w:jc w:val="center"/>
        <w:rPr>
          <w:rFonts w:hAnsi="宋体" w:cs="宋体"/>
          <w:snapToGrid w:val="0"/>
          <w:sz w:val="28"/>
          <w:szCs w:val="28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项目名称：广西500千伏金陵站接线完善工程（超高压部分）</w:t>
      </w:r>
      <w:r>
        <w:rPr>
          <w:rFonts w:hint="eastAsia" w:hAnsi="宋体" w:cs="宋体"/>
          <w:b/>
          <w:bCs/>
          <w:snapToGrid w:val="0"/>
          <w:sz w:val="28"/>
          <w:szCs w:val="28"/>
          <w:lang w:val="en-US" w:eastAsia="zh-CN"/>
        </w:rPr>
        <w:t>监理</w:t>
      </w:r>
    </w:p>
    <w:tbl>
      <w:tblPr>
        <w:tblStyle w:val="12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文件名称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</w:tcPr>
          <w:p>
            <w:pPr>
              <w:pStyle w:val="2"/>
              <w:spacing w:line="360" w:lineRule="auto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z w:val="21"/>
              </w:rPr>
              <w:t>南方电网规划〔202</w:t>
            </w:r>
            <w:r>
              <w:rPr>
                <w:rFonts w:hAnsi="宋体" w:cs="宋体"/>
                <w:sz w:val="21"/>
              </w:rPr>
              <w:t>4</w:t>
            </w:r>
            <w:r>
              <w:rPr>
                <w:rFonts w:hint="eastAsia" w:hAnsi="宋体" w:cs="宋体"/>
                <w:sz w:val="21"/>
              </w:rPr>
              <w:t>〕</w:t>
            </w:r>
            <w:r>
              <w:rPr>
                <w:rFonts w:hAnsi="宋体" w:cs="宋体"/>
                <w:sz w:val="21"/>
              </w:rPr>
              <w:t>126</w:t>
            </w:r>
            <w:r>
              <w:rPr>
                <w:rFonts w:hint="eastAsia" w:hAnsi="宋体" w:cs="宋体"/>
                <w:sz w:val="21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项目备案文号</w:t>
            </w:r>
          </w:p>
        </w:tc>
        <w:tc>
          <w:tcPr>
            <w:tcW w:w="3476" w:type="dxa"/>
          </w:tcPr>
          <w:p>
            <w:pPr>
              <w:pStyle w:val="2"/>
              <w:spacing w:line="360" w:lineRule="auto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z w:val="21"/>
              </w:rPr>
              <w:t>桂发改电力</w:t>
            </w:r>
            <w:r>
              <w:rPr>
                <w:rFonts w:hAnsi="宋体" w:cs="宋体"/>
                <w:sz w:val="21"/>
              </w:rPr>
              <w:t>〔2025〕336号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初设批复文号</w:t>
            </w:r>
          </w:p>
        </w:tc>
        <w:tc>
          <w:tcPr>
            <w:tcW w:w="3476" w:type="dxa"/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snapToGrid w:val="0"/>
                <w:kern w:val="0"/>
                <w:szCs w:val="21"/>
              </w:rPr>
            </w:pPr>
            <w:r>
              <w:rPr>
                <w:rFonts w:ascii="宋体" w:hAnsi="宋体" w:eastAsia="宋体" w:cs="宋体"/>
                <w:snapToGrid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南方电网输配电〔2025〕</w:t>
            </w: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72</w:t>
            </w:r>
            <w:r>
              <w:rPr>
                <w:rFonts w:ascii="宋体" w:hAnsi="宋体" w:eastAsia="宋体" w:cs="宋体"/>
                <w:snapToGrid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Cs w:val="21"/>
              </w:rPr>
              <w:t>桂发改电力〔2025〕336号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施工图预算批复文号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6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</w:rPr>
              <w:t>南网超高压公司南宁局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7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</w:rPr>
              <w:t>广西壮族自治区南宁市江南区500kV南宁变电站</w:t>
            </w:r>
          </w:p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</w:rPr>
              <w:t>广西壮族自治区百色市平果县上马头镇500kV平果变电站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8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前期的设计或咨询服务单位名称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z w:val="21"/>
                <w:szCs w:val="21"/>
              </w:rPr>
              <w:t>中国能源建设集团广东省电力设计研究院有限公司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9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项目监理单位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</w:rPr>
              <w:t>/</w:t>
            </w:r>
          </w:p>
        </w:tc>
      </w:tr>
    </w:tbl>
    <w:p>
      <w:pPr>
        <w:pStyle w:val="2"/>
        <w:spacing w:line="360" w:lineRule="auto"/>
        <w:jc w:val="left"/>
        <w:outlineLvl w:val="0"/>
        <w:rPr>
          <w:rFonts w:hAnsi="宋体" w:cs="宋体"/>
          <w:b/>
          <w:bCs/>
          <w:snapToGrid w:val="0"/>
          <w:sz w:val="28"/>
          <w:szCs w:val="28"/>
        </w:rPr>
      </w:pPr>
    </w:p>
    <w:p>
      <w:pPr>
        <w:pStyle w:val="2"/>
        <w:adjustRightInd w:val="0"/>
        <w:snapToGrid w:val="0"/>
        <w:spacing w:line="360" w:lineRule="auto"/>
        <w:rPr>
          <w:rFonts w:hAnsi="宋体" w:cs="宋体"/>
          <w:b/>
          <w:sz w:val="24"/>
          <w:szCs w:val="24"/>
        </w:rPr>
      </w:pPr>
      <w:r>
        <w:rPr>
          <w:rFonts w:hint="eastAsia" w:hAnsi="宋体" w:cs="宋体"/>
          <w:b/>
          <w:sz w:val="24"/>
          <w:szCs w:val="24"/>
        </w:rPr>
        <w:t>一、项目概况</w:t>
      </w:r>
    </w:p>
    <w:p>
      <w:pPr>
        <w:pStyle w:val="2"/>
        <w:adjustRightInd w:val="0"/>
        <w:snapToGrid w:val="0"/>
        <w:spacing w:line="360" w:lineRule="auto"/>
        <w:ind w:firstLine="422" w:firstLineChars="200"/>
        <w:rPr>
          <w:rFonts w:hint="eastAsia" w:hAnsi="宋体" w:eastAsia="宋体" w:cs="宋体"/>
          <w:b/>
          <w:sz w:val="21"/>
          <w:szCs w:val="21"/>
          <w:lang w:val="en-US" w:eastAsia="zh-CN"/>
        </w:rPr>
      </w:pPr>
      <w:r>
        <w:rPr>
          <w:rFonts w:hint="eastAsia" w:hAnsi="宋体" w:cs="宋体"/>
          <w:b/>
          <w:sz w:val="21"/>
          <w:szCs w:val="21"/>
        </w:rPr>
        <w:t>（一）广西500千伏金陵站接线完善工程（超高压部分）</w:t>
      </w:r>
      <w:r>
        <w:rPr>
          <w:rFonts w:hint="eastAsia" w:hAnsi="宋体" w:cs="宋体"/>
          <w:b/>
          <w:sz w:val="21"/>
          <w:szCs w:val="21"/>
          <w:lang w:val="en-US" w:eastAsia="zh-CN"/>
        </w:rPr>
        <w:t>监理</w:t>
      </w:r>
    </w:p>
    <w:p>
      <w:pPr>
        <w:pStyle w:val="2"/>
        <w:adjustRightInd w:val="0"/>
        <w:snapToGrid w:val="0"/>
        <w:spacing w:line="360" w:lineRule="auto"/>
        <w:ind w:firstLine="422" w:firstLineChars="200"/>
        <w:jc w:val="left"/>
        <w:rPr>
          <w:rFonts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※变电部分: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szCs w:val="21"/>
        </w:rPr>
        <w:t>变电</w:t>
      </w:r>
      <w:r>
        <w:rPr>
          <w:rFonts w:hint="eastAsia" w:ascii="宋体" w:hAnsi="宋体" w:cs="宋体"/>
          <w:b/>
          <w:bCs/>
          <w:szCs w:val="21"/>
        </w:rPr>
        <w:t>建筑工程：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</w:pPr>
      <w:r>
        <w:rPr>
          <w:rFonts w:hint="eastAsia" w:ascii="宋体" w:hAnsi="宋体" w:cs="宋体"/>
          <w:bCs/>
          <w:szCs w:val="21"/>
        </w:rPr>
        <w:t>本项目不涉及。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/>
          <w:szCs w:val="21"/>
        </w:rPr>
        <w:t>变电</w:t>
      </w:r>
      <w:r>
        <w:rPr>
          <w:rFonts w:hint="eastAsia" w:ascii="宋体" w:hAnsi="宋体" w:cs="宋体"/>
          <w:b/>
          <w:bCs/>
          <w:szCs w:val="21"/>
        </w:rPr>
        <w:t>安装工程：</w:t>
      </w:r>
    </w:p>
    <w:p>
      <w:pPr>
        <w:pStyle w:val="2"/>
        <w:adjustRightInd w:val="0"/>
        <w:snapToGrid w:val="0"/>
        <w:spacing w:line="360" w:lineRule="auto"/>
        <w:ind w:firstLine="420" w:firstLineChars="200"/>
        <w:jc w:val="left"/>
        <w:rPr>
          <w:rFonts w:hAnsi="宋体" w:cs="宋体"/>
          <w:bCs/>
          <w:sz w:val="21"/>
          <w:szCs w:val="21"/>
        </w:rPr>
      </w:pPr>
      <w:r>
        <w:rPr>
          <w:rFonts w:hint="eastAsia" w:hAnsi="宋体" w:cs="宋体"/>
          <w:snapToGrid w:val="0"/>
          <w:sz w:val="21"/>
          <w:szCs w:val="21"/>
        </w:rPr>
        <w:t>500kV</w:t>
      </w:r>
      <w:r>
        <w:rPr>
          <w:rFonts w:hint="eastAsia" w:hAnsi="宋体" w:cs="宋体"/>
          <w:bCs/>
          <w:sz w:val="21"/>
          <w:szCs w:val="21"/>
        </w:rPr>
        <w:t>南宁变电站更换平南线路单回间隔线路保护，调整相应二次线。</w:t>
      </w:r>
    </w:p>
    <w:p>
      <w:pPr>
        <w:pStyle w:val="2"/>
        <w:adjustRightInd w:val="0"/>
        <w:snapToGrid w:val="0"/>
        <w:spacing w:line="360" w:lineRule="auto"/>
        <w:ind w:firstLine="420" w:firstLineChars="200"/>
        <w:jc w:val="left"/>
        <w:rPr>
          <w:rFonts w:hAnsi="宋体" w:cs="宋体"/>
          <w:bCs/>
          <w:sz w:val="21"/>
          <w:szCs w:val="21"/>
        </w:rPr>
      </w:pPr>
      <w:r>
        <w:rPr>
          <w:rFonts w:hint="eastAsia" w:hAnsi="宋体" w:cs="宋体"/>
          <w:sz w:val="21"/>
          <w:szCs w:val="21"/>
        </w:rPr>
        <w:t>500kV平果变电站更换平南线路单回间隔监控系统、保信等系统装置调试以及配套通信设备施工。</w:t>
      </w:r>
    </w:p>
    <w:p>
      <w:pPr>
        <w:pStyle w:val="2"/>
        <w:adjustRightInd w:val="0"/>
        <w:snapToGrid w:val="0"/>
        <w:spacing w:line="360" w:lineRule="auto"/>
        <w:ind w:firstLine="422" w:firstLineChars="200"/>
        <w:jc w:val="left"/>
        <w:rPr>
          <w:rFonts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※架空线路部分: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本项目不涉及。</w:t>
      </w:r>
    </w:p>
    <w:p>
      <w:pPr>
        <w:pStyle w:val="2"/>
        <w:snapToGrid w:val="0"/>
        <w:spacing w:line="360" w:lineRule="auto"/>
        <w:ind w:firstLine="422" w:firstLineChars="200"/>
        <w:jc w:val="left"/>
        <w:rPr>
          <w:rFonts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※通信部分：</w:t>
      </w:r>
    </w:p>
    <w:p>
      <w:pPr>
        <w:pStyle w:val="2"/>
        <w:adjustRightInd w:val="0"/>
        <w:snapToGrid w:val="0"/>
        <w:spacing w:line="360" w:lineRule="auto"/>
        <w:ind w:firstLine="420" w:firstLineChars="200"/>
        <w:jc w:val="left"/>
        <w:rPr>
          <w:rFonts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南网ASON网：平果变利旧原有板卡和光路子系统（BA+DCM），南宁变利旧原有板卡，拆除1套光放子系统。</w:t>
      </w:r>
    </w:p>
    <w:p>
      <w:pPr>
        <w:pStyle w:val="2"/>
        <w:adjustRightInd w:val="0"/>
        <w:snapToGrid w:val="0"/>
        <w:spacing w:line="360" w:lineRule="auto"/>
        <w:ind w:firstLine="420" w:firstLineChars="200"/>
        <w:jc w:val="left"/>
        <w:rPr>
          <w:rFonts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南网主干传输B网：平果变和南宁变各安装2块BA板，利旧原有光接口板卡，调试光缆解口后的光路。</w:t>
      </w:r>
    </w:p>
    <w:p>
      <w:pPr>
        <w:pStyle w:val="2"/>
        <w:adjustRightInd w:val="0"/>
        <w:snapToGrid w:val="0"/>
        <w:spacing w:line="360" w:lineRule="auto"/>
        <w:ind w:firstLine="420" w:firstLineChars="200"/>
        <w:jc w:val="left"/>
        <w:rPr>
          <w:rFonts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南网保底通信网骨干域：在平果变配置1块色散补偿模块，其余光接口板和光放子系统利旧。在南宁变更换1个8</w:t>
      </w:r>
      <w:r>
        <w:rPr>
          <w:rFonts w:hAnsi="宋体" w:cs="宋体"/>
          <w:bCs/>
          <w:sz w:val="21"/>
          <w:szCs w:val="21"/>
        </w:rPr>
        <w:t>0</w:t>
      </w:r>
      <w:r>
        <w:rPr>
          <w:rFonts w:hint="eastAsia" w:hAnsi="宋体" w:cs="宋体"/>
          <w:bCs/>
          <w:sz w:val="21"/>
          <w:szCs w:val="21"/>
        </w:rPr>
        <w:t>km光模块，利旧原有板卡，拆除1套光放子系统。调试光缆解口后的光路。</w:t>
      </w:r>
    </w:p>
    <w:p>
      <w:pPr>
        <w:pStyle w:val="2"/>
        <w:adjustRightInd w:val="0"/>
        <w:snapToGrid w:val="0"/>
        <w:spacing w:line="360" w:lineRule="auto"/>
        <w:ind w:firstLine="420" w:firstLineChars="200"/>
        <w:jc w:val="left"/>
        <w:rPr>
          <w:rFonts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省传输B网：调试光缆解口后的光路。</w:t>
      </w:r>
    </w:p>
    <w:p>
      <w:pPr>
        <w:pStyle w:val="2"/>
        <w:adjustRightInd w:val="0"/>
        <w:snapToGrid w:val="0"/>
        <w:spacing w:line="360" w:lineRule="auto"/>
        <w:ind w:firstLine="420" w:firstLineChars="200"/>
        <w:jc w:val="left"/>
        <w:rPr>
          <w:rFonts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南网保底通信网广西域：在平果变配置1块色散补偿模块，其余光接口板和光放子系统利旧。在南宁变更换1个8</w:t>
      </w:r>
      <w:r>
        <w:rPr>
          <w:rFonts w:hAnsi="宋体" w:cs="宋体"/>
          <w:bCs/>
          <w:sz w:val="21"/>
          <w:szCs w:val="21"/>
        </w:rPr>
        <w:t>0</w:t>
      </w:r>
      <w:r>
        <w:rPr>
          <w:rFonts w:hint="eastAsia" w:hAnsi="宋体" w:cs="宋体"/>
          <w:bCs/>
          <w:sz w:val="21"/>
          <w:szCs w:val="21"/>
        </w:rPr>
        <w:t>km光模块，利旧原有板卡，拆除1套光放子系统。调试光缆解口后的光路。</w:t>
      </w:r>
    </w:p>
    <w:p>
      <w:pPr>
        <w:pStyle w:val="2"/>
        <w:adjustRightInd w:val="0"/>
        <w:snapToGrid w:val="0"/>
        <w:spacing w:line="360" w:lineRule="auto"/>
        <w:ind w:firstLine="422" w:firstLineChars="200"/>
        <w:rPr>
          <w:rFonts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  <w:u w:val="single"/>
        </w:rPr>
        <w:t>具体建设规模以施工图纸为准。</w:t>
      </w:r>
    </w:p>
    <w:p>
      <w:pPr>
        <w:pStyle w:val="2"/>
        <w:snapToGrid w:val="0"/>
        <w:spacing w:line="360" w:lineRule="auto"/>
        <w:jc w:val="left"/>
        <w:outlineLvl w:val="0"/>
        <w:rPr>
          <w:rFonts w:hAnsi="宋体" w:cs="宋体"/>
          <w:b/>
          <w:bCs/>
          <w:snapToGrid w:val="0"/>
          <w:sz w:val="24"/>
          <w:szCs w:val="24"/>
          <w:highlight w:val="none"/>
        </w:rPr>
      </w:pPr>
      <w:r>
        <w:rPr>
          <w:rFonts w:hint="eastAsia" w:hAnsi="宋体" w:cs="宋体"/>
          <w:b/>
          <w:bCs/>
          <w:snapToGrid w:val="0"/>
          <w:sz w:val="24"/>
          <w:szCs w:val="24"/>
          <w:highlight w:val="none"/>
        </w:rPr>
        <w:t>二、采购范围</w:t>
      </w:r>
    </w:p>
    <w:p>
      <w:pPr>
        <w:pStyle w:val="2"/>
        <w:ind w:firstLine="422" w:firstLineChars="200"/>
        <w:rPr>
          <w:rFonts w:hint="eastAsia" w:hAnsi="宋体" w:cs="宋体"/>
          <w:b/>
          <w:bCs/>
          <w:snapToGrid w:val="0"/>
          <w:sz w:val="21"/>
          <w:szCs w:val="21"/>
          <w:highlight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sz w:val="21"/>
          <w:szCs w:val="21"/>
          <w:highlight w:val="none"/>
          <w:lang w:eastAsia="zh-CN"/>
        </w:rPr>
        <w:t>包括</w:t>
      </w:r>
      <w:r>
        <w:rPr>
          <w:rFonts w:hint="eastAsia" w:hAnsi="宋体" w:cs="宋体"/>
          <w:b/>
          <w:bCs/>
          <w:snapToGrid w:val="0"/>
          <w:sz w:val="21"/>
          <w:szCs w:val="21"/>
          <w:highlight w:val="none"/>
        </w:rPr>
        <w:t>施工准备、施工（含通信）、竣工结算、缺陷责任期、电子化移交的全过程监理。按照建设单位要求使用工程信息管理系统。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E842F3"/>
    <w:multiLevelType w:val="singleLevel"/>
    <w:tmpl w:val="99E842F3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E2E99557"/>
    <w:multiLevelType w:val="singleLevel"/>
    <w:tmpl w:val="E2E99557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EBC37843"/>
    <w:multiLevelType w:val="singleLevel"/>
    <w:tmpl w:val="EBC3784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EF3E043E"/>
    <w:multiLevelType w:val="singleLevel"/>
    <w:tmpl w:val="EF3E043E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4">
    <w:nsid w:val="05254437"/>
    <w:multiLevelType w:val="singleLevel"/>
    <w:tmpl w:val="05254437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5">
    <w:nsid w:val="1A3637B2"/>
    <w:multiLevelType w:val="singleLevel"/>
    <w:tmpl w:val="1A3637B2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6">
    <w:nsid w:val="273F47E8"/>
    <w:multiLevelType w:val="singleLevel"/>
    <w:tmpl w:val="273F47E8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79A310E4"/>
    <w:multiLevelType w:val="singleLevel"/>
    <w:tmpl w:val="79A310E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A31851"/>
    <w:rsid w:val="00160905"/>
    <w:rsid w:val="00634400"/>
    <w:rsid w:val="00735D39"/>
    <w:rsid w:val="0074475E"/>
    <w:rsid w:val="00AC4EA7"/>
    <w:rsid w:val="00C14451"/>
    <w:rsid w:val="00D42EBA"/>
    <w:rsid w:val="00E317F6"/>
    <w:rsid w:val="00E639D2"/>
    <w:rsid w:val="01234B47"/>
    <w:rsid w:val="01333E91"/>
    <w:rsid w:val="014C49AF"/>
    <w:rsid w:val="015A35F5"/>
    <w:rsid w:val="01740790"/>
    <w:rsid w:val="018B7850"/>
    <w:rsid w:val="01AA6406"/>
    <w:rsid w:val="02056B79"/>
    <w:rsid w:val="02257DBD"/>
    <w:rsid w:val="022711E1"/>
    <w:rsid w:val="02373911"/>
    <w:rsid w:val="024073A2"/>
    <w:rsid w:val="024654A7"/>
    <w:rsid w:val="02514781"/>
    <w:rsid w:val="0258635C"/>
    <w:rsid w:val="026A4799"/>
    <w:rsid w:val="02885EBC"/>
    <w:rsid w:val="02A921A7"/>
    <w:rsid w:val="02B15B34"/>
    <w:rsid w:val="02C83782"/>
    <w:rsid w:val="03287EDC"/>
    <w:rsid w:val="034D7CA2"/>
    <w:rsid w:val="034E0227"/>
    <w:rsid w:val="037E227F"/>
    <w:rsid w:val="03AA0451"/>
    <w:rsid w:val="03AF423F"/>
    <w:rsid w:val="03E3268F"/>
    <w:rsid w:val="04652054"/>
    <w:rsid w:val="046C6B58"/>
    <w:rsid w:val="04865276"/>
    <w:rsid w:val="04894F85"/>
    <w:rsid w:val="048C6109"/>
    <w:rsid w:val="049E6E5E"/>
    <w:rsid w:val="04A100F9"/>
    <w:rsid w:val="04A77B66"/>
    <w:rsid w:val="04C67035"/>
    <w:rsid w:val="054A1544"/>
    <w:rsid w:val="055A1D52"/>
    <w:rsid w:val="05765B38"/>
    <w:rsid w:val="05953600"/>
    <w:rsid w:val="0597414B"/>
    <w:rsid w:val="05B438D9"/>
    <w:rsid w:val="05C24366"/>
    <w:rsid w:val="06784EE2"/>
    <w:rsid w:val="068A6309"/>
    <w:rsid w:val="069E2ED8"/>
    <w:rsid w:val="06CC371C"/>
    <w:rsid w:val="06D66D52"/>
    <w:rsid w:val="07066189"/>
    <w:rsid w:val="070E64F1"/>
    <w:rsid w:val="070F4FB8"/>
    <w:rsid w:val="073D2356"/>
    <w:rsid w:val="079F1171"/>
    <w:rsid w:val="08142C88"/>
    <w:rsid w:val="082B6B4E"/>
    <w:rsid w:val="087950C3"/>
    <w:rsid w:val="088607AA"/>
    <w:rsid w:val="08BF1F2D"/>
    <w:rsid w:val="08CE5B36"/>
    <w:rsid w:val="08E3133A"/>
    <w:rsid w:val="08E35813"/>
    <w:rsid w:val="08EA265C"/>
    <w:rsid w:val="091C5B6F"/>
    <w:rsid w:val="099C2434"/>
    <w:rsid w:val="09AA6D50"/>
    <w:rsid w:val="09B13DAF"/>
    <w:rsid w:val="09E661D8"/>
    <w:rsid w:val="0A34389E"/>
    <w:rsid w:val="0A434B06"/>
    <w:rsid w:val="0A7B09AD"/>
    <w:rsid w:val="0A844D78"/>
    <w:rsid w:val="0A985A04"/>
    <w:rsid w:val="0AB54D77"/>
    <w:rsid w:val="0AB55BC4"/>
    <w:rsid w:val="0B007ACB"/>
    <w:rsid w:val="0B0808AF"/>
    <w:rsid w:val="0B0F2FF1"/>
    <w:rsid w:val="0B142DCD"/>
    <w:rsid w:val="0B92040A"/>
    <w:rsid w:val="0BF179A4"/>
    <w:rsid w:val="0BF26409"/>
    <w:rsid w:val="0C000241"/>
    <w:rsid w:val="0C1E223E"/>
    <w:rsid w:val="0C386FE3"/>
    <w:rsid w:val="0C482B96"/>
    <w:rsid w:val="0C4B6137"/>
    <w:rsid w:val="0C7F2FB9"/>
    <w:rsid w:val="0C924F7F"/>
    <w:rsid w:val="0C9A2412"/>
    <w:rsid w:val="0CA06D4A"/>
    <w:rsid w:val="0CB26B57"/>
    <w:rsid w:val="0CCE61A6"/>
    <w:rsid w:val="0CF04D2D"/>
    <w:rsid w:val="0D0116A7"/>
    <w:rsid w:val="0D035166"/>
    <w:rsid w:val="0D502146"/>
    <w:rsid w:val="0D603900"/>
    <w:rsid w:val="0D6D48F9"/>
    <w:rsid w:val="0D725303"/>
    <w:rsid w:val="0D871279"/>
    <w:rsid w:val="0DD16EDD"/>
    <w:rsid w:val="0DD42F2A"/>
    <w:rsid w:val="0DD772CA"/>
    <w:rsid w:val="0DDC4BFD"/>
    <w:rsid w:val="0E215EAB"/>
    <w:rsid w:val="0E2C1CAE"/>
    <w:rsid w:val="0E3C4380"/>
    <w:rsid w:val="0E496566"/>
    <w:rsid w:val="0E6860E1"/>
    <w:rsid w:val="0E7930B0"/>
    <w:rsid w:val="0E8305E3"/>
    <w:rsid w:val="0EDC7EDE"/>
    <w:rsid w:val="0EE1215B"/>
    <w:rsid w:val="0EE24AF4"/>
    <w:rsid w:val="0EE842E9"/>
    <w:rsid w:val="0F16617F"/>
    <w:rsid w:val="0F1671BB"/>
    <w:rsid w:val="0F4F3CED"/>
    <w:rsid w:val="0F783895"/>
    <w:rsid w:val="100A20AC"/>
    <w:rsid w:val="10126925"/>
    <w:rsid w:val="101A4FA7"/>
    <w:rsid w:val="101B5FBF"/>
    <w:rsid w:val="10292999"/>
    <w:rsid w:val="10556526"/>
    <w:rsid w:val="10597DFC"/>
    <w:rsid w:val="10656E88"/>
    <w:rsid w:val="10743206"/>
    <w:rsid w:val="1078783A"/>
    <w:rsid w:val="10AD46CB"/>
    <w:rsid w:val="10B57E67"/>
    <w:rsid w:val="10BA6175"/>
    <w:rsid w:val="10CB27CE"/>
    <w:rsid w:val="10E2592C"/>
    <w:rsid w:val="11644228"/>
    <w:rsid w:val="118F5908"/>
    <w:rsid w:val="11A21712"/>
    <w:rsid w:val="11AD553B"/>
    <w:rsid w:val="12203995"/>
    <w:rsid w:val="122A0CEF"/>
    <w:rsid w:val="124F21F3"/>
    <w:rsid w:val="12712B03"/>
    <w:rsid w:val="128B0996"/>
    <w:rsid w:val="12DE2CA9"/>
    <w:rsid w:val="12EE046D"/>
    <w:rsid w:val="130B4D14"/>
    <w:rsid w:val="133F34EA"/>
    <w:rsid w:val="13424C34"/>
    <w:rsid w:val="13716D9B"/>
    <w:rsid w:val="13B145E4"/>
    <w:rsid w:val="13C37281"/>
    <w:rsid w:val="13E25777"/>
    <w:rsid w:val="13E67590"/>
    <w:rsid w:val="13EC68F3"/>
    <w:rsid w:val="13FD0A07"/>
    <w:rsid w:val="140359B0"/>
    <w:rsid w:val="145D719E"/>
    <w:rsid w:val="14892EC9"/>
    <w:rsid w:val="149113C6"/>
    <w:rsid w:val="149E6179"/>
    <w:rsid w:val="14A517E4"/>
    <w:rsid w:val="14E478D4"/>
    <w:rsid w:val="14EF57D3"/>
    <w:rsid w:val="1510366A"/>
    <w:rsid w:val="1517719C"/>
    <w:rsid w:val="1531652D"/>
    <w:rsid w:val="15327A46"/>
    <w:rsid w:val="1541289B"/>
    <w:rsid w:val="154356C5"/>
    <w:rsid w:val="157A61FC"/>
    <w:rsid w:val="157D2D7C"/>
    <w:rsid w:val="157F22D3"/>
    <w:rsid w:val="15AF6A20"/>
    <w:rsid w:val="15E97E48"/>
    <w:rsid w:val="15FB6399"/>
    <w:rsid w:val="1635495F"/>
    <w:rsid w:val="16382BA5"/>
    <w:rsid w:val="165E38ED"/>
    <w:rsid w:val="166C3F28"/>
    <w:rsid w:val="16B914D5"/>
    <w:rsid w:val="16BB6770"/>
    <w:rsid w:val="16E5397F"/>
    <w:rsid w:val="17F40C30"/>
    <w:rsid w:val="18061F11"/>
    <w:rsid w:val="182C1548"/>
    <w:rsid w:val="183959AC"/>
    <w:rsid w:val="187314E4"/>
    <w:rsid w:val="18D31FA0"/>
    <w:rsid w:val="18D914F7"/>
    <w:rsid w:val="18DA34FC"/>
    <w:rsid w:val="18DF1A90"/>
    <w:rsid w:val="18F769A7"/>
    <w:rsid w:val="191A0288"/>
    <w:rsid w:val="197700D9"/>
    <w:rsid w:val="19BA688F"/>
    <w:rsid w:val="19CB2669"/>
    <w:rsid w:val="19D94A08"/>
    <w:rsid w:val="19E16826"/>
    <w:rsid w:val="19FD0A55"/>
    <w:rsid w:val="1A0E4463"/>
    <w:rsid w:val="1A125A1A"/>
    <w:rsid w:val="1A24104A"/>
    <w:rsid w:val="1A812CEC"/>
    <w:rsid w:val="1AA02166"/>
    <w:rsid w:val="1AD738BE"/>
    <w:rsid w:val="1ADC3A8B"/>
    <w:rsid w:val="1B157B93"/>
    <w:rsid w:val="1B1702DF"/>
    <w:rsid w:val="1B18509E"/>
    <w:rsid w:val="1B1D2B27"/>
    <w:rsid w:val="1B272B64"/>
    <w:rsid w:val="1B325AC4"/>
    <w:rsid w:val="1B484B62"/>
    <w:rsid w:val="1B8112BB"/>
    <w:rsid w:val="1B9A374E"/>
    <w:rsid w:val="1BC54021"/>
    <w:rsid w:val="1BC6116D"/>
    <w:rsid w:val="1BDD32DA"/>
    <w:rsid w:val="1BEF2397"/>
    <w:rsid w:val="1C020C05"/>
    <w:rsid w:val="1C02117A"/>
    <w:rsid w:val="1C021A24"/>
    <w:rsid w:val="1C7F4555"/>
    <w:rsid w:val="1C9B15BD"/>
    <w:rsid w:val="1CBA1624"/>
    <w:rsid w:val="1CBA18A9"/>
    <w:rsid w:val="1CD911A3"/>
    <w:rsid w:val="1D252978"/>
    <w:rsid w:val="1D326BC3"/>
    <w:rsid w:val="1D4A6449"/>
    <w:rsid w:val="1D63238B"/>
    <w:rsid w:val="1DBE31E8"/>
    <w:rsid w:val="1DC8387C"/>
    <w:rsid w:val="1DDE0980"/>
    <w:rsid w:val="1DED7883"/>
    <w:rsid w:val="1E590185"/>
    <w:rsid w:val="1E5D0A91"/>
    <w:rsid w:val="1E824BA3"/>
    <w:rsid w:val="1E93089F"/>
    <w:rsid w:val="1EAD1EBA"/>
    <w:rsid w:val="1EF677B0"/>
    <w:rsid w:val="1EFB4779"/>
    <w:rsid w:val="1F247549"/>
    <w:rsid w:val="1F473733"/>
    <w:rsid w:val="1FBE56FE"/>
    <w:rsid w:val="1FBF1795"/>
    <w:rsid w:val="1FC05EB3"/>
    <w:rsid w:val="1FD72BED"/>
    <w:rsid w:val="1FEB6536"/>
    <w:rsid w:val="200A1251"/>
    <w:rsid w:val="202D7CD9"/>
    <w:rsid w:val="207474F3"/>
    <w:rsid w:val="20812AE8"/>
    <w:rsid w:val="20977C56"/>
    <w:rsid w:val="209C1411"/>
    <w:rsid w:val="20A95361"/>
    <w:rsid w:val="20C67991"/>
    <w:rsid w:val="20E179D2"/>
    <w:rsid w:val="20E6256D"/>
    <w:rsid w:val="211E3F60"/>
    <w:rsid w:val="2167725F"/>
    <w:rsid w:val="21AA6FE7"/>
    <w:rsid w:val="21C75F02"/>
    <w:rsid w:val="21D051E6"/>
    <w:rsid w:val="220431B6"/>
    <w:rsid w:val="221364F1"/>
    <w:rsid w:val="22293B5B"/>
    <w:rsid w:val="22305F5D"/>
    <w:rsid w:val="224C6BF4"/>
    <w:rsid w:val="22A75DA2"/>
    <w:rsid w:val="22F9477D"/>
    <w:rsid w:val="232769C8"/>
    <w:rsid w:val="233372E7"/>
    <w:rsid w:val="233F0309"/>
    <w:rsid w:val="23701809"/>
    <w:rsid w:val="238B50E2"/>
    <w:rsid w:val="23A57609"/>
    <w:rsid w:val="23C86946"/>
    <w:rsid w:val="23D005DB"/>
    <w:rsid w:val="23D02F97"/>
    <w:rsid w:val="23E34E0E"/>
    <w:rsid w:val="23E44DFE"/>
    <w:rsid w:val="23F34C2A"/>
    <w:rsid w:val="23F364EC"/>
    <w:rsid w:val="23F456E4"/>
    <w:rsid w:val="24201EC5"/>
    <w:rsid w:val="243B00EF"/>
    <w:rsid w:val="2479480C"/>
    <w:rsid w:val="24836ED4"/>
    <w:rsid w:val="24A23085"/>
    <w:rsid w:val="24AA0A2F"/>
    <w:rsid w:val="24EB170E"/>
    <w:rsid w:val="250929B2"/>
    <w:rsid w:val="25241B39"/>
    <w:rsid w:val="253D766D"/>
    <w:rsid w:val="253F2A6B"/>
    <w:rsid w:val="254D6486"/>
    <w:rsid w:val="25873B6E"/>
    <w:rsid w:val="259B3430"/>
    <w:rsid w:val="25BC0F61"/>
    <w:rsid w:val="25E605EC"/>
    <w:rsid w:val="25F00C39"/>
    <w:rsid w:val="26262D43"/>
    <w:rsid w:val="26665B8F"/>
    <w:rsid w:val="26807ADA"/>
    <w:rsid w:val="26A61A79"/>
    <w:rsid w:val="26C4717A"/>
    <w:rsid w:val="26D877A6"/>
    <w:rsid w:val="26DB4517"/>
    <w:rsid w:val="26EE0071"/>
    <w:rsid w:val="271C66CE"/>
    <w:rsid w:val="272B7F70"/>
    <w:rsid w:val="27505FA0"/>
    <w:rsid w:val="276242D9"/>
    <w:rsid w:val="2769620E"/>
    <w:rsid w:val="277B01F7"/>
    <w:rsid w:val="277F58FE"/>
    <w:rsid w:val="278B23EB"/>
    <w:rsid w:val="278E6E06"/>
    <w:rsid w:val="279D3C4B"/>
    <w:rsid w:val="27C1171A"/>
    <w:rsid w:val="27C25595"/>
    <w:rsid w:val="27CE2F76"/>
    <w:rsid w:val="27D67AEA"/>
    <w:rsid w:val="27E77FA5"/>
    <w:rsid w:val="27F33BEF"/>
    <w:rsid w:val="282B41CB"/>
    <w:rsid w:val="285C489C"/>
    <w:rsid w:val="28720E55"/>
    <w:rsid w:val="28862019"/>
    <w:rsid w:val="28AC3E74"/>
    <w:rsid w:val="28B770FF"/>
    <w:rsid w:val="28DC4EAA"/>
    <w:rsid w:val="29141B8A"/>
    <w:rsid w:val="29186F9B"/>
    <w:rsid w:val="291C2120"/>
    <w:rsid w:val="29405AF3"/>
    <w:rsid w:val="2941782B"/>
    <w:rsid w:val="297040AC"/>
    <w:rsid w:val="297A46BF"/>
    <w:rsid w:val="298E4055"/>
    <w:rsid w:val="299013D6"/>
    <w:rsid w:val="29953D19"/>
    <w:rsid w:val="299769BD"/>
    <w:rsid w:val="29A86C9B"/>
    <w:rsid w:val="29BB00F3"/>
    <w:rsid w:val="29BC596C"/>
    <w:rsid w:val="29FF673D"/>
    <w:rsid w:val="2A364F6A"/>
    <w:rsid w:val="2A4436BF"/>
    <w:rsid w:val="2A4C098D"/>
    <w:rsid w:val="2AFB022D"/>
    <w:rsid w:val="2B214069"/>
    <w:rsid w:val="2B2A5014"/>
    <w:rsid w:val="2B371F98"/>
    <w:rsid w:val="2B3856E9"/>
    <w:rsid w:val="2B3D02F2"/>
    <w:rsid w:val="2B3E77A4"/>
    <w:rsid w:val="2B431E0B"/>
    <w:rsid w:val="2B5D1C4D"/>
    <w:rsid w:val="2B7B6879"/>
    <w:rsid w:val="2B861078"/>
    <w:rsid w:val="2B9C1D46"/>
    <w:rsid w:val="2BAF5518"/>
    <w:rsid w:val="2BBF1854"/>
    <w:rsid w:val="2BE0210F"/>
    <w:rsid w:val="2BE637B3"/>
    <w:rsid w:val="2BFD6ECD"/>
    <w:rsid w:val="2C0555E7"/>
    <w:rsid w:val="2C234287"/>
    <w:rsid w:val="2C3D20C7"/>
    <w:rsid w:val="2C721007"/>
    <w:rsid w:val="2C737020"/>
    <w:rsid w:val="2CCE758B"/>
    <w:rsid w:val="2D0936D4"/>
    <w:rsid w:val="2D3D1D37"/>
    <w:rsid w:val="2D6A3D58"/>
    <w:rsid w:val="2D6D06FF"/>
    <w:rsid w:val="2D8A6018"/>
    <w:rsid w:val="2D8C38CB"/>
    <w:rsid w:val="2D9B7B12"/>
    <w:rsid w:val="2DCE1DE5"/>
    <w:rsid w:val="2DD76019"/>
    <w:rsid w:val="2E1218FF"/>
    <w:rsid w:val="2E1B0AD6"/>
    <w:rsid w:val="2E494152"/>
    <w:rsid w:val="2E7225D7"/>
    <w:rsid w:val="2E7D5F32"/>
    <w:rsid w:val="2EB73D67"/>
    <w:rsid w:val="2EBF4AC4"/>
    <w:rsid w:val="2ED82027"/>
    <w:rsid w:val="2EE839A3"/>
    <w:rsid w:val="2F5A2E3F"/>
    <w:rsid w:val="2F6F415D"/>
    <w:rsid w:val="2F9B59A0"/>
    <w:rsid w:val="2FC05317"/>
    <w:rsid w:val="2FF4434D"/>
    <w:rsid w:val="30005F4F"/>
    <w:rsid w:val="3023701C"/>
    <w:rsid w:val="30403944"/>
    <w:rsid w:val="30485DC7"/>
    <w:rsid w:val="30C91BC9"/>
    <w:rsid w:val="30F64373"/>
    <w:rsid w:val="3110785D"/>
    <w:rsid w:val="31123C07"/>
    <w:rsid w:val="314F5802"/>
    <w:rsid w:val="315D6B90"/>
    <w:rsid w:val="319349B2"/>
    <w:rsid w:val="31ED003F"/>
    <w:rsid w:val="31F4784C"/>
    <w:rsid w:val="31FE5B35"/>
    <w:rsid w:val="320A13EE"/>
    <w:rsid w:val="32127BF7"/>
    <w:rsid w:val="32250F77"/>
    <w:rsid w:val="32265346"/>
    <w:rsid w:val="323718A6"/>
    <w:rsid w:val="324D335F"/>
    <w:rsid w:val="328551AF"/>
    <w:rsid w:val="32C459B6"/>
    <w:rsid w:val="32D65512"/>
    <w:rsid w:val="32FC0C7E"/>
    <w:rsid w:val="33280206"/>
    <w:rsid w:val="3331792D"/>
    <w:rsid w:val="334C5D0B"/>
    <w:rsid w:val="33750A5E"/>
    <w:rsid w:val="338208DF"/>
    <w:rsid w:val="33A71631"/>
    <w:rsid w:val="33AF7552"/>
    <w:rsid w:val="33FD6451"/>
    <w:rsid w:val="34103805"/>
    <w:rsid w:val="344620B9"/>
    <w:rsid w:val="3447047A"/>
    <w:rsid w:val="345E3143"/>
    <w:rsid w:val="347666F3"/>
    <w:rsid w:val="347B6553"/>
    <w:rsid w:val="34994606"/>
    <w:rsid w:val="34BC100F"/>
    <w:rsid w:val="34C64644"/>
    <w:rsid w:val="34C6497B"/>
    <w:rsid w:val="34E52ED6"/>
    <w:rsid w:val="34E833ED"/>
    <w:rsid w:val="34ED355A"/>
    <w:rsid w:val="35016B7E"/>
    <w:rsid w:val="350D0C0B"/>
    <w:rsid w:val="350D69B7"/>
    <w:rsid w:val="35223CEF"/>
    <w:rsid w:val="352F30A4"/>
    <w:rsid w:val="35394A56"/>
    <w:rsid w:val="3560453F"/>
    <w:rsid w:val="35747116"/>
    <w:rsid w:val="35773E1C"/>
    <w:rsid w:val="357E1910"/>
    <w:rsid w:val="35816FE0"/>
    <w:rsid w:val="35A03192"/>
    <w:rsid w:val="35A45BDC"/>
    <w:rsid w:val="35A9442E"/>
    <w:rsid w:val="35C54B17"/>
    <w:rsid w:val="35F5317F"/>
    <w:rsid w:val="35FB3689"/>
    <w:rsid w:val="362816D0"/>
    <w:rsid w:val="368D064F"/>
    <w:rsid w:val="36AE7442"/>
    <w:rsid w:val="36BA7ADC"/>
    <w:rsid w:val="36BB49DC"/>
    <w:rsid w:val="36CC2C53"/>
    <w:rsid w:val="370C332C"/>
    <w:rsid w:val="372F06AC"/>
    <w:rsid w:val="378A7DEF"/>
    <w:rsid w:val="38120D5F"/>
    <w:rsid w:val="38142CB8"/>
    <w:rsid w:val="38150E29"/>
    <w:rsid w:val="38172F3D"/>
    <w:rsid w:val="381F14AC"/>
    <w:rsid w:val="3821596F"/>
    <w:rsid w:val="385A4ECB"/>
    <w:rsid w:val="38855E39"/>
    <w:rsid w:val="389C1DD9"/>
    <w:rsid w:val="38B90A95"/>
    <w:rsid w:val="38CE0D79"/>
    <w:rsid w:val="38E67BBA"/>
    <w:rsid w:val="394152E9"/>
    <w:rsid w:val="3954004F"/>
    <w:rsid w:val="396809AD"/>
    <w:rsid w:val="398A6646"/>
    <w:rsid w:val="39A72E4F"/>
    <w:rsid w:val="39C45650"/>
    <w:rsid w:val="39D9372B"/>
    <w:rsid w:val="39FA6C90"/>
    <w:rsid w:val="3A32422B"/>
    <w:rsid w:val="3A396A12"/>
    <w:rsid w:val="3A47133D"/>
    <w:rsid w:val="3A4C1AC6"/>
    <w:rsid w:val="3A4F46F7"/>
    <w:rsid w:val="3A602028"/>
    <w:rsid w:val="3A702EFF"/>
    <w:rsid w:val="3A7C2FB0"/>
    <w:rsid w:val="3AB6473B"/>
    <w:rsid w:val="3AD35499"/>
    <w:rsid w:val="3AD60989"/>
    <w:rsid w:val="3AF70779"/>
    <w:rsid w:val="3B0E1C9B"/>
    <w:rsid w:val="3B1861B2"/>
    <w:rsid w:val="3B3258F0"/>
    <w:rsid w:val="3B410753"/>
    <w:rsid w:val="3B65666D"/>
    <w:rsid w:val="3B6E7768"/>
    <w:rsid w:val="3B720DAF"/>
    <w:rsid w:val="3B74312B"/>
    <w:rsid w:val="3B8C3406"/>
    <w:rsid w:val="3BB34C22"/>
    <w:rsid w:val="3BCE6326"/>
    <w:rsid w:val="3BFC3F9D"/>
    <w:rsid w:val="3C1A4009"/>
    <w:rsid w:val="3C8303D7"/>
    <w:rsid w:val="3CB90382"/>
    <w:rsid w:val="3CC66BCF"/>
    <w:rsid w:val="3CC948E2"/>
    <w:rsid w:val="3CF90008"/>
    <w:rsid w:val="3D290AD8"/>
    <w:rsid w:val="3D4E5F25"/>
    <w:rsid w:val="3DBD7114"/>
    <w:rsid w:val="3DC545B0"/>
    <w:rsid w:val="3DE61EB3"/>
    <w:rsid w:val="3E5A34F7"/>
    <w:rsid w:val="3E76000B"/>
    <w:rsid w:val="3ED97DFB"/>
    <w:rsid w:val="3EDA6DEA"/>
    <w:rsid w:val="3EEC096E"/>
    <w:rsid w:val="3F18078B"/>
    <w:rsid w:val="3F9D51D1"/>
    <w:rsid w:val="3FB078FE"/>
    <w:rsid w:val="3FB82BCD"/>
    <w:rsid w:val="3FBA6D89"/>
    <w:rsid w:val="3FED1AC3"/>
    <w:rsid w:val="3FF61880"/>
    <w:rsid w:val="3FF855C0"/>
    <w:rsid w:val="3FFE7D45"/>
    <w:rsid w:val="402D46A9"/>
    <w:rsid w:val="403D574E"/>
    <w:rsid w:val="40444B63"/>
    <w:rsid w:val="40674BBA"/>
    <w:rsid w:val="407F694F"/>
    <w:rsid w:val="408D0876"/>
    <w:rsid w:val="40AD34A5"/>
    <w:rsid w:val="40B212A2"/>
    <w:rsid w:val="40D37CBF"/>
    <w:rsid w:val="40E45EBE"/>
    <w:rsid w:val="410D0887"/>
    <w:rsid w:val="4110084C"/>
    <w:rsid w:val="412A1CD3"/>
    <w:rsid w:val="4142454E"/>
    <w:rsid w:val="414D72E8"/>
    <w:rsid w:val="41927838"/>
    <w:rsid w:val="41934330"/>
    <w:rsid w:val="41B1014D"/>
    <w:rsid w:val="41CF35A6"/>
    <w:rsid w:val="41EE0065"/>
    <w:rsid w:val="41F064DA"/>
    <w:rsid w:val="41F427C7"/>
    <w:rsid w:val="420A037C"/>
    <w:rsid w:val="421D48A8"/>
    <w:rsid w:val="422200DA"/>
    <w:rsid w:val="42397608"/>
    <w:rsid w:val="42411959"/>
    <w:rsid w:val="42570210"/>
    <w:rsid w:val="426B1F1D"/>
    <w:rsid w:val="4289751A"/>
    <w:rsid w:val="42BB7925"/>
    <w:rsid w:val="42C212EE"/>
    <w:rsid w:val="42C47D99"/>
    <w:rsid w:val="42EA55AA"/>
    <w:rsid w:val="42F61DEC"/>
    <w:rsid w:val="4310568C"/>
    <w:rsid w:val="43176289"/>
    <w:rsid w:val="43475EFE"/>
    <w:rsid w:val="4372708D"/>
    <w:rsid w:val="439E7831"/>
    <w:rsid w:val="43E266DE"/>
    <w:rsid w:val="44022662"/>
    <w:rsid w:val="44093592"/>
    <w:rsid w:val="443A099C"/>
    <w:rsid w:val="443A4E2B"/>
    <w:rsid w:val="44C439C8"/>
    <w:rsid w:val="44D32EA5"/>
    <w:rsid w:val="44E044B6"/>
    <w:rsid w:val="45064ABA"/>
    <w:rsid w:val="450C6133"/>
    <w:rsid w:val="45317D80"/>
    <w:rsid w:val="4542258C"/>
    <w:rsid w:val="454D4A33"/>
    <w:rsid w:val="454F7CC0"/>
    <w:rsid w:val="455236DD"/>
    <w:rsid w:val="455A653B"/>
    <w:rsid w:val="458B1AD4"/>
    <w:rsid w:val="45932AA6"/>
    <w:rsid w:val="459F2E19"/>
    <w:rsid w:val="45B57ACC"/>
    <w:rsid w:val="45BE3FFD"/>
    <w:rsid w:val="45D836DD"/>
    <w:rsid w:val="45E873D6"/>
    <w:rsid w:val="46111312"/>
    <w:rsid w:val="462F018D"/>
    <w:rsid w:val="462F1F22"/>
    <w:rsid w:val="46490EA5"/>
    <w:rsid w:val="465B5D2E"/>
    <w:rsid w:val="46653242"/>
    <w:rsid w:val="46740268"/>
    <w:rsid w:val="469212BC"/>
    <w:rsid w:val="46D4582B"/>
    <w:rsid w:val="47651CC4"/>
    <w:rsid w:val="47BF60DB"/>
    <w:rsid w:val="47C524E6"/>
    <w:rsid w:val="47CD5140"/>
    <w:rsid w:val="47CE3E13"/>
    <w:rsid w:val="47D974AB"/>
    <w:rsid w:val="480333C4"/>
    <w:rsid w:val="48063C1F"/>
    <w:rsid w:val="4859150B"/>
    <w:rsid w:val="48A01AF0"/>
    <w:rsid w:val="48A31C26"/>
    <w:rsid w:val="48AB7C8B"/>
    <w:rsid w:val="48C61B22"/>
    <w:rsid w:val="48DF4D81"/>
    <w:rsid w:val="48EC6995"/>
    <w:rsid w:val="48F10580"/>
    <w:rsid w:val="49307CC2"/>
    <w:rsid w:val="49653B91"/>
    <w:rsid w:val="49A77852"/>
    <w:rsid w:val="49B92D76"/>
    <w:rsid w:val="49C517DE"/>
    <w:rsid w:val="49D1179B"/>
    <w:rsid w:val="49D42AD3"/>
    <w:rsid w:val="49E25BD6"/>
    <w:rsid w:val="49E25F7F"/>
    <w:rsid w:val="49F1060D"/>
    <w:rsid w:val="4A2C363B"/>
    <w:rsid w:val="4A395980"/>
    <w:rsid w:val="4A6140E2"/>
    <w:rsid w:val="4AA07C1B"/>
    <w:rsid w:val="4AA63CA7"/>
    <w:rsid w:val="4AAA743F"/>
    <w:rsid w:val="4ADF6F64"/>
    <w:rsid w:val="4AE92033"/>
    <w:rsid w:val="4B060270"/>
    <w:rsid w:val="4B116F6C"/>
    <w:rsid w:val="4B3F3CF1"/>
    <w:rsid w:val="4B6D767A"/>
    <w:rsid w:val="4B991A55"/>
    <w:rsid w:val="4BAA060F"/>
    <w:rsid w:val="4BB977B0"/>
    <w:rsid w:val="4C0700DB"/>
    <w:rsid w:val="4C080AAC"/>
    <w:rsid w:val="4C6560C3"/>
    <w:rsid w:val="4CAE144C"/>
    <w:rsid w:val="4CD01024"/>
    <w:rsid w:val="4CDB4AA5"/>
    <w:rsid w:val="4D1E4C44"/>
    <w:rsid w:val="4D312991"/>
    <w:rsid w:val="4D6D4F91"/>
    <w:rsid w:val="4D784F22"/>
    <w:rsid w:val="4DBC5532"/>
    <w:rsid w:val="4DDC0511"/>
    <w:rsid w:val="4DF623F7"/>
    <w:rsid w:val="4E117AB9"/>
    <w:rsid w:val="4E1B7F7E"/>
    <w:rsid w:val="4E36085D"/>
    <w:rsid w:val="4E5B20FE"/>
    <w:rsid w:val="4E5B7B9D"/>
    <w:rsid w:val="4E9D76EE"/>
    <w:rsid w:val="4EA13866"/>
    <w:rsid w:val="4EC82EAB"/>
    <w:rsid w:val="4EC9657F"/>
    <w:rsid w:val="4ED565C1"/>
    <w:rsid w:val="4F003028"/>
    <w:rsid w:val="4F0A6052"/>
    <w:rsid w:val="4F12387B"/>
    <w:rsid w:val="4F2177D6"/>
    <w:rsid w:val="4F2E66BC"/>
    <w:rsid w:val="4F651BED"/>
    <w:rsid w:val="4F86398F"/>
    <w:rsid w:val="4F99674D"/>
    <w:rsid w:val="4FAC341B"/>
    <w:rsid w:val="4FBE70F5"/>
    <w:rsid w:val="4FCF701E"/>
    <w:rsid w:val="4FE65B93"/>
    <w:rsid w:val="4FF04D49"/>
    <w:rsid w:val="4FF306CF"/>
    <w:rsid w:val="4FF87AAA"/>
    <w:rsid w:val="500460E9"/>
    <w:rsid w:val="506B7D50"/>
    <w:rsid w:val="50794009"/>
    <w:rsid w:val="50CC062E"/>
    <w:rsid w:val="50F60A56"/>
    <w:rsid w:val="51067C3B"/>
    <w:rsid w:val="51097A3D"/>
    <w:rsid w:val="512833F8"/>
    <w:rsid w:val="512F1E9E"/>
    <w:rsid w:val="519E438F"/>
    <w:rsid w:val="51BC119F"/>
    <w:rsid w:val="51D835F6"/>
    <w:rsid w:val="51E77F3F"/>
    <w:rsid w:val="51F57061"/>
    <w:rsid w:val="521D4E6D"/>
    <w:rsid w:val="521F341B"/>
    <w:rsid w:val="5223663F"/>
    <w:rsid w:val="52243A39"/>
    <w:rsid w:val="5254433E"/>
    <w:rsid w:val="525D2510"/>
    <w:rsid w:val="52831C67"/>
    <w:rsid w:val="52881C4C"/>
    <w:rsid w:val="52AA6127"/>
    <w:rsid w:val="52C04176"/>
    <w:rsid w:val="52C44140"/>
    <w:rsid w:val="52EC283C"/>
    <w:rsid w:val="52F936AE"/>
    <w:rsid w:val="531D5A8E"/>
    <w:rsid w:val="532D1417"/>
    <w:rsid w:val="536343CD"/>
    <w:rsid w:val="5364372C"/>
    <w:rsid w:val="536F00FE"/>
    <w:rsid w:val="538B7395"/>
    <w:rsid w:val="539F297F"/>
    <w:rsid w:val="53C05677"/>
    <w:rsid w:val="53D375FB"/>
    <w:rsid w:val="54027561"/>
    <w:rsid w:val="54157E81"/>
    <w:rsid w:val="54504521"/>
    <w:rsid w:val="54687CE2"/>
    <w:rsid w:val="547C58A3"/>
    <w:rsid w:val="547E0FD7"/>
    <w:rsid w:val="54876480"/>
    <w:rsid w:val="54962925"/>
    <w:rsid w:val="549A5BB9"/>
    <w:rsid w:val="54A238EE"/>
    <w:rsid w:val="54E55F7A"/>
    <w:rsid w:val="54F91337"/>
    <w:rsid w:val="554F3C75"/>
    <w:rsid w:val="555046BE"/>
    <w:rsid w:val="55567893"/>
    <w:rsid w:val="55A87F17"/>
    <w:rsid w:val="55DB6936"/>
    <w:rsid w:val="55E308D1"/>
    <w:rsid w:val="561D44F9"/>
    <w:rsid w:val="562A6261"/>
    <w:rsid w:val="562B163E"/>
    <w:rsid w:val="563210D8"/>
    <w:rsid w:val="56367DBB"/>
    <w:rsid w:val="56377B71"/>
    <w:rsid w:val="56497965"/>
    <w:rsid w:val="56552C09"/>
    <w:rsid w:val="566F62A8"/>
    <w:rsid w:val="567518A3"/>
    <w:rsid w:val="56777080"/>
    <w:rsid w:val="56874990"/>
    <w:rsid w:val="569D497A"/>
    <w:rsid w:val="56A8142D"/>
    <w:rsid w:val="56BC41FD"/>
    <w:rsid w:val="56BC74A4"/>
    <w:rsid w:val="570305AE"/>
    <w:rsid w:val="57090376"/>
    <w:rsid w:val="571606C9"/>
    <w:rsid w:val="577703EC"/>
    <w:rsid w:val="57A504D1"/>
    <w:rsid w:val="57A94845"/>
    <w:rsid w:val="57AC79C1"/>
    <w:rsid w:val="57FA7D63"/>
    <w:rsid w:val="583E757E"/>
    <w:rsid w:val="587577B5"/>
    <w:rsid w:val="58A203C1"/>
    <w:rsid w:val="58CB1CB2"/>
    <w:rsid w:val="590952D1"/>
    <w:rsid w:val="591A5738"/>
    <w:rsid w:val="592155DE"/>
    <w:rsid w:val="59240C81"/>
    <w:rsid w:val="595A76F1"/>
    <w:rsid w:val="595E171E"/>
    <w:rsid w:val="596C08B2"/>
    <w:rsid w:val="599A6305"/>
    <w:rsid w:val="59E64660"/>
    <w:rsid w:val="5A370256"/>
    <w:rsid w:val="5A4930E1"/>
    <w:rsid w:val="5A523000"/>
    <w:rsid w:val="5A544C3C"/>
    <w:rsid w:val="5A922827"/>
    <w:rsid w:val="5AAE4D54"/>
    <w:rsid w:val="5ABC78BE"/>
    <w:rsid w:val="5AEF5910"/>
    <w:rsid w:val="5AF27EEA"/>
    <w:rsid w:val="5B190267"/>
    <w:rsid w:val="5B2A41A2"/>
    <w:rsid w:val="5B3462DB"/>
    <w:rsid w:val="5B8A53F0"/>
    <w:rsid w:val="5BE23FA0"/>
    <w:rsid w:val="5BE83DF7"/>
    <w:rsid w:val="5BF57147"/>
    <w:rsid w:val="5C1D252D"/>
    <w:rsid w:val="5C4A343B"/>
    <w:rsid w:val="5C68140B"/>
    <w:rsid w:val="5C7E096E"/>
    <w:rsid w:val="5CA501CF"/>
    <w:rsid w:val="5CAD5509"/>
    <w:rsid w:val="5CFA6493"/>
    <w:rsid w:val="5CFF2939"/>
    <w:rsid w:val="5D3F2809"/>
    <w:rsid w:val="5D524BA4"/>
    <w:rsid w:val="5D686795"/>
    <w:rsid w:val="5DC26299"/>
    <w:rsid w:val="5DD12242"/>
    <w:rsid w:val="5DD23635"/>
    <w:rsid w:val="5DE512DE"/>
    <w:rsid w:val="5E236AF4"/>
    <w:rsid w:val="5E322ACA"/>
    <w:rsid w:val="5E527BEE"/>
    <w:rsid w:val="5E5532A1"/>
    <w:rsid w:val="5E98604D"/>
    <w:rsid w:val="5EA31851"/>
    <w:rsid w:val="5EB8089E"/>
    <w:rsid w:val="5EC50DCE"/>
    <w:rsid w:val="5EF24099"/>
    <w:rsid w:val="5EF92F75"/>
    <w:rsid w:val="5F0C4BB0"/>
    <w:rsid w:val="5F136266"/>
    <w:rsid w:val="5F170426"/>
    <w:rsid w:val="5F3A65CA"/>
    <w:rsid w:val="5F7166AC"/>
    <w:rsid w:val="5F7170F4"/>
    <w:rsid w:val="5FA33B34"/>
    <w:rsid w:val="600320E5"/>
    <w:rsid w:val="601605FD"/>
    <w:rsid w:val="60321DD6"/>
    <w:rsid w:val="605E1CCD"/>
    <w:rsid w:val="60BA03D4"/>
    <w:rsid w:val="60C1139C"/>
    <w:rsid w:val="60CD216B"/>
    <w:rsid w:val="60EE2807"/>
    <w:rsid w:val="60F05526"/>
    <w:rsid w:val="60F43E8A"/>
    <w:rsid w:val="61570983"/>
    <w:rsid w:val="61797832"/>
    <w:rsid w:val="618067DE"/>
    <w:rsid w:val="61841AEA"/>
    <w:rsid w:val="61890141"/>
    <w:rsid w:val="619F1C1D"/>
    <w:rsid w:val="61D212B8"/>
    <w:rsid w:val="61F94867"/>
    <w:rsid w:val="62016A75"/>
    <w:rsid w:val="62107B46"/>
    <w:rsid w:val="621A4119"/>
    <w:rsid w:val="623C05F2"/>
    <w:rsid w:val="62542C2D"/>
    <w:rsid w:val="62554602"/>
    <w:rsid w:val="625800B5"/>
    <w:rsid w:val="627C32F4"/>
    <w:rsid w:val="62A21A2F"/>
    <w:rsid w:val="62C3016F"/>
    <w:rsid w:val="62D11B44"/>
    <w:rsid w:val="63311296"/>
    <w:rsid w:val="63453190"/>
    <w:rsid w:val="635B6BBA"/>
    <w:rsid w:val="63646EFE"/>
    <w:rsid w:val="639167CE"/>
    <w:rsid w:val="63AA08A3"/>
    <w:rsid w:val="63CE1F61"/>
    <w:rsid w:val="63D713E5"/>
    <w:rsid w:val="6442256D"/>
    <w:rsid w:val="646003C9"/>
    <w:rsid w:val="64877B01"/>
    <w:rsid w:val="649A630B"/>
    <w:rsid w:val="64A546B5"/>
    <w:rsid w:val="65172ED7"/>
    <w:rsid w:val="65563E1B"/>
    <w:rsid w:val="65734EC1"/>
    <w:rsid w:val="657A739C"/>
    <w:rsid w:val="66046A7F"/>
    <w:rsid w:val="661622DA"/>
    <w:rsid w:val="662375E0"/>
    <w:rsid w:val="662D24D2"/>
    <w:rsid w:val="663D17A7"/>
    <w:rsid w:val="66457753"/>
    <w:rsid w:val="66913783"/>
    <w:rsid w:val="6712324A"/>
    <w:rsid w:val="67126FA0"/>
    <w:rsid w:val="67421039"/>
    <w:rsid w:val="6780741D"/>
    <w:rsid w:val="679000E4"/>
    <w:rsid w:val="67A606AE"/>
    <w:rsid w:val="68187453"/>
    <w:rsid w:val="68360854"/>
    <w:rsid w:val="683D2705"/>
    <w:rsid w:val="68930734"/>
    <w:rsid w:val="68A83FF9"/>
    <w:rsid w:val="68B86939"/>
    <w:rsid w:val="68E30521"/>
    <w:rsid w:val="68EB763C"/>
    <w:rsid w:val="68EE7BE7"/>
    <w:rsid w:val="692C156C"/>
    <w:rsid w:val="698B41C5"/>
    <w:rsid w:val="69A24CB7"/>
    <w:rsid w:val="69C20011"/>
    <w:rsid w:val="69F97051"/>
    <w:rsid w:val="6A713CA6"/>
    <w:rsid w:val="6A7D6E15"/>
    <w:rsid w:val="6A81065F"/>
    <w:rsid w:val="6A86080E"/>
    <w:rsid w:val="6A8A3466"/>
    <w:rsid w:val="6A9A3B99"/>
    <w:rsid w:val="6AC24080"/>
    <w:rsid w:val="6AE7693A"/>
    <w:rsid w:val="6AF357A5"/>
    <w:rsid w:val="6AF61B84"/>
    <w:rsid w:val="6B025F8A"/>
    <w:rsid w:val="6B0F1C2C"/>
    <w:rsid w:val="6B1501BF"/>
    <w:rsid w:val="6B1945D3"/>
    <w:rsid w:val="6B304369"/>
    <w:rsid w:val="6B374207"/>
    <w:rsid w:val="6B5E5108"/>
    <w:rsid w:val="6BD73932"/>
    <w:rsid w:val="6BE94A72"/>
    <w:rsid w:val="6BFA3A90"/>
    <w:rsid w:val="6C217A2A"/>
    <w:rsid w:val="6C742149"/>
    <w:rsid w:val="6CBB1331"/>
    <w:rsid w:val="6CCB59AC"/>
    <w:rsid w:val="6CD04FC3"/>
    <w:rsid w:val="6CE87454"/>
    <w:rsid w:val="6D263CE8"/>
    <w:rsid w:val="6D5711EE"/>
    <w:rsid w:val="6D8E3D76"/>
    <w:rsid w:val="6DA01946"/>
    <w:rsid w:val="6DBA0D91"/>
    <w:rsid w:val="6DD16484"/>
    <w:rsid w:val="6DDC66D2"/>
    <w:rsid w:val="6E074E6C"/>
    <w:rsid w:val="6E101675"/>
    <w:rsid w:val="6E2B2250"/>
    <w:rsid w:val="6E38432C"/>
    <w:rsid w:val="6E996276"/>
    <w:rsid w:val="6EB84893"/>
    <w:rsid w:val="6EC17773"/>
    <w:rsid w:val="6EDB1F5A"/>
    <w:rsid w:val="6EE42CFA"/>
    <w:rsid w:val="6EFB1785"/>
    <w:rsid w:val="6EFB5C5C"/>
    <w:rsid w:val="6F170083"/>
    <w:rsid w:val="6F1B30CC"/>
    <w:rsid w:val="6F2804BA"/>
    <w:rsid w:val="6F404D55"/>
    <w:rsid w:val="6F575CE5"/>
    <w:rsid w:val="6FAA4C62"/>
    <w:rsid w:val="6FE96BA6"/>
    <w:rsid w:val="6FEB0701"/>
    <w:rsid w:val="700C77E8"/>
    <w:rsid w:val="702B4D0A"/>
    <w:rsid w:val="70315914"/>
    <w:rsid w:val="70421494"/>
    <w:rsid w:val="7043221E"/>
    <w:rsid w:val="70BE3227"/>
    <w:rsid w:val="710002D8"/>
    <w:rsid w:val="710F06D2"/>
    <w:rsid w:val="71391E79"/>
    <w:rsid w:val="71394ABB"/>
    <w:rsid w:val="717D3B92"/>
    <w:rsid w:val="71991037"/>
    <w:rsid w:val="71C33F74"/>
    <w:rsid w:val="71DB7284"/>
    <w:rsid w:val="71E93DA2"/>
    <w:rsid w:val="71F416E7"/>
    <w:rsid w:val="72136101"/>
    <w:rsid w:val="723A4F70"/>
    <w:rsid w:val="723C2B95"/>
    <w:rsid w:val="72545A30"/>
    <w:rsid w:val="725A52CF"/>
    <w:rsid w:val="72934591"/>
    <w:rsid w:val="7296025F"/>
    <w:rsid w:val="729A3DE9"/>
    <w:rsid w:val="72AF3121"/>
    <w:rsid w:val="72D26E9A"/>
    <w:rsid w:val="72F02046"/>
    <w:rsid w:val="733137FF"/>
    <w:rsid w:val="73470530"/>
    <w:rsid w:val="737B3689"/>
    <w:rsid w:val="738E1B86"/>
    <w:rsid w:val="73DD5347"/>
    <w:rsid w:val="74362FF6"/>
    <w:rsid w:val="74457357"/>
    <w:rsid w:val="746F6670"/>
    <w:rsid w:val="747E0407"/>
    <w:rsid w:val="7482691F"/>
    <w:rsid w:val="748A78F7"/>
    <w:rsid w:val="749E6084"/>
    <w:rsid w:val="74A226DB"/>
    <w:rsid w:val="74D209CC"/>
    <w:rsid w:val="74DB0F7D"/>
    <w:rsid w:val="74FF2BF5"/>
    <w:rsid w:val="750E36F3"/>
    <w:rsid w:val="75152A2C"/>
    <w:rsid w:val="75313752"/>
    <w:rsid w:val="753813B3"/>
    <w:rsid w:val="75564933"/>
    <w:rsid w:val="757277DC"/>
    <w:rsid w:val="75923ACB"/>
    <w:rsid w:val="76063733"/>
    <w:rsid w:val="761C3143"/>
    <w:rsid w:val="7627449B"/>
    <w:rsid w:val="76470B3A"/>
    <w:rsid w:val="766E4DF7"/>
    <w:rsid w:val="76751F0E"/>
    <w:rsid w:val="769977F4"/>
    <w:rsid w:val="76A95CE4"/>
    <w:rsid w:val="76FF3874"/>
    <w:rsid w:val="771A2012"/>
    <w:rsid w:val="7728657F"/>
    <w:rsid w:val="775664DA"/>
    <w:rsid w:val="777B1787"/>
    <w:rsid w:val="778C2991"/>
    <w:rsid w:val="77973F99"/>
    <w:rsid w:val="77D63C13"/>
    <w:rsid w:val="77EC0B9A"/>
    <w:rsid w:val="77F105BF"/>
    <w:rsid w:val="77F647ED"/>
    <w:rsid w:val="780B0F22"/>
    <w:rsid w:val="78245B06"/>
    <w:rsid w:val="783B608B"/>
    <w:rsid w:val="785F7178"/>
    <w:rsid w:val="787A0BED"/>
    <w:rsid w:val="78984F50"/>
    <w:rsid w:val="78E6018F"/>
    <w:rsid w:val="78F73D45"/>
    <w:rsid w:val="79275157"/>
    <w:rsid w:val="79437218"/>
    <w:rsid w:val="794F20CB"/>
    <w:rsid w:val="795E56C1"/>
    <w:rsid w:val="79702AA3"/>
    <w:rsid w:val="798A4FA4"/>
    <w:rsid w:val="79A612EF"/>
    <w:rsid w:val="79C57F15"/>
    <w:rsid w:val="79D044D9"/>
    <w:rsid w:val="7A1A2156"/>
    <w:rsid w:val="7A291821"/>
    <w:rsid w:val="7A4935C7"/>
    <w:rsid w:val="7A5D746E"/>
    <w:rsid w:val="7A742E2B"/>
    <w:rsid w:val="7A7C7FDC"/>
    <w:rsid w:val="7A860DF3"/>
    <w:rsid w:val="7A984353"/>
    <w:rsid w:val="7AA769DA"/>
    <w:rsid w:val="7ADE72BD"/>
    <w:rsid w:val="7ADF480F"/>
    <w:rsid w:val="7AF21FC0"/>
    <w:rsid w:val="7AF76DC0"/>
    <w:rsid w:val="7B113F1E"/>
    <w:rsid w:val="7B160710"/>
    <w:rsid w:val="7B2578A5"/>
    <w:rsid w:val="7B32511F"/>
    <w:rsid w:val="7B545ADE"/>
    <w:rsid w:val="7B5C47F2"/>
    <w:rsid w:val="7B747208"/>
    <w:rsid w:val="7B980C9A"/>
    <w:rsid w:val="7B9C41CF"/>
    <w:rsid w:val="7BA74FD9"/>
    <w:rsid w:val="7BC472A5"/>
    <w:rsid w:val="7BCF490A"/>
    <w:rsid w:val="7BD22565"/>
    <w:rsid w:val="7BD261C4"/>
    <w:rsid w:val="7C0B4872"/>
    <w:rsid w:val="7C3B3DD4"/>
    <w:rsid w:val="7C4262A0"/>
    <w:rsid w:val="7CAB5908"/>
    <w:rsid w:val="7D0617F9"/>
    <w:rsid w:val="7D1E3BF2"/>
    <w:rsid w:val="7D403DD7"/>
    <w:rsid w:val="7D434B64"/>
    <w:rsid w:val="7D6A59B8"/>
    <w:rsid w:val="7DA95C2E"/>
    <w:rsid w:val="7DB50D8F"/>
    <w:rsid w:val="7DF62F52"/>
    <w:rsid w:val="7DFC6B13"/>
    <w:rsid w:val="7E022519"/>
    <w:rsid w:val="7E0C589C"/>
    <w:rsid w:val="7E1D5FDA"/>
    <w:rsid w:val="7E513250"/>
    <w:rsid w:val="7E634B20"/>
    <w:rsid w:val="7E9A1E11"/>
    <w:rsid w:val="7EA40A04"/>
    <w:rsid w:val="7ECE3D14"/>
    <w:rsid w:val="7EDC080E"/>
    <w:rsid w:val="7F03759F"/>
    <w:rsid w:val="7F573686"/>
    <w:rsid w:val="7F813EE4"/>
    <w:rsid w:val="7FB0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4">
    <w:name w:val="heading 2"/>
    <w:basedOn w:val="1"/>
    <w:next w:val="1"/>
    <w:unhideWhenUsed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styleId="6">
    <w:name w:val="Title"/>
    <w:basedOn w:val="4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Cs/>
      <w:color w:val="FF0000"/>
      <w:kern w:val="0"/>
      <w:sz w:val="84"/>
      <w:szCs w:val="32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toc 2"/>
    <w:basedOn w:val="1"/>
    <w:next w:val="1"/>
    <w:qFormat/>
    <w:uiPriority w:val="39"/>
    <w:pPr>
      <w:tabs>
        <w:tab w:val="right" w:leader="dot" w:pos="9005"/>
      </w:tabs>
      <w:spacing w:line="360" w:lineRule="auto"/>
      <w:ind w:left="200" w:hanging="200" w:hangingChars="200"/>
    </w:pPr>
    <w:rPr>
      <w:rFonts w:ascii="Times New Roman"/>
      <w:sz w:val="24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0">
    <w:name w:val="Body Text First Indent"/>
    <w:basedOn w:val="5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  <w:style w:type="paragraph" w:customStyle="1" w:styleId="15">
    <w:name w:val="paragraph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2022-08-15T10:27:00Z</dcterms:created>
  <dc:creator>顾开元</dc:creator>
  <cp:lastModifiedBy>nfdwadministrator_09</cp:lastModifiedBy>
  <dcterms:modified xsi:type="dcterms:W3CDTF">2026-02-14T01:24:51Z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B53CF143D2EA4ABA90835D9F1CEBD847</vt:lpwstr>
  </property>
</Properties>
</file>