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1558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default" w:ascii="Times New Roman" w:hAnsi="Times New Roman" w:cs="Times New Roman"/>
          <w:b/>
          <w:bCs/>
          <w:i w:val="0"/>
          <w:iCs w:val="0"/>
          <w:color w:val="auto"/>
          <w:sz w:val="44"/>
          <w:szCs w:val="44"/>
          <w:highlight w:val="none"/>
          <w:u w:val="none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 w:val="0"/>
          <w:iCs w:val="0"/>
          <w:color w:val="auto"/>
          <w:sz w:val="32"/>
          <w:szCs w:val="32"/>
          <w:highlight w:val="none"/>
          <w:u w:val="none"/>
          <w:lang w:val="en-US" w:eastAsia="zh-CN"/>
        </w:rPr>
        <w:t>标的1</w:t>
      </w:r>
    </w:p>
    <w:p w14:paraId="2A4CD9C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default" w:ascii="Times New Roman" w:hAnsi="Times New Roman" w:eastAsia="宋体" w:cs="Times New Roman"/>
          <w:b/>
          <w:bCs/>
          <w:i w:val="0"/>
          <w:i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 w:val="0"/>
          <w:iCs w:val="0"/>
          <w:color w:val="auto"/>
          <w:sz w:val="28"/>
          <w:szCs w:val="28"/>
          <w:highlight w:val="none"/>
          <w:u w:val="none"/>
          <w:lang w:val="en-US" w:eastAsia="zh-CN"/>
        </w:rPr>
        <w:t>项目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olor w:val="auto"/>
          <w:sz w:val="28"/>
          <w:szCs w:val="28"/>
          <w:highlight w:val="none"/>
          <w:u w:val="none"/>
          <w:lang w:val="en-US" w:eastAsia="zh-CN"/>
        </w:rPr>
        <w:t>名称：海南-广东电力灵活互济工程（陆上部分）</w:t>
      </w:r>
      <w:r>
        <w:rPr>
          <w:rFonts w:hint="eastAsia" w:ascii="Times New Roman" w:hAnsi="Times New Roman" w:cs="Times New Roman"/>
          <w:b/>
          <w:bCs/>
          <w:i w:val="0"/>
          <w:iCs w:val="0"/>
          <w:color w:val="auto"/>
          <w:sz w:val="28"/>
          <w:szCs w:val="28"/>
          <w:highlight w:val="none"/>
          <w:u w:val="none"/>
          <w:lang w:val="en-US" w:eastAsia="zh-CN"/>
        </w:rPr>
        <w:t>海南侧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olor w:val="auto"/>
          <w:sz w:val="28"/>
          <w:szCs w:val="28"/>
          <w:highlight w:val="none"/>
          <w:u w:val="none"/>
          <w:lang w:val="en-US" w:eastAsia="zh-CN"/>
        </w:rPr>
        <w:t>施工</w:t>
      </w:r>
    </w:p>
    <w:tbl>
      <w:tblPr>
        <w:tblStyle w:val="19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 w14:paraId="77492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 w14:paraId="43C161CB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911" w:type="dxa"/>
            <w:vAlign w:val="center"/>
          </w:tcPr>
          <w:p w14:paraId="5E910294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4"/>
                <w:szCs w:val="24"/>
              </w:rPr>
              <w:t>文件名称</w:t>
            </w:r>
          </w:p>
        </w:tc>
        <w:tc>
          <w:tcPr>
            <w:tcW w:w="3476" w:type="dxa"/>
            <w:vAlign w:val="center"/>
          </w:tcPr>
          <w:p w14:paraId="46C709BA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4"/>
                <w:szCs w:val="24"/>
              </w:rPr>
              <w:t>文件文号</w:t>
            </w:r>
          </w:p>
        </w:tc>
      </w:tr>
      <w:tr w14:paraId="56E41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 w14:paraId="07CF047B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1</w:t>
            </w:r>
          </w:p>
        </w:tc>
        <w:tc>
          <w:tcPr>
            <w:tcW w:w="2911" w:type="dxa"/>
            <w:vAlign w:val="center"/>
          </w:tcPr>
          <w:p w14:paraId="63DA07E3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可研批复文号</w:t>
            </w:r>
          </w:p>
        </w:tc>
        <w:tc>
          <w:tcPr>
            <w:tcW w:w="3476" w:type="dxa"/>
            <w:vAlign w:val="center"/>
          </w:tcPr>
          <w:p w14:paraId="79A84213"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南方电网规划〔2025〕60号</w:t>
            </w:r>
          </w:p>
        </w:tc>
      </w:tr>
      <w:tr w14:paraId="7AED1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 w14:paraId="19A44622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2</w:t>
            </w:r>
          </w:p>
        </w:tc>
        <w:tc>
          <w:tcPr>
            <w:tcW w:w="2911" w:type="dxa"/>
            <w:vAlign w:val="center"/>
          </w:tcPr>
          <w:p w14:paraId="28D31CE3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项目备案文号</w:t>
            </w:r>
          </w:p>
        </w:tc>
        <w:tc>
          <w:tcPr>
            <w:tcW w:w="3476" w:type="dxa"/>
            <w:vAlign w:val="center"/>
          </w:tcPr>
          <w:p w14:paraId="10578E27"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  <w:highlight w:val="yellow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发改能源〔2026〕211号</w:t>
            </w:r>
          </w:p>
        </w:tc>
      </w:tr>
      <w:tr w14:paraId="7AD9E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 w14:paraId="5D449DC9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3</w:t>
            </w:r>
          </w:p>
        </w:tc>
        <w:tc>
          <w:tcPr>
            <w:tcW w:w="2911" w:type="dxa"/>
            <w:vAlign w:val="center"/>
          </w:tcPr>
          <w:p w14:paraId="5BE55B39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初设批复文号</w:t>
            </w:r>
          </w:p>
        </w:tc>
        <w:tc>
          <w:tcPr>
            <w:tcW w:w="3476" w:type="dxa"/>
            <w:vAlign w:val="center"/>
          </w:tcPr>
          <w:p w14:paraId="0B479CE8">
            <w:pPr>
              <w:widowControl/>
              <w:snapToGrid w:val="0"/>
              <w:jc w:val="center"/>
              <w:rPr>
                <w:rFonts w:hint="default" w:ascii="Times New Roman" w:hAnsi="Times New Roman" w:cs="Times New Roman"/>
                <w:snapToGrid w:val="0"/>
                <w:color w:val="auto"/>
                <w:kern w:val="0"/>
                <w:szCs w:val="21"/>
                <w:highlight w:val="yellow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南方电网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工程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〔202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〕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14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号</w:t>
            </w:r>
          </w:p>
        </w:tc>
      </w:tr>
      <w:tr w14:paraId="0B67B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 w14:paraId="435A00A2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4</w:t>
            </w:r>
          </w:p>
        </w:tc>
        <w:tc>
          <w:tcPr>
            <w:tcW w:w="2911" w:type="dxa"/>
            <w:vAlign w:val="center"/>
          </w:tcPr>
          <w:p w14:paraId="699D53DC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资金落实情况</w:t>
            </w:r>
          </w:p>
        </w:tc>
        <w:tc>
          <w:tcPr>
            <w:tcW w:w="3476" w:type="dxa"/>
            <w:vAlign w:val="center"/>
          </w:tcPr>
          <w:p w14:paraId="4E6F13E8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snapToGrid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超高压计划〔2025〕24号</w:t>
            </w:r>
          </w:p>
        </w:tc>
      </w:tr>
      <w:tr w14:paraId="4E472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 w14:paraId="08676387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5</w:t>
            </w:r>
          </w:p>
        </w:tc>
        <w:tc>
          <w:tcPr>
            <w:tcW w:w="2911" w:type="dxa"/>
            <w:vAlign w:val="center"/>
          </w:tcPr>
          <w:p w14:paraId="0BC07D80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施工图预算批复文号</w:t>
            </w:r>
          </w:p>
        </w:tc>
        <w:tc>
          <w:tcPr>
            <w:tcW w:w="3476" w:type="dxa"/>
            <w:vAlign w:val="center"/>
          </w:tcPr>
          <w:p w14:paraId="67CBA319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</w:rPr>
              <w:t>/</w:t>
            </w:r>
          </w:p>
        </w:tc>
      </w:tr>
      <w:tr w14:paraId="1CB72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 w14:paraId="092EA850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6</w:t>
            </w:r>
          </w:p>
        </w:tc>
        <w:tc>
          <w:tcPr>
            <w:tcW w:w="2911" w:type="dxa"/>
            <w:vAlign w:val="center"/>
          </w:tcPr>
          <w:p w14:paraId="5BB5CCC7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项目建设单位</w:t>
            </w:r>
          </w:p>
        </w:tc>
        <w:tc>
          <w:tcPr>
            <w:tcW w:w="3476" w:type="dxa"/>
            <w:vAlign w:val="center"/>
          </w:tcPr>
          <w:p w14:paraId="4F9B3527">
            <w:pPr>
              <w:pStyle w:val="11"/>
              <w:snapToGrid w:val="0"/>
              <w:jc w:val="center"/>
              <w:rPr>
                <w:rFonts w:hint="default" w:ascii="Times New Roman" w:hAnsi="Times New Roman" w:eastAsia="宋体" w:cs="Times New Roman"/>
                <w:snapToGrid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</w:rPr>
              <w:t>南网超高压公司</w:t>
            </w:r>
          </w:p>
        </w:tc>
      </w:tr>
      <w:tr w14:paraId="04C8E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 w14:paraId="3F249F64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7</w:t>
            </w:r>
          </w:p>
        </w:tc>
        <w:tc>
          <w:tcPr>
            <w:tcW w:w="2911" w:type="dxa"/>
            <w:vAlign w:val="center"/>
          </w:tcPr>
          <w:p w14:paraId="6EBDA940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项目建设地点</w:t>
            </w:r>
          </w:p>
        </w:tc>
        <w:tc>
          <w:tcPr>
            <w:tcW w:w="3476" w:type="dxa"/>
            <w:vAlign w:val="center"/>
          </w:tcPr>
          <w:p w14:paraId="141A972B">
            <w:pPr>
              <w:pStyle w:val="11"/>
              <w:snapToGrid w:val="0"/>
              <w:jc w:val="center"/>
              <w:rPr>
                <w:rFonts w:hint="eastAsia" w:ascii="Times New Roman" w:hAnsi="Times New Roman" w:eastAsia="宋体" w:cs="Times New Roman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napToGrid w:val="0"/>
                <w:color w:val="auto"/>
                <w:sz w:val="21"/>
                <w:szCs w:val="21"/>
                <w:lang w:val="en-US" w:eastAsia="zh-CN"/>
              </w:rPr>
              <w:t>海南</w:t>
            </w:r>
          </w:p>
        </w:tc>
      </w:tr>
      <w:tr w14:paraId="133FB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 w14:paraId="5EE4D0AE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8</w:t>
            </w:r>
          </w:p>
        </w:tc>
        <w:tc>
          <w:tcPr>
            <w:tcW w:w="2911" w:type="dxa"/>
            <w:vAlign w:val="center"/>
          </w:tcPr>
          <w:p w14:paraId="42F94C4D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前期的设计或咨询服务单位名称</w:t>
            </w:r>
          </w:p>
        </w:tc>
        <w:tc>
          <w:tcPr>
            <w:tcW w:w="3476" w:type="dxa"/>
            <w:vAlign w:val="center"/>
          </w:tcPr>
          <w:p w14:paraId="15775AA9">
            <w:pPr>
              <w:pStyle w:val="11"/>
              <w:shd w:val="clear" w:color="auto" w:fill="auto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中国能源建设集团广东省电力设计研究院有限公司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、中国电力工程顾问集团中南电力设计院有限公司</w:t>
            </w:r>
          </w:p>
        </w:tc>
      </w:tr>
      <w:tr w14:paraId="1F9E6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 w14:paraId="48F7FAA5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9</w:t>
            </w:r>
          </w:p>
        </w:tc>
        <w:tc>
          <w:tcPr>
            <w:tcW w:w="2911" w:type="dxa"/>
            <w:vAlign w:val="center"/>
          </w:tcPr>
          <w:p w14:paraId="130C6E80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项目监理单位</w:t>
            </w:r>
          </w:p>
        </w:tc>
        <w:tc>
          <w:tcPr>
            <w:tcW w:w="3476" w:type="dxa"/>
            <w:vAlign w:val="center"/>
          </w:tcPr>
          <w:p w14:paraId="631E9DDB"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</w:rPr>
              <w:t>/</w:t>
            </w:r>
          </w:p>
        </w:tc>
      </w:tr>
    </w:tbl>
    <w:p w14:paraId="3E1FD0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rPr>
          <w:rFonts w:hint="default" w:ascii="Times New Roman" w:hAnsi="Times New Roman" w:cs="Times New Roman"/>
          <w:i w:val="0"/>
          <w:iCs w:val="0"/>
          <w:color w:val="auto"/>
          <w:highlight w:val="none"/>
          <w:lang w:val="en-US" w:eastAsia="zh-CN"/>
        </w:rPr>
      </w:pPr>
    </w:p>
    <w:p w14:paraId="21CCEF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  <w:i w:val="0"/>
          <w:iCs w:val="0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olor w:val="auto"/>
          <w:sz w:val="24"/>
          <w:szCs w:val="24"/>
          <w:highlight w:val="none"/>
          <w:u w:val="none"/>
          <w:lang w:val="en-US" w:eastAsia="zh-CN"/>
        </w:rPr>
        <w:t>一、项目概况</w:t>
      </w:r>
    </w:p>
    <w:p w14:paraId="64F638C7">
      <w:pPr>
        <w:pStyle w:val="11"/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b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海南-广东电力灵活互济工程主要包括以下：500kV福山变电站扩建工程、500kV徐闻开关站扩建工程、500kV林诗岛终端站扩建工程、500kV东莞村终端站新建工程、500kV海缆线路新建工程、500kV福山变电站～林诗岛终端站线路新建工程、500kV东莞村终端站～徐闻开关站线路新建工程、建设配套的通信及二次系统工程。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u w:val="none"/>
        </w:rPr>
        <w:t>具体建设规模以施工图纸为准。</w:t>
      </w:r>
    </w:p>
    <w:p w14:paraId="0EE158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outlineLvl w:val="9"/>
        <w:rPr>
          <w:rFonts w:hint="default" w:ascii="Times New Roman" w:hAnsi="Times New Roman" w:eastAsia="宋体" w:cs="Times New Roman"/>
          <w:b/>
          <w:bCs/>
          <w:i w:val="0"/>
          <w:iCs w:val="0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二、采购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范围</w:t>
      </w:r>
    </w:p>
    <w:p w14:paraId="71BFE06E">
      <w:pPr>
        <w:pStyle w:val="11"/>
        <w:snapToGrid w:val="0"/>
        <w:spacing w:line="360" w:lineRule="auto"/>
        <w:ind w:firstLine="422" w:firstLineChars="200"/>
        <w:jc w:val="left"/>
        <w:outlineLvl w:val="0"/>
        <w:rPr>
          <w:rFonts w:hint="default" w:ascii="Times New Roman" w:hAnsi="Times New Roman" w:cs="Times New Roman"/>
          <w:b/>
          <w:bCs/>
          <w:snapToGrid w:val="0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b/>
          <w:bCs/>
          <w:snapToGrid w:val="0"/>
          <w:color w:val="auto"/>
          <w:sz w:val="21"/>
          <w:szCs w:val="21"/>
        </w:rPr>
        <w:t>包括施工图范围内的建筑、安装及调试工程。施工图范围内的下列工作内容，无□及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☑</w:t>
      </w:r>
      <w:r>
        <w:rPr>
          <w:rFonts w:hint="default" w:ascii="Times New Roman" w:hAnsi="Times New Roman" w:cs="Times New Roman"/>
          <w:b/>
          <w:bCs/>
          <w:snapToGrid w:val="0"/>
          <w:color w:val="auto"/>
          <w:sz w:val="21"/>
          <w:szCs w:val="21"/>
        </w:rPr>
        <w:t>的为本次报价范围；□未打√的，不在本次报价范围内，特殊情况在“其他”中说明。</w:t>
      </w:r>
    </w:p>
    <w:p w14:paraId="439A9B42">
      <w:pPr>
        <w:pStyle w:val="11"/>
        <w:snapToGrid w:val="0"/>
        <w:spacing w:line="360" w:lineRule="auto"/>
        <w:ind w:firstLine="420" w:firstLineChars="200"/>
        <w:jc w:val="left"/>
        <w:outlineLvl w:val="0"/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陆上部分</w:t>
      </w:r>
      <w:r>
        <w:rPr>
          <w:rFonts w:hint="eastAsia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海南</w:t>
      </w:r>
      <w:r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侧施工招标内容主要如下：</w:t>
      </w:r>
    </w:p>
    <w:p w14:paraId="34E53D31">
      <w:pPr>
        <w:ind w:firstLine="420" w:firstLineChars="200"/>
        <w:rPr>
          <w:rFonts w:hint="eastAsia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500kV福山变电站扩建工程、500kV林诗岛终端站扩建工程、500kV福山变电站～林诗岛终端站线路新建工程、建设海南侧配套的通信及二次系统工程。本标段投标人负责本工程本工程（陆上部分）海南侧所有建构筑物，包含林诗岛终端站围墙外的海缆陆上土建构筑物（海缆电缆沟、工作井、盘缆井等）。</w:t>
      </w:r>
    </w:p>
    <w:p w14:paraId="4F3EBCE1">
      <w:pPr>
        <w:ind w:firstLine="420" w:firstLineChars="200"/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具体为：</w:t>
      </w:r>
    </w:p>
    <w:p w14:paraId="32D2FC68">
      <w:pPr>
        <w:ind w:firstLine="420" w:firstLineChars="200"/>
        <w:rPr>
          <w:rFonts w:hint="eastAsia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（一）500kV福山变电站扩建工程</w:t>
      </w:r>
    </w:p>
    <w:p w14:paraId="75573620">
      <w:pPr>
        <w:ind w:firstLine="420" w:firstLineChars="200"/>
        <w:rPr>
          <w:rFonts w:hint="eastAsia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本工程施工招标包括500kV福山变电站扩建工程三通一平（含场平、施工用水用电及施工道路、低压线路迁改、通信线路迁改、还建道路等）、桩基（含试桩桩基施工）、土建和电气安装（含安稳系统）等全部施工内容，负责设备的单体调试和分系统调试，施工期间水土保持、环境保护和绿色建造，配合用地用林、第三方检测、监测、创优等工作。具体内容详见附件A。</w:t>
      </w:r>
    </w:p>
    <w:p w14:paraId="31B5EBB9">
      <w:pPr>
        <w:ind w:firstLine="420" w:firstLineChars="200"/>
        <w:rPr>
          <w:rFonts w:hint="eastAsia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（二）500kV林诗岛终端站扩建工程</w:t>
      </w:r>
    </w:p>
    <w:p w14:paraId="24285D46">
      <w:pPr>
        <w:ind w:firstLine="420" w:firstLineChars="200"/>
        <w:rPr>
          <w:rFonts w:hint="eastAsia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本工程施工招标包括500kV林诗岛终端站扩建工程三通一平（含场平、施工用水用电及施工道路、中低压线路迁改、还建道路等）、桩基（含试桩桩基施工）、土建和电气安装等全部施工内容，负责设备的单体调试和分系统调试，施工期间水土保持、环境保护和绿色建造，配合用地用林、第三方检测、监测、创优等工作。具体内容详见附件B。</w:t>
      </w:r>
    </w:p>
    <w:p w14:paraId="5D3A729E">
      <w:pPr>
        <w:ind w:firstLine="420" w:firstLineChars="200"/>
        <w:rPr>
          <w:rFonts w:hint="eastAsia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（三）500kV福山变电站～林诗岛终端站线路新建工程</w:t>
      </w:r>
    </w:p>
    <w:p w14:paraId="0D9D6473">
      <w:pPr>
        <w:ind w:firstLine="420" w:firstLineChars="200"/>
        <w:rPr>
          <w:rFonts w:hint="eastAsia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本工程施工招标包括500kV福山变电站～林诗岛终端站线路新建工程（包含改造福徐甲线、改造福徐乙线）的杆塔基础施工、杆塔组立、导线、地线（含OPGW光缆）展放、金具串、附件安装、接地装置施工及相关线路迁改等，施工期间水土保持、环境保护和绿色建造，配合用地用林、第三方检测、监测、创优等工作。具体内容详见附件C。</w:t>
      </w:r>
    </w:p>
    <w:p w14:paraId="2BB99368">
      <w:pPr>
        <w:ind w:firstLine="420" w:firstLineChars="200"/>
        <w:rPr>
          <w:rFonts w:hint="eastAsia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（四）安全稳定控制系统工程</w:t>
      </w:r>
    </w:p>
    <w:p w14:paraId="6112F1E6">
      <w:pPr>
        <w:ind w:firstLine="420" w:firstLineChars="200"/>
        <w:rPr>
          <w:rFonts w:hint="eastAsia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海南侧安全稳定控制系统工程具体内容已纳入《附件A:500kV福山变电站扩建工程设计说明》。</w:t>
      </w:r>
    </w:p>
    <w:p w14:paraId="0C193113">
      <w:pPr>
        <w:pStyle w:val="11"/>
        <w:snapToGrid w:val="0"/>
        <w:spacing w:line="360" w:lineRule="auto"/>
        <w:rPr>
          <w:rFonts w:hint="default" w:ascii="Times New Roman" w:hAnsi="Times New Roman" w:cs="Times New Roman"/>
          <w:b/>
          <w:bCs/>
          <w:snapToGrid w:val="0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napToGrid w:val="0"/>
          <w:color w:val="auto"/>
          <w:sz w:val="24"/>
          <w:szCs w:val="24"/>
        </w:rPr>
        <w:t>三、承包方式</w:t>
      </w:r>
    </w:p>
    <w:p w14:paraId="3282F609">
      <w:pPr>
        <w:pStyle w:val="11"/>
        <w:snapToGrid w:val="0"/>
        <w:spacing w:line="360" w:lineRule="auto"/>
        <w:ind w:firstLine="422" w:firstLineChars="200"/>
        <w:rPr>
          <w:rFonts w:hint="default"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lang w:val="en-US" w:eastAsia="zh-CN" w:bidi="ar-SA"/>
        </w:rPr>
        <w:t>包工、部分包料，施工图纸范围内如有下列设备、材料，无□及</w:t>
      </w:r>
      <w:r>
        <w:rPr>
          <w:rFonts w:hint="default"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lang w:val="en-US" w:eastAsia="zh-CN" w:bidi="ar-SA"/>
        </w:rPr>
        <w:instrText xml:space="preserve"> EQ \o\ac(□,√)</w:instrText>
      </w:r>
      <w:r>
        <w:rPr>
          <w:rFonts w:hint="default"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hint="default"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lang w:val="en-US" w:eastAsia="zh-CN" w:bidi="ar-SA"/>
        </w:rPr>
        <w:t>的为甲供，□未打√的及不在下列的为乙供。</w:t>
      </w:r>
    </w:p>
    <w:p w14:paraId="29308A15"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hint="default" w:ascii="Times New Roman" w:hAnsi="Times New Roman" w:cs="Times New Roman"/>
          <w:b/>
          <w:color w:val="auto"/>
          <w:szCs w:val="21"/>
        </w:rPr>
      </w:pPr>
      <w:r>
        <w:rPr>
          <w:rFonts w:hint="default" w:ascii="Times New Roman" w:hAnsi="Times New Roman" w:cs="Times New Roman"/>
          <w:b/>
          <w:color w:val="auto"/>
          <w:szCs w:val="21"/>
        </w:rPr>
        <w:t>（一）甲供物资：</w:t>
      </w:r>
    </w:p>
    <w:p w14:paraId="101DFB69">
      <w:pPr>
        <w:autoSpaceDE w:val="0"/>
        <w:autoSpaceDN w:val="0"/>
        <w:adjustRightInd w:val="0"/>
        <w:snapToGrid w:val="0"/>
        <w:spacing w:line="360" w:lineRule="auto"/>
        <w:ind w:firstLine="420" w:firstLineChars="200"/>
        <w:jc w:val="left"/>
        <w:rPr>
          <w:rFonts w:hint="default" w:ascii="Times New Roman" w:hAnsi="Times New Roman" w:cs="Times New Roman"/>
          <w:b w:val="0"/>
          <w:bCs/>
          <w:color w:val="auto"/>
          <w:szCs w:val="21"/>
        </w:rPr>
      </w:pPr>
      <w:r>
        <w:rPr>
          <w:rFonts w:hint="eastAsia" w:ascii="Times New Roman" w:hAnsi="Times New Roman" w:cs="Times New Roman"/>
          <w:b w:val="0"/>
          <w:bCs/>
          <w:color w:val="auto"/>
          <w:szCs w:val="21"/>
          <w:lang w:eastAsia="zh-CN"/>
        </w:rPr>
        <w:t>详见甲供物资清单相关附件</w:t>
      </w:r>
      <w:r>
        <w:rPr>
          <w:rFonts w:hint="default" w:ascii="Times New Roman" w:hAnsi="Times New Roman" w:cs="Times New Roman"/>
          <w:b w:val="0"/>
          <w:bCs/>
          <w:color w:val="auto"/>
          <w:szCs w:val="21"/>
        </w:rPr>
        <w:t>。</w:t>
      </w:r>
    </w:p>
    <w:p w14:paraId="5F82E3D8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hint="default" w:ascii="Times New Roman" w:hAnsi="Times New Roman" w:cs="Times New Roman"/>
          <w:bCs/>
          <w:color w:val="auto"/>
          <w:szCs w:val="21"/>
          <w:u w:val="single"/>
        </w:rPr>
      </w:pPr>
      <w:r>
        <w:rPr>
          <w:rFonts w:hint="default" w:ascii="Times New Roman" w:hAnsi="Times New Roman" w:cs="Times New Roman"/>
          <w:b/>
          <w:color w:val="auto"/>
          <w:szCs w:val="21"/>
        </w:rPr>
        <w:t>其他甲供物资：</w:t>
      </w:r>
      <w:r>
        <w:rPr>
          <w:rFonts w:hint="default" w:ascii="Times New Roman" w:hAnsi="Times New Roman" w:cs="Times New Roman"/>
          <w:bCs/>
          <w:color w:val="auto"/>
          <w:szCs w:val="21"/>
          <w:u w:val="single"/>
        </w:rPr>
        <w:t xml:space="preserve"> /。</w:t>
      </w:r>
    </w:p>
    <w:p w14:paraId="7D9F4832">
      <w:pPr>
        <w:pStyle w:val="11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jc w:val="both"/>
        <w:rPr>
          <w:rFonts w:hint="default" w:ascii="Times New Roman" w:hAnsi="Times New Roman" w:cs="Times New Roman"/>
          <w:color w:val="auto"/>
        </w:rPr>
      </w:pPr>
    </w:p>
    <w:p w14:paraId="73F1DE48">
      <w:pPr>
        <w:pStyle w:val="17"/>
        <w:jc w:val="both"/>
        <w:rPr>
          <w:rFonts w:hint="default" w:ascii="Times New Roman" w:hAnsi="Times New Roman" w:cs="Times New Roman"/>
          <w:color w:val="auto"/>
          <w:highlight w:val="none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963D26BF-FE18-4A94-B052-73B937F169E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C3DE7A">
    <w:pPr>
      <w:pStyle w:val="12"/>
      <w:ind w:right="360" w:firstLine="360"/>
      <w:jc w:val="center"/>
      <w:rPr>
        <w:sz w:val="21"/>
        <w:szCs w:val="21"/>
      </w:rPr>
    </w:pPr>
    <w:r>
      <w:rPr>
        <w:sz w:val="21"/>
        <w:szCs w:val="21"/>
      </w:rPr>
      <w:t xml:space="preserve"> </w:t>
    </w:r>
    <w:r>
      <w:rPr>
        <w:rFonts w:ascii="Times New Roman" w:hAnsi="Times New Roman" w:cs="Times New Roman"/>
        <w:sz w:val="21"/>
        <w:szCs w:val="21"/>
      </w:rPr>
      <w:fldChar w:fldCharType="begin"/>
    </w:r>
    <w:r>
      <w:rPr>
        <w:rFonts w:ascii="Times New Roman" w:hAnsi="Times New Roman" w:cs="Times New Roman"/>
        <w:sz w:val="21"/>
        <w:szCs w:val="21"/>
      </w:rPr>
      <w:instrText xml:space="preserve">PAGE   \* MERGEFORMAT</w:instrText>
    </w:r>
    <w:r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sz w:val="21"/>
        <w:szCs w:val="21"/>
        <w:lang w:val="zh-CN"/>
      </w:rPr>
      <w:t>14</w:t>
    </w:r>
    <w:r>
      <w:rPr>
        <w:rFonts w:ascii="Times New Roman" w:hAnsi="Times New Roman" w:cs="Times New Roman"/>
        <w:sz w:val="21"/>
        <w:szCs w:val="21"/>
      </w:rPr>
      <w:fldChar w:fldCharType="end"/>
    </w:r>
    <w:r>
      <w:rPr>
        <w:sz w:val="21"/>
        <w:szCs w:val="21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5EBF85">
    <w:pPr>
      <w:spacing w:before="240" w:beforeLines="100"/>
      <w:rPr>
        <w:rFonts w:ascii="Times New Roman" w:hAnsi="Times New Roman" w:eastAsia="楷体" w:cs="Times New Roman"/>
        <w:sz w:val="18"/>
        <w:szCs w:val="18"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E7D96"/>
    <w:multiLevelType w:val="singleLevel"/>
    <w:tmpl w:val="2F1E7D9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1C160B"/>
    <w:rsid w:val="00420E7C"/>
    <w:rsid w:val="00AA75A7"/>
    <w:rsid w:val="010F4D4C"/>
    <w:rsid w:val="01C015FF"/>
    <w:rsid w:val="01F34FBF"/>
    <w:rsid w:val="0213224F"/>
    <w:rsid w:val="025A67AA"/>
    <w:rsid w:val="02721111"/>
    <w:rsid w:val="02886898"/>
    <w:rsid w:val="02AB31E9"/>
    <w:rsid w:val="02D07A79"/>
    <w:rsid w:val="034623EE"/>
    <w:rsid w:val="04184952"/>
    <w:rsid w:val="04653A3F"/>
    <w:rsid w:val="047C49E9"/>
    <w:rsid w:val="04F049A8"/>
    <w:rsid w:val="056117E3"/>
    <w:rsid w:val="05BA2CB8"/>
    <w:rsid w:val="063F3A64"/>
    <w:rsid w:val="06666721"/>
    <w:rsid w:val="073F20F3"/>
    <w:rsid w:val="07E24976"/>
    <w:rsid w:val="08944426"/>
    <w:rsid w:val="096E4722"/>
    <w:rsid w:val="09B7769B"/>
    <w:rsid w:val="0A172612"/>
    <w:rsid w:val="0A2C0C06"/>
    <w:rsid w:val="0AEC727C"/>
    <w:rsid w:val="0B5F3925"/>
    <w:rsid w:val="0C93150A"/>
    <w:rsid w:val="0C952D82"/>
    <w:rsid w:val="0CBC3C74"/>
    <w:rsid w:val="0D8920C3"/>
    <w:rsid w:val="0DBE04C6"/>
    <w:rsid w:val="0DF6159C"/>
    <w:rsid w:val="0E890600"/>
    <w:rsid w:val="0EDC2445"/>
    <w:rsid w:val="0F013483"/>
    <w:rsid w:val="0F126346"/>
    <w:rsid w:val="0F8D6973"/>
    <w:rsid w:val="0FEB729D"/>
    <w:rsid w:val="10D07561"/>
    <w:rsid w:val="10D46A26"/>
    <w:rsid w:val="112A3D19"/>
    <w:rsid w:val="11472166"/>
    <w:rsid w:val="1171712A"/>
    <w:rsid w:val="11A1067A"/>
    <w:rsid w:val="11AB1204"/>
    <w:rsid w:val="11C955BB"/>
    <w:rsid w:val="11E12C61"/>
    <w:rsid w:val="120B2110"/>
    <w:rsid w:val="12D9053A"/>
    <w:rsid w:val="12DC5FA1"/>
    <w:rsid w:val="131577DB"/>
    <w:rsid w:val="13511BBE"/>
    <w:rsid w:val="13A965B0"/>
    <w:rsid w:val="13F6014E"/>
    <w:rsid w:val="140243D2"/>
    <w:rsid w:val="14612762"/>
    <w:rsid w:val="15125241"/>
    <w:rsid w:val="154D0DEA"/>
    <w:rsid w:val="158F187F"/>
    <w:rsid w:val="160D793F"/>
    <w:rsid w:val="16B32D29"/>
    <w:rsid w:val="17464AB3"/>
    <w:rsid w:val="17CB6D8C"/>
    <w:rsid w:val="185365BF"/>
    <w:rsid w:val="186F113B"/>
    <w:rsid w:val="18787932"/>
    <w:rsid w:val="18866C6C"/>
    <w:rsid w:val="19567321"/>
    <w:rsid w:val="19B71113"/>
    <w:rsid w:val="1A473CA6"/>
    <w:rsid w:val="1A555BBE"/>
    <w:rsid w:val="1A85373E"/>
    <w:rsid w:val="1B846D66"/>
    <w:rsid w:val="1BB4525B"/>
    <w:rsid w:val="1C4A05F8"/>
    <w:rsid w:val="1CBB20F3"/>
    <w:rsid w:val="1D181F4A"/>
    <w:rsid w:val="1E35361B"/>
    <w:rsid w:val="1E964759"/>
    <w:rsid w:val="1EC2624D"/>
    <w:rsid w:val="1F696E0E"/>
    <w:rsid w:val="1F7CD536"/>
    <w:rsid w:val="1FF3B1B1"/>
    <w:rsid w:val="200407CD"/>
    <w:rsid w:val="200F41A6"/>
    <w:rsid w:val="204D3C8B"/>
    <w:rsid w:val="206D64FC"/>
    <w:rsid w:val="20BB44E8"/>
    <w:rsid w:val="21293853"/>
    <w:rsid w:val="214848C1"/>
    <w:rsid w:val="214E67BA"/>
    <w:rsid w:val="21782177"/>
    <w:rsid w:val="227620EA"/>
    <w:rsid w:val="227F2CA6"/>
    <w:rsid w:val="232606DC"/>
    <w:rsid w:val="23607DE2"/>
    <w:rsid w:val="23895DB1"/>
    <w:rsid w:val="23CF381C"/>
    <w:rsid w:val="24053DA7"/>
    <w:rsid w:val="240A6030"/>
    <w:rsid w:val="24CE7A5A"/>
    <w:rsid w:val="250B44FA"/>
    <w:rsid w:val="252D708B"/>
    <w:rsid w:val="26FF98DD"/>
    <w:rsid w:val="27924413"/>
    <w:rsid w:val="28220AFC"/>
    <w:rsid w:val="28A80261"/>
    <w:rsid w:val="290B5D62"/>
    <w:rsid w:val="29702FAD"/>
    <w:rsid w:val="29735D77"/>
    <w:rsid w:val="298B1640"/>
    <w:rsid w:val="29C410CB"/>
    <w:rsid w:val="2A8C2D26"/>
    <w:rsid w:val="2AF32708"/>
    <w:rsid w:val="2B13509A"/>
    <w:rsid w:val="2C31308C"/>
    <w:rsid w:val="2C8F0EA7"/>
    <w:rsid w:val="2CE26F74"/>
    <w:rsid w:val="2CE72BBB"/>
    <w:rsid w:val="2D1852EF"/>
    <w:rsid w:val="2DBA1D37"/>
    <w:rsid w:val="2E6F6B90"/>
    <w:rsid w:val="2E993E36"/>
    <w:rsid w:val="2EF23C52"/>
    <w:rsid w:val="2EF43B94"/>
    <w:rsid w:val="2F097580"/>
    <w:rsid w:val="2F197C4D"/>
    <w:rsid w:val="2F5100A4"/>
    <w:rsid w:val="3075179D"/>
    <w:rsid w:val="307B6474"/>
    <w:rsid w:val="30D366C7"/>
    <w:rsid w:val="319121DA"/>
    <w:rsid w:val="319375DC"/>
    <w:rsid w:val="321E6130"/>
    <w:rsid w:val="3243118A"/>
    <w:rsid w:val="32BD3524"/>
    <w:rsid w:val="345B286C"/>
    <w:rsid w:val="34902BCC"/>
    <w:rsid w:val="34961CD9"/>
    <w:rsid w:val="34A1443F"/>
    <w:rsid w:val="351C27B0"/>
    <w:rsid w:val="35F6026E"/>
    <w:rsid w:val="361424F5"/>
    <w:rsid w:val="36C02D19"/>
    <w:rsid w:val="371F7A61"/>
    <w:rsid w:val="37AB2D5A"/>
    <w:rsid w:val="37CF4189"/>
    <w:rsid w:val="38307AD1"/>
    <w:rsid w:val="38D40BFF"/>
    <w:rsid w:val="38F4537F"/>
    <w:rsid w:val="396857D4"/>
    <w:rsid w:val="3B720CD8"/>
    <w:rsid w:val="3BA52C45"/>
    <w:rsid w:val="3DD006F5"/>
    <w:rsid w:val="3E1C2B61"/>
    <w:rsid w:val="3E3E7CC7"/>
    <w:rsid w:val="3E895925"/>
    <w:rsid w:val="3EA242D1"/>
    <w:rsid w:val="3F2A7C66"/>
    <w:rsid w:val="410427B6"/>
    <w:rsid w:val="41073E0E"/>
    <w:rsid w:val="41A11B43"/>
    <w:rsid w:val="422A4891"/>
    <w:rsid w:val="428B0805"/>
    <w:rsid w:val="42AB18C2"/>
    <w:rsid w:val="432730CB"/>
    <w:rsid w:val="43374CD4"/>
    <w:rsid w:val="43455B8A"/>
    <w:rsid w:val="435F7804"/>
    <w:rsid w:val="43AA7164"/>
    <w:rsid w:val="44337C1C"/>
    <w:rsid w:val="446F0F4B"/>
    <w:rsid w:val="447311FF"/>
    <w:rsid w:val="44DF14C8"/>
    <w:rsid w:val="45010FCD"/>
    <w:rsid w:val="45857D9C"/>
    <w:rsid w:val="45B90BAD"/>
    <w:rsid w:val="45D35BB2"/>
    <w:rsid w:val="468F70F5"/>
    <w:rsid w:val="46B46844"/>
    <w:rsid w:val="46B9408D"/>
    <w:rsid w:val="46D332C1"/>
    <w:rsid w:val="46ED6069"/>
    <w:rsid w:val="48086E7E"/>
    <w:rsid w:val="4942653E"/>
    <w:rsid w:val="49A847A6"/>
    <w:rsid w:val="49FF2174"/>
    <w:rsid w:val="4A180A44"/>
    <w:rsid w:val="4AE828A9"/>
    <w:rsid w:val="4AF34C74"/>
    <w:rsid w:val="4B32221A"/>
    <w:rsid w:val="4B926AB1"/>
    <w:rsid w:val="4BC81760"/>
    <w:rsid w:val="4C27522D"/>
    <w:rsid w:val="4C55038A"/>
    <w:rsid w:val="4C717EE1"/>
    <w:rsid w:val="4CDD12A8"/>
    <w:rsid w:val="4D391DAD"/>
    <w:rsid w:val="4D510AD1"/>
    <w:rsid w:val="4DFA077B"/>
    <w:rsid w:val="4E1B0A03"/>
    <w:rsid w:val="4E335445"/>
    <w:rsid w:val="4E612ADD"/>
    <w:rsid w:val="4EE24A5B"/>
    <w:rsid w:val="4F4068DE"/>
    <w:rsid w:val="4F937849"/>
    <w:rsid w:val="503F191E"/>
    <w:rsid w:val="506816E4"/>
    <w:rsid w:val="508558A6"/>
    <w:rsid w:val="51145746"/>
    <w:rsid w:val="511C160B"/>
    <w:rsid w:val="515E7D31"/>
    <w:rsid w:val="51874B16"/>
    <w:rsid w:val="519F621D"/>
    <w:rsid w:val="51FF699B"/>
    <w:rsid w:val="52885076"/>
    <w:rsid w:val="535D61E7"/>
    <w:rsid w:val="53AB6B01"/>
    <w:rsid w:val="53DC18A1"/>
    <w:rsid w:val="54216091"/>
    <w:rsid w:val="545110D1"/>
    <w:rsid w:val="547B107C"/>
    <w:rsid w:val="54A07B2F"/>
    <w:rsid w:val="54AE588B"/>
    <w:rsid w:val="54E54D3D"/>
    <w:rsid w:val="552D3719"/>
    <w:rsid w:val="5591023D"/>
    <w:rsid w:val="55D46A07"/>
    <w:rsid w:val="564E2C80"/>
    <w:rsid w:val="56563349"/>
    <w:rsid w:val="57F161C0"/>
    <w:rsid w:val="592856EA"/>
    <w:rsid w:val="59CE37A6"/>
    <w:rsid w:val="5A017854"/>
    <w:rsid w:val="5AD115CD"/>
    <w:rsid w:val="5B043B95"/>
    <w:rsid w:val="5B171E82"/>
    <w:rsid w:val="5B256DD6"/>
    <w:rsid w:val="5BF88363"/>
    <w:rsid w:val="5CA90D7A"/>
    <w:rsid w:val="5D156186"/>
    <w:rsid w:val="5D4A0134"/>
    <w:rsid w:val="5DA546AF"/>
    <w:rsid w:val="5E92116F"/>
    <w:rsid w:val="5EE906B0"/>
    <w:rsid w:val="5F500D3D"/>
    <w:rsid w:val="5F813FC0"/>
    <w:rsid w:val="5F9271EE"/>
    <w:rsid w:val="5FA82DEF"/>
    <w:rsid w:val="5FC61963"/>
    <w:rsid w:val="5FD52EAC"/>
    <w:rsid w:val="5FFD1D7C"/>
    <w:rsid w:val="607B63D6"/>
    <w:rsid w:val="60807BFF"/>
    <w:rsid w:val="61245EFD"/>
    <w:rsid w:val="62714A32"/>
    <w:rsid w:val="633562CC"/>
    <w:rsid w:val="643166B3"/>
    <w:rsid w:val="643C3652"/>
    <w:rsid w:val="65DC68AD"/>
    <w:rsid w:val="66533F6E"/>
    <w:rsid w:val="669C7C7D"/>
    <w:rsid w:val="67CC6DC1"/>
    <w:rsid w:val="6829183D"/>
    <w:rsid w:val="698E123D"/>
    <w:rsid w:val="6AC95741"/>
    <w:rsid w:val="6AF81D8A"/>
    <w:rsid w:val="6B356FEF"/>
    <w:rsid w:val="6B3B2CBB"/>
    <w:rsid w:val="6B3C2AC9"/>
    <w:rsid w:val="6B3D558B"/>
    <w:rsid w:val="6C5C22D4"/>
    <w:rsid w:val="6DA438F0"/>
    <w:rsid w:val="6E1E4715"/>
    <w:rsid w:val="6E7E2D5A"/>
    <w:rsid w:val="6E9A3E10"/>
    <w:rsid w:val="6EAF3408"/>
    <w:rsid w:val="6F8A028E"/>
    <w:rsid w:val="6FBDA58C"/>
    <w:rsid w:val="6FCE294B"/>
    <w:rsid w:val="6FD8258B"/>
    <w:rsid w:val="702E2F92"/>
    <w:rsid w:val="70AB6673"/>
    <w:rsid w:val="715273A6"/>
    <w:rsid w:val="7159528B"/>
    <w:rsid w:val="71887D53"/>
    <w:rsid w:val="72247D78"/>
    <w:rsid w:val="738E27FD"/>
    <w:rsid w:val="73C075B8"/>
    <w:rsid w:val="73C313C2"/>
    <w:rsid w:val="740C2C14"/>
    <w:rsid w:val="74167854"/>
    <w:rsid w:val="741B35EC"/>
    <w:rsid w:val="74BA7716"/>
    <w:rsid w:val="75892461"/>
    <w:rsid w:val="75B2734C"/>
    <w:rsid w:val="75BF2B4D"/>
    <w:rsid w:val="75FE0B1A"/>
    <w:rsid w:val="764E655D"/>
    <w:rsid w:val="765E0811"/>
    <w:rsid w:val="766A6DBB"/>
    <w:rsid w:val="7677576F"/>
    <w:rsid w:val="768F4E19"/>
    <w:rsid w:val="76F61C31"/>
    <w:rsid w:val="770B70DA"/>
    <w:rsid w:val="778B672F"/>
    <w:rsid w:val="77972F48"/>
    <w:rsid w:val="77A7135E"/>
    <w:rsid w:val="77D55FB4"/>
    <w:rsid w:val="77FFDE4B"/>
    <w:rsid w:val="78362FBC"/>
    <w:rsid w:val="786C12A0"/>
    <w:rsid w:val="788274D1"/>
    <w:rsid w:val="789B17B9"/>
    <w:rsid w:val="78FA4387"/>
    <w:rsid w:val="79011794"/>
    <w:rsid w:val="799449A0"/>
    <w:rsid w:val="7A0479F1"/>
    <w:rsid w:val="7A403F0D"/>
    <w:rsid w:val="7A4778AC"/>
    <w:rsid w:val="7A5B103B"/>
    <w:rsid w:val="7A6678E3"/>
    <w:rsid w:val="7AE43B4F"/>
    <w:rsid w:val="7AEE0D33"/>
    <w:rsid w:val="7B115A6C"/>
    <w:rsid w:val="7B1E0809"/>
    <w:rsid w:val="7BE11BCC"/>
    <w:rsid w:val="7BFA4CF4"/>
    <w:rsid w:val="7C3410A6"/>
    <w:rsid w:val="7C7D040E"/>
    <w:rsid w:val="7CCB17CA"/>
    <w:rsid w:val="7CEA1DC0"/>
    <w:rsid w:val="7D082779"/>
    <w:rsid w:val="7D1C9B89"/>
    <w:rsid w:val="7D4525F8"/>
    <w:rsid w:val="7D6C40EC"/>
    <w:rsid w:val="7D960ACB"/>
    <w:rsid w:val="7D9C3754"/>
    <w:rsid w:val="7DEF6F7E"/>
    <w:rsid w:val="7E0A29DC"/>
    <w:rsid w:val="7E6E7B29"/>
    <w:rsid w:val="7E7C75B1"/>
    <w:rsid w:val="7F33152B"/>
    <w:rsid w:val="7F3B0945"/>
    <w:rsid w:val="7FE91CD5"/>
    <w:rsid w:val="A4CF6514"/>
    <w:rsid w:val="AF7D4BDC"/>
    <w:rsid w:val="BD8FA100"/>
    <w:rsid w:val="BF7905D1"/>
    <w:rsid w:val="D9FF51D5"/>
    <w:rsid w:val="DDF7DF2B"/>
    <w:rsid w:val="E97F272A"/>
    <w:rsid w:val="EFFF81B9"/>
    <w:rsid w:val="F775A649"/>
    <w:rsid w:val="FEFDDBC9"/>
    <w:rsid w:val="FFF9E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/>
      <w:jc w:val="left"/>
      <w:outlineLvl w:val="0"/>
    </w:pPr>
    <w:rPr>
      <w:rFonts w:ascii="宋体" w:hAnsi="宋体" w:eastAsia="宋体" w:cs="Times New Roman"/>
      <w:b/>
      <w:bCs/>
      <w:color w:val="000000"/>
      <w:kern w:val="44"/>
      <w:szCs w:val="21"/>
    </w:rPr>
  </w:style>
  <w:style w:type="paragraph" w:styleId="5">
    <w:name w:val="heading 2"/>
    <w:basedOn w:val="1"/>
    <w:next w:val="1"/>
    <w:unhideWhenUsed/>
    <w:qFormat/>
    <w:uiPriority w:val="0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paragraph" w:styleId="6">
    <w:name w:val="heading 3"/>
    <w:basedOn w:val="1"/>
    <w:next w:val="1"/>
    <w:qFormat/>
    <w:uiPriority w:val="0"/>
    <w:pPr>
      <w:keepNext/>
      <w:keepLines/>
      <w:spacing w:before="260" w:after="260" w:line="416" w:lineRule="auto"/>
      <w:ind w:firstLine="200" w:firstLineChars="200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paragraph" w:styleId="7">
    <w:name w:val="heading 4"/>
    <w:basedOn w:val="6"/>
    <w:next w:val="8"/>
    <w:qFormat/>
    <w:uiPriority w:val="0"/>
    <w:pPr>
      <w:spacing w:beforeLines="50" w:afterLines="50" w:line="360" w:lineRule="auto"/>
      <w:jc w:val="center"/>
      <w:outlineLvl w:val="3"/>
    </w:pPr>
    <w:rPr>
      <w:rFonts w:ascii="Arial" w:hAnsi="Arial"/>
      <w:b w:val="0"/>
      <w:bCs w:val="0"/>
      <w:color w:val="000000"/>
      <w:sz w:val="24"/>
      <w:szCs w:val="24"/>
    </w:rPr>
  </w:style>
  <w:style w:type="character" w:default="1" w:styleId="20">
    <w:name w:val="Default Paragraph Font"/>
    <w:semiHidden/>
    <w:qFormat/>
    <w:uiPriority w:val="0"/>
  </w:style>
  <w:style w:type="table" w:default="1" w:styleId="1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120"/>
      <w:jc w:val="both"/>
    </w:pPr>
    <w:rPr>
      <w:lang w:val="en-US" w:eastAsia="zh-CN"/>
    </w:rPr>
  </w:style>
  <w:style w:type="paragraph" w:styleId="3">
    <w:name w:val="Body Text Indent 2"/>
    <w:basedOn w:val="1"/>
    <w:qFormat/>
    <w:uiPriority w:val="0"/>
    <w:pPr>
      <w:adjustRightInd w:val="0"/>
      <w:snapToGrid w:val="0"/>
      <w:ind w:left="567"/>
    </w:pPr>
    <w:rPr>
      <w:bCs/>
      <w:color w:val="000000"/>
      <w:sz w:val="28"/>
      <w:szCs w:val="20"/>
    </w:rPr>
  </w:style>
  <w:style w:type="paragraph" w:styleId="8">
    <w:name w:val="Normal Indent"/>
    <w:basedOn w:val="1"/>
    <w:qFormat/>
    <w:uiPriority w:val="0"/>
    <w:pPr>
      <w:spacing w:line="360" w:lineRule="auto"/>
      <w:ind w:firstLine="420" w:firstLineChars="200"/>
    </w:pPr>
    <w:rPr>
      <w:rFonts w:ascii="Times New Roman" w:hAnsi="Times New Roman" w:eastAsia="宋体" w:cs="Times New Roman"/>
      <w:szCs w:val="20"/>
    </w:rPr>
  </w:style>
  <w:style w:type="paragraph" w:styleId="9">
    <w:name w:val="annotation text"/>
    <w:basedOn w:val="1"/>
    <w:unhideWhenUsed/>
    <w:qFormat/>
    <w:uiPriority w:val="0"/>
    <w:pPr>
      <w:jc w:val="left"/>
    </w:pPr>
  </w:style>
  <w:style w:type="paragraph" w:styleId="10">
    <w:name w:val="Body Text Indent"/>
    <w:qFormat/>
    <w:uiPriority w:val="0"/>
    <w:pPr>
      <w:widowControl w:val="0"/>
      <w:adjustRightInd w:val="0"/>
      <w:spacing w:line="360" w:lineRule="auto"/>
      <w:ind w:firstLine="600"/>
      <w:textAlignment w:val="baseline"/>
    </w:pPr>
    <w:rPr>
      <w:rFonts w:ascii="Times New Roman" w:hAnsi="Times New Roman" w:eastAsia="宋体" w:cs="Times New Roman"/>
      <w:color w:val="000000"/>
      <w:sz w:val="28"/>
      <w:lang w:val="en-US" w:eastAsia="zh-CN" w:bidi="ar-SA"/>
    </w:rPr>
  </w:style>
  <w:style w:type="paragraph" w:styleId="11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4">
    <w:name w:val="toc 1"/>
    <w:basedOn w:val="1"/>
    <w:next w:val="1"/>
    <w:qFormat/>
    <w:uiPriority w:val="39"/>
    <w:pPr>
      <w:spacing w:beforeLines="50"/>
    </w:pPr>
    <w:rPr>
      <w:rFonts w:ascii="Times New Roman" w:hAnsi="Times New Roman" w:eastAsia="宋体" w:cs="Times New Roman"/>
      <w:szCs w:val="20"/>
    </w:rPr>
  </w:style>
  <w:style w:type="paragraph" w:styleId="15">
    <w:name w:val="toc 2"/>
    <w:basedOn w:val="1"/>
    <w:next w:val="1"/>
    <w:qFormat/>
    <w:uiPriority w:val="39"/>
    <w:pPr>
      <w:spacing w:beforeLines="50"/>
      <w:ind w:left="210"/>
    </w:pPr>
    <w:rPr>
      <w:rFonts w:ascii="Times New Roman" w:hAnsi="Times New Roman" w:eastAsia="宋体" w:cs="Times New Roman"/>
      <w:szCs w:val="20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 w:line="360" w:lineRule="auto"/>
      <w:ind w:firstLine="200" w:firstLineChars="200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7">
    <w:name w:val="Title"/>
    <w:basedOn w:val="5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Cs/>
      <w:color w:val="FF0000"/>
      <w:kern w:val="0"/>
      <w:sz w:val="84"/>
      <w:szCs w:val="32"/>
    </w:rPr>
  </w:style>
  <w:style w:type="table" w:styleId="19">
    <w:name w:val="Table Grid"/>
    <w:basedOn w:val="1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qFormat/>
    <w:uiPriority w:val="0"/>
  </w:style>
  <w:style w:type="character" w:styleId="22">
    <w:name w:val="Hyperlink"/>
    <w:qFormat/>
    <w:uiPriority w:val="99"/>
    <w:rPr>
      <w:color w:val="0000FF"/>
      <w:u w:val="single"/>
    </w:rPr>
  </w:style>
  <w:style w:type="character" w:styleId="23">
    <w:name w:val="annotation reference"/>
    <w:qFormat/>
    <w:uiPriority w:val="0"/>
    <w:rPr>
      <w:sz w:val="21"/>
      <w:szCs w:val="21"/>
    </w:rPr>
  </w:style>
  <w:style w:type="paragraph" w:customStyle="1" w:styleId="24">
    <w:name w:val="正文（首行缩进2字符）"/>
    <w:basedOn w:val="1"/>
    <w:qFormat/>
    <w:uiPriority w:val="0"/>
    <w:pPr>
      <w:topLinePunct/>
      <w:spacing w:line="360" w:lineRule="auto"/>
      <w:ind w:firstLine="200" w:firstLineChars="200"/>
    </w:pPr>
    <w:rPr>
      <w:rFonts w:cs="宋体"/>
      <w:sz w:val="28"/>
      <w:szCs w:val="28"/>
    </w:rPr>
  </w:style>
  <w:style w:type="table" w:customStyle="1" w:styleId="25">
    <w:name w:val="网格型31"/>
    <w:basedOn w:val="1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">
    <w:name w:val="网格型6"/>
    <w:basedOn w:val="1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">
    <w:name w:val="正文西部变电站"/>
    <w:basedOn w:val="1"/>
    <w:qFormat/>
    <w:uiPriority w:val="0"/>
    <w:pPr>
      <w:spacing w:line="360" w:lineRule="auto"/>
      <w:ind w:firstLine="200" w:firstLineChars="200"/>
    </w:pPr>
    <w:rPr>
      <w:rFonts w:ascii="Times New Roman" w:hAnsi="Times New Roman" w:eastAsia="宋体" w:cs="Times New Roman"/>
      <w:sz w:val="24"/>
      <w:szCs w:val="24"/>
    </w:rPr>
  </w:style>
  <w:style w:type="paragraph" w:customStyle="1" w:styleId="28">
    <w:name w:val="00正文"/>
    <w:basedOn w:val="29"/>
    <w:qFormat/>
    <w:uiPriority w:val="0"/>
    <w:pPr>
      <w:ind w:firstLine="480"/>
    </w:pPr>
    <w:rPr>
      <w:rFonts w:cs="宋体"/>
    </w:rPr>
  </w:style>
  <w:style w:type="paragraph" w:customStyle="1" w:styleId="29">
    <w:name w:val="0正文"/>
    <w:basedOn w:val="1"/>
    <w:qFormat/>
    <w:uiPriority w:val="0"/>
    <w:pPr>
      <w:adjustRightInd w:val="0"/>
      <w:snapToGrid w:val="0"/>
      <w:spacing w:line="360" w:lineRule="auto"/>
      <w:ind w:firstLine="200" w:firstLineChars="200"/>
    </w:pPr>
    <w:rPr>
      <w:rFonts w:ascii="Times New Roman" w:hAnsi="Times New Roman" w:eastAsia="宋体" w:cs="Times New Roman"/>
      <w:color w:val="000000"/>
      <w:kern w:val="0"/>
      <w:sz w:val="24"/>
      <w:szCs w:val="24"/>
    </w:rPr>
  </w:style>
  <w:style w:type="paragraph" w:styleId="30">
    <w:name w:val="List Paragraph"/>
    <w:basedOn w:val="1"/>
    <w:qFormat/>
    <w:uiPriority w:val="34"/>
    <w:pPr>
      <w:spacing w:line="360" w:lineRule="auto"/>
      <w:ind w:firstLine="420" w:firstLineChars="200"/>
    </w:pPr>
    <w:rPr>
      <w:rFonts w:ascii="Calibri" w:hAnsi="Calibri" w:eastAsia="宋体" w:cs="Times New Roman"/>
    </w:rPr>
  </w:style>
  <w:style w:type="table" w:customStyle="1" w:styleId="31">
    <w:name w:val="网格型3"/>
    <w:basedOn w:val="1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2">
    <w:name w:val="font21"/>
    <w:qFormat/>
    <w:uiPriority w:val="0"/>
    <w:rPr>
      <w:rFonts w:hint="eastAsia" w:ascii="宋体" w:hAnsi="宋体" w:eastAsia="宋体"/>
      <w:color w:val="000000"/>
      <w:sz w:val="20"/>
      <w:szCs w:val="20"/>
      <w:u w:val="none"/>
    </w:rPr>
  </w:style>
  <w:style w:type="paragraph" w:customStyle="1" w:styleId="33">
    <w:name w:val="11444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80" w:after="80" w:line="520" w:lineRule="atLeast"/>
      <w:jc w:val="center"/>
      <w:textAlignment w:val="baseline"/>
    </w:pPr>
    <w:rPr>
      <w:rFonts w:ascii="华文楷体" w:hAnsi="华文楷体" w:eastAsia="华文楷体" w:cs="Times New Roman"/>
      <w:b/>
      <w:snapToGrid w:val="0"/>
      <w:color w:val="000000" w:themeColor="text1"/>
      <w:kern w:val="0"/>
      <w:sz w:val="28"/>
      <w:szCs w:val="28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1574</Words>
  <Characters>1695</Characters>
  <Lines>0</Lines>
  <Paragraphs>0</Paragraphs>
  <TotalTime>2</TotalTime>
  <ScaleCrop>false</ScaleCrop>
  <LinksUpToDate>false</LinksUpToDate>
  <CharactersWithSpaces>1699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2021-02-26T07:31:00Z</dcterms:created>
  <dc:creator>weixy</dc:creator>
  <cp:lastModifiedBy>Y</cp:lastModifiedBy>
  <dcterms:modified xsi:type="dcterms:W3CDTF">2026-02-13T12:33:06Z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27AB74EFBDB9470A8CF685625A30F8A1_13</vt:lpwstr>
  </property>
  <property fmtid="{D5CDD505-2E9C-101B-9397-08002B2CF9AE}" pid="4" name="KSOTemplateDocerSaveRecord">
    <vt:lpwstr>eyJoZGlkIjoiOGJmMDA2NGQyMzZlNjM5MzA0YmFjNTc5NjdkZmMxODQiLCJ1c2VySWQiOiI2NDgxMTQ0NzQifQ==</vt:lpwstr>
  </property>
</Properties>
</file>