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标的11</w:t>
      </w:r>
    </w:p>
    <w:p>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东方220kV三家输变电新建工程施工</w:t>
      </w:r>
    </w:p>
    <w:p>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default" w:ascii="宋体" w:hAnsi="宋体" w:eastAsia="宋体" w:cs="宋体"/>
                <w:b w:val="0"/>
                <w:bCs w:val="0"/>
                <w:snapToGrid w:val="0"/>
                <w:color w:val="auto"/>
                <w:kern w:val="0"/>
                <w:sz w:val="21"/>
                <w:szCs w:val="21"/>
                <w:highlight w:val="none"/>
                <w:u w:val="none"/>
                <w:vertAlign w:val="baseline"/>
                <w:lang w:val="en-US" w:eastAsia="zh-CN"/>
              </w:rPr>
              <w:t>海南电网基建〔2025〕23号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2506-469007-04-01-191434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海南电网基建〔2026〕16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海南电网规划〔2025〕60号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bidi="ar-SA"/>
              </w:rPr>
              <w:t>海南电网有限责任公司建设分公司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海南省东方市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pStyle w:val="8"/>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中国电力工程顾问集团中南电力设计院有限公司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pStyle w:val="8"/>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default" w:ascii="宋体" w:hAnsi="宋体" w:eastAsia="宋体" w:cs="宋体"/>
                <w:b w:val="0"/>
                <w:bCs w:val="0"/>
                <w:snapToGrid w:val="0"/>
                <w:color w:val="auto"/>
                <w:kern w:val="0"/>
                <w:sz w:val="21"/>
                <w:szCs w:val="21"/>
                <w:highlight w:val="none"/>
                <w:u w:val="none"/>
                <w:vertAlign w:val="baseline"/>
                <w:lang w:val="en-US" w:eastAsia="zh-CN"/>
              </w:rPr>
              <w:t>广东天安项目管理有限公司</w:t>
            </w:r>
          </w:p>
        </w:tc>
      </w:tr>
    </w:tbl>
    <w:p>
      <w:pPr>
        <w:pStyle w:val="8"/>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pPr>
        <w:pStyle w:val="8"/>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28718"/>
      <w:bookmarkStart w:id="2" w:name="_Toc4755"/>
      <w:bookmarkStart w:id="3" w:name="_Toc1349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pPr>
        <w:shd w:val="clear" w:color="auto" w:fill="auto"/>
        <w:autoSpaceDN w:val="0"/>
        <w:spacing w:line="360" w:lineRule="auto"/>
        <w:ind w:firstLine="482" w:firstLineChars="200"/>
        <w:outlineLvl w:val="2"/>
        <w:rPr>
          <w:rFonts w:hint="eastAsia"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东方220kV三家输变电新建工程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变电站工程</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（1）变电站设计方案按照《南方电网公司35kV-500kV变电站标准设计》（V3.0）中CSG-220B-F-GR1a相关模块进行优化设计。变电站总征地面积为20090m2，其中站区围墙内面积为16393m2，总建筑面积为5165m2。</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（2）三家站主变终期规模为3×180MVA，本期规模2×180MVA。</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（3）220kV终期出线间隔12个，本期出线间隔6个；110kV最终出线间隔14个，本期出线间隔8个；10kV终期出线间隔3×10个，本期出线间隔2×10个。</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（4）10kV侧终期安装3×（4×8）Mvar并联电容器，本期安装2×（2×8）Mvar并联电容器。10kV侧终期安装3×（1×8）Mvar并联电抗器，本期安装2×（1×8）Mvar并联电抗器。</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p>
    <w:p>
      <w:pPr>
        <w:numPr>
          <w:ilvl w:val="-1"/>
          <w:numId w:val="0"/>
        </w:num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2.对侧站工程</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（1）220kV鹅毛岭站、220kV罗带站：分别利旧原有220kV出线间隔，分别更换4套220kV线路光纤电流差动保护。</w:t>
      </w:r>
    </w:p>
    <w:p>
      <w:pPr>
        <w:shd w:val="clear" w:color="auto" w:fill="auto"/>
        <w:autoSpaceDN w:val="0"/>
        <w:spacing w:line="360" w:lineRule="auto"/>
        <w:ind w:firstLine="420" w:firstLineChars="200"/>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（2）110kV昌城站、新北站：分别利旧原有110kV出线间隔。分别更换2套110kV线路光纤电流差动保护、新增2套110kV线路光纤电流差动保护。</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线路工程</w:t>
      </w:r>
    </w:p>
    <w:p>
      <w:pPr>
        <w:shd w:val="clear" w:color="auto" w:fill="auto"/>
        <w:autoSpaceDN w:val="0"/>
        <w:spacing w:line="360" w:lineRule="auto"/>
        <w:ind w:firstLine="420" w:firstLineChars="200"/>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（1）三家站π接罗带～鹅毛岭双回220kV线路新建工程</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新建4回220kV线路双π接罗带～鹅毛岭双回220kV线路，新建同塔双回架空线路路径长约2×20.5km，每相导线截面为2×630mm2。</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（2）三家站π接新北～昌城双回110kV线路新建工程</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新建4回110kV线路双π接新北～昌城双回110kV线路，新建同塔双回架空线路路径长约 2×2.2km，每相导线截面为1×300mm2。</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通信工程</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（1）220kV线路配套光缆</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沿三家站双π接罗带～鹅毛岭双回220kV线路新建4回220kV线路段架设4 根48芯OPGW 光缆，纤芯采用G.652，线路总长度约2×41km。</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（2）110kV线路配套光缆</w:t>
      </w:r>
    </w:p>
    <w:p>
      <w:pPr>
        <w:shd w:val="clear" w:color="auto" w:fill="auto"/>
        <w:autoSpaceDN w:val="0"/>
        <w:spacing w:line="360" w:lineRule="auto"/>
        <w:ind w:firstLine="420" w:firstLineChars="200"/>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zh-CN" w:eastAsia="zh-CN"/>
        </w:rPr>
        <w:t>沿三家站双π接新北～昌城双回110kV线路新建4回110kV线路</w:t>
      </w:r>
      <w:r>
        <w:rPr>
          <w:rFonts w:hint="eastAsia" w:ascii="宋体" w:hAnsi="宋体" w:cs="宋体"/>
          <w:color w:val="auto"/>
          <w:sz w:val="21"/>
          <w:szCs w:val="21"/>
          <w:highlight w:val="none"/>
          <w:lang w:val="en-US" w:eastAsia="zh-CN"/>
        </w:rPr>
        <w:t>段</w:t>
      </w:r>
      <w:r>
        <w:rPr>
          <w:rFonts w:hint="eastAsia" w:ascii="宋体" w:hAnsi="宋体" w:cs="宋体"/>
          <w:color w:val="auto"/>
          <w:sz w:val="21"/>
          <w:szCs w:val="21"/>
          <w:highlight w:val="none"/>
          <w:lang w:val="zh-CN" w:eastAsia="zh-CN"/>
        </w:rPr>
        <w:t>架设4根24芯OPGW光缆，纤芯采用G.652，线路总长度约2×4.4km。</w:t>
      </w:r>
    </w:p>
    <w:p>
      <w:pPr>
        <w:pStyle w:val="8"/>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新建变电站工厂化调试、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建筑（含施工图纸内容中及设备厂家配套提供的各类网线、管线预埋或暗、明敷设；含通信进站光缆敷设及场地原有建（构）筑物的拆除工作)、安装及调试工程、临时工程（临时性的施工电源、水源、道路）、施工过渡工程（如有，最终以发包单位审批的方案，据实结算）、所有迁改工程、设备软件升级或扩容（如有，最终以发包单位审批的方案，据实结算）。但安装工程不包括：通信系统、安健环；调试工程不包括：新建变电站工厂化调试、通信系统、主站系统（站外部分）</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bCs/>
          <w:color w:val="auto"/>
          <w:sz w:val="21"/>
          <w:szCs w:val="21"/>
          <w:highlight w:val="none"/>
          <w:u w:val="none"/>
          <w:lang w:val="en-US" w:eastAsia="zh-CN"/>
        </w:rPr>
        <w:t>2.项目如有涉及保护树种移植相关费用，最终以发包单位审批的方案，据实结算</w:t>
      </w:r>
      <w:r>
        <w:rPr>
          <w:rFonts w:hint="eastAsia" w:ascii="宋体" w:hAnsi="宋体" w:eastAsia="宋体" w:cs="宋体"/>
          <w:color w:val="auto"/>
          <w:sz w:val="21"/>
          <w:szCs w:val="21"/>
          <w:highlight w:val="none"/>
          <w:u w:val="none"/>
          <w:lang w:val="en-US" w:eastAsia="zh-CN"/>
        </w:rPr>
        <w:t>。</w:t>
      </w:r>
    </w:p>
    <w:p>
      <w:pPr>
        <w:pStyle w:val="3"/>
        <w:ind w:firstLine="420"/>
        <w:rPr>
          <w:rFonts w:hint="eastAsia" w:ascii="宋体" w:hAnsi="宋体" w:cs="宋体"/>
          <w:b w:val="0"/>
          <w:i w:val="0"/>
          <w:color w:val="auto"/>
          <w:kern w:val="2"/>
          <w:sz w:val="21"/>
          <w:szCs w:val="21"/>
          <w:highlight w:val="none"/>
          <w:lang w:val="en-US" w:eastAsia="zh-CN" w:bidi="ar-SA"/>
        </w:rPr>
      </w:pPr>
      <w:r>
        <w:rPr>
          <w:rFonts w:hint="eastAsia" w:ascii="宋体" w:hAnsi="宋体" w:cs="宋体"/>
          <w:b w:val="0"/>
          <w:i w:val="0"/>
          <w:color w:val="auto"/>
          <w:kern w:val="2"/>
          <w:sz w:val="21"/>
          <w:szCs w:val="21"/>
          <w:highlight w:val="none"/>
          <w:lang w:val="en-US" w:eastAsia="zh-CN" w:bidi="ar-SA"/>
        </w:rPr>
        <w:t>3.项目如需实施工厂化调试部分，桩基础检测、主体工程检测，以发包单位委托单及审批的方案，据实结算。</w:t>
      </w:r>
    </w:p>
    <w:p>
      <w:pPr>
        <w:ind w:firstLine="420"/>
        <w:rPr>
          <w:rFonts w:hint="default"/>
          <w:highlight w:val="none"/>
          <w:lang w:val="en-US" w:eastAsia="zh-CN"/>
        </w:rPr>
      </w:pPr>
      <w:r>
        <w:rPr>
          <w:rFonts w:hint="eastAsia"/>
          <w:highlight w:val="none"/>
          <w:lang w:val="en-US" w:eastAsia="zh-CN"/>
        </w:rPr>
        <w:t>4.架空线路跨越铁路时，按88万元/处暂估计入合同控制价，</w:t>
      </w:r>
      <w:r>
        <w:rPr>
          <w:rFonts w:hint="eastAsia" w:ascii="宋体" w:hAnsi="宋体" w:eastAsia="宋体" w:cs="宋体"/>
          <w:bCs/>
          <w:color w:val="auto"/>
          <w:sz w:val="21"/>
          <w:szCs w:val="21"/>
          <w:highlight w:val="none"/>
          <w:u w:val="none"/>
          <w:lang w:val="en-US" w:eastAsia="zh-CN"/>
        </w:rPr>
        <w:t>最终以发包单位审批的方案，据实结算</w:t>
      </w:r>
      <w:r>
        <w:rPr>
          <w:rFonts w:hint="eastAsia" w:ascii="宋体" w:hAnsi="宋体" w:cs="宋体"/>
          <w:bCs/>
          <w:color w:val="auto"/>
          <w:sz w:val="21"/>
          <w:szCs w:val="21"/>
          <w:highlight w:val="none"/>
          <w:u w:val="none"/>
          <w:lang w:val="en-US" w:eastAsia="zh-CN"/>
        </w:rPr>
        <w:t>（不考虑下浮系数）</w:t>
      </w:r>
      <w:r>
        <w:rPr>
          <w:rFonts w:hint="eastAsia" w:ascii="宋体" w:hAnsi="宋体" w:eastAsia="宋体" w:cs="宋体"/>
          <w:color w:val="auto"/>
          <w:sz w:val="21"/>
          <w:szCs w:val="21"/>
          <w:highlight w:val="none"/>
          <w:u w:val="none"/>
          <w:lang w:val="en-US" w:eastAsia="zh-CN"/>
        </w:rPr>
        <w:t>。</w:t>
      </w:r>
    </w:p>
    <w:p>
      <w:pPr>
        <w:pStyle w:val="8"/>
        <w:keepNext w:val="0"/>
        <w:keepLines w:val="0"/>
        <w:pageBreakBefore w:val="0"/>
        <w:numPr>
          <w:ilvl w:val="0"/>
          <w:numId w:val="0"/>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p>
    <w:p>
      <w:pPr>
        <w:pStyle w:val="8"/>
        <w:keepNext w:val="0"/>
        <w:keepLines w:val="0"/>
        <w:pageBreakBefore w:val="0"/>
        <w:numPr>
          <w:ilvl w:val="0"/>
          <w:numId w:val="0"/>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p>
    <w:p>
      <w:pPr>
        <w:pStyle w:val="8"/>
        <w:keepNext w:val="0"/>
        <w:keepLines w:val="0"/>
        <w:pageBreakBefore w:val="0"/>
        <w:numPr>
          <w:ilvl w:val="0"/>
          <w:numId w:val="0"/>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pPr>
        <w:keepNext w:val="0"/>
        <w:keepLines w:val="0"/>
        <w:pageBreakBefore w:val="0"/>
        <w:kinsoku/>
        <w:wordWrap/>
        <w:overflowPunct/>
        <w:topLinePunct w:val="0"/>
        <w:bidi w:val="0"/>
        <w:spacing w:line="360" w:lineRule="auto"/>
        <w:outlineLvl w:val="9"/>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3"/>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3"/>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3"/>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3"/>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8"/>
        <w:keepNext w:val="0"/>
        <w:keepLines w:val="0"/>
        <w:pageBreakBefore w:val="0"/>
        <w:widowControl w:val="0"/>
        <w:kinsoku/>
        <w:wordWrap/>
        <w:overflowPunct/>
        <w:topLinePunct w:val="0"/>
        <w:autoSpaceDE/>
        <w:autoSpaceDN/>
        <w:bidi w:val="0"/>
        <w:adjustRightInd/>
        <w:snapToGrid/>
        <w:spacing w:line="480" w:lineRule="atLeast"/>
        <w:textAlignment w:val="auto"/>
        <w:outlineLvl w:val="9"/>
        <w:rPr>
          <w:rFonts w:hint="eastAsia" w:asciiTheme="minorEastAsia" w:hAnsiTheme="minorEastAsia" w:eastAsiaTheme="minorEastAsia" w:cstheme="minorEastAsia"/>
          <w:color w:val="auto"/>
          <w:highlight w:val="none"/>
          <w:lang w:val="en-US" w:eastAsia="zh-CN"/>
        </w:rPr>
      </w:pPr>
      <w:bookmarkStart w:id="5" w:name="_GoBack"/>
      <w:bookmarkEnd w:id="5"/>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A53B02"/>
    <w:rsid w:val="04A24F71"/>
    <w:rsid w:val="06810BE5"/>
    <w:rsid w:val="08361E2C"/>
    <w:rsid w:val="092036A8"/>
    <w:rsid w:val="0BC07002"/>
    <w:rsid w:val="0C6E02C3"/>
    <w:rsid w:val="0CB12AED"/>
    <w:rsid w:val="0D277AA0"/>
    <w:rsid w:val="10D87C07"/>
    <w:rsid w:val="1138611B"/>
    <w:rsid w:val="11482125"/>
    <w:rsid w:val="116419AD"/>
    <w:rsid w:val="11DF6CFE"/>
    <w:rsid w:val="12A13D0F"/>
    <w:rsid w:val="14440D4B"/>
    <w:rsid w:val="15056A61"/>
    <w:rsid w:val="17BC3393"/>
    <w:rsid w:val="181450F3"/>
    <w:rsid w:val="18953F09"/>
    <w:rsid w:val="18D760D3"/>
    <w:rsid w:val="18E57496"/>
    <w:rsid w:val="1A5E5008"/>
    <w:rsid w:val="1AD65683"/>
    <w:rsid w:val="1B663F82"/>
    <w:rsid w:val="1BF61BDE"/>
    <w:rsid w:val="1E0B2C54"/>
    <w:rsid w:val="205352DF"/>
    <w:rsid w:val="216F4D5B"/>
    <w:rsid w:val="21B74FEF"/>
    <w:rsid w:val="23296221"/>
    <w:rsid w:val="23413BD4"/>
    <w:rsid w:val="24F737D8"/>
    <w:rsid w:val="273F4635"/>
    <w:rsid w:val="281556A3"/>
    <w:rsid w:val="2A5F22EC"/>
    <w:rsid w:val="2EF744D3"/>
    <w:rsid w:val="2FF65FF8"/>
    <w:rsid w:val="300D195C"/>
    <w:rsid w:val="3060369A"/>
    <w:rsid w:val="30BF37B5"/>
    <w:rsid w:val="32E53193"/>
    <w:rsid w:val="33851415"/>
    <w:rsid w:val="34E034E5"/>
    <w:rsid w:val="355C6F05"/>
    <w:rsid w:val="361736AD"/>
    <w:rsid w:val="36D200CF"/>
    <w:rsid w:val="378972BA"/>
    <w:rsid w:val="37B4116F"/>
    <w:rsid w:val="381229DE"/>
    <w:rsid w:val="38382DC3"/>
    <w:rsid w:val="38DE045C"/>
    <w:rsid w:val="3B572E0B"/>
    <w:rsid w:val="3C3333A5"/>
    <w:rsid w:val="3C4A35F1"/>
    <w:rsid w:val="3D404689"/>
    <w:rsid w:val="3D8175A7"/>
    <w:rsid w:val="44D414C9"/>
    <w:rsid w:val="450C092B"/>
    <w:rsid w:val="46472D5E"/>
    <w:rsid w:val="472C2557"/>
    <w:rsid w:val="47631E14"/>
    <w:rsid w:val="49167B33"/>
    <w:rsid w:val="49265AC8"/>
    <w:rsid w:val="497B140B"/>
    <w:rsid w:val="4ABA71C6"/>
    <w:rsid w:val="4B3A1BDA"/>
    <w:rsid w:val="4E2E1997"/>
    <w:rsid w:val="4E6C5236"/>
    <w:rsid w:val="507B3005"/>
    <w:rsid w:val="51517155"/>
    <w:rsid w:val="52E734B9"/>
    <w:rsid w:val="535B7567"/>
    <w:rsid w:val="5411167A"/>
    <w:rsid w:val="550514B7"/>
    <w:rsid w:val="55C3156A"/>
    <w:rsid w:val="608606DE"/>
    <w:rsid w:val="60CE095D"/>
    <w:rsid w:val="61806520"/>
    <w:rsid w:val="61CF1286"/>
    <w:rsid w:val="63C52F7A"/>
    <w:rsid w:val="64931D8E"/>
    <w:rsid w:val="65225574"/>
    <w:rsid w:val="65354E1B"/>
    <w:rsid w:val="65D95304"/>
    <w:rsid w:val="66443719"/>
    <w:rsid w:val="665D487D"/>
    <w:rsid w:val="66C35559"/>
    <w:rsid w:val="67B7564A"/>
    <w:rsid w:val="695912BA"/>
    <w:rsid w:val="6A287B5E"/>
    <w:rsid w:val="6B303A1A"/>
    <w:rsid w:val="6B593D2B"/>
    <w:rsid w:val="6DAA2FDF"/>
    <w:rsid w:val="6DFC1F85"/>
    <w:rsid w:val="6E121228"/>
    <w:rsid w:val="6FD57052"/>
    <w:rsid w:val="700C007C"/>
    <w:rsid w:val="70D1495F"/>
    <w:rsid w:val="712F2F2D"/>
    <w:rsid w:val="72395514"/>
    <w:rsid w:val="772527A8"/>
    <w:rsid w:val="78440BA6"/>
    <w:rsid w:val="787D2245"/>
    <w:rsid w:val="78BC6089"/>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Body Text"/>
    <w:basedOn w:val="6"/>
    <w:next w:val="6"/>
    <w:qFormat/>
    <w:uiPriority w:val="0"/>
    <w:pPr>
      <w:spacing w:after="120" w:line="360" w:lineRule="auto"/>
      <w:ind w:firstLine="598"/>
    </w:p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Body Text Indent"/>
    <w:basedOn w:val="1"/>
    <w:qFormat/>
    <w:uiPriority w:val="0"/>
    <w:pPr>
      <w:spacing w:after="120"/>
      <w:ind w:left="420" w:leftChars="200"/>
    </w:pPr>
  </w:style>
  <w:style w:type="paragraph" w:styleId="8">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next w:val="1"/>
    <w:unhideWhenUsed/>
    <w:qFormat/>
    <w:uiPriority w:val="99"/>
    <w:pPr>
      <w:widowControl w:val="0"/>
      <w:adjustRightInd w:val="0"/>
      <w:snapToGrid w:val="0"/>
      <w:spacing w:after="120" w:afterLines="0"/>
      <w:ind w:left="420" w:leftChars="200"/>
      <w:jc w:val="both"/>
    </w:pPr>
    <w:rPr>
      <w:rFonts w:ascii="Times New Roman" w:hAnsi="Times New Roman" w:eastAsia="宋体" w:cs="Times New Roman"/>
      <w:kern w:val="2"/>
      <w:sz w:val="24"/>
      <w:szCs w:val="24"/>
      <w:lang w:val="en-US" w:eastAsia="zh-CN" w:bidi="ar-SA"/>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王浩骅</cp:lastModifiedBy>
  <dcterms:modified xsi:type="dcterms:W3CDTF">2026-02-14T03:08:27Z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5E617CE8FD714E42AB0B2E348A5BF671</vt:lpwstr>
  </property>
</Properties>
</file>