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Theme="minorEastAsia" w:hAnsiTheme="minorEastAsia" w:eastAsiaTheme="minorEastAsia" w:cstheme="minorEastAsia"/>
          <w:b/>
          <w:bCs/>
          <w:snapToGrid w:val="0"/>
          <w:color w:val="auto"/>
          <w:kern w:val="0"/>
          <w:sz w:val="32"/>
          <w:szCs w:val="32"/>
          <w:highlight w:val="none"/>
          <w:u w:val="single"/>
          <w:lang w:val="en-US" w:eastAsia="zh-CN"/>
        </w:rPr>
      </w:pPr>
      <w:bookmarkStart w:id="5" w:name="_GoBack"/>
      <w:bookmarkEnd w:id="5"/>
      <w:bookmarkStart w:id="0" w:name="_Toc8445"/>
      <w:r>
        <w:rPr>
          <w:rFonts w:hint="eastAsia" w:asciiTheme="minorEastAsia" w:hAnsiTheme="minorEastAsia" w:eastAsiaTheme="minorEastAsia" w:cstheme="minorEastAsia"/>
          <w:b/>
          <w:bCs/>
          <w:snapToGrid w:val="0"/>
          <w:color w:val="auto"/>
          <w:kern w:val="0"/>
          <w:sz w:val="32"/>
          <w:szCs w:val="32"/>
          <w:highlight w:val="none"/>
          <w:u w:val="single"/>
          <w:lang w:val="en-US" w:eastAsia="zh-CN"/>
        </w:rPr>
        <w:t>标的11</w:t>
      </w:r>
    </w:p>
    <w:p>
      <w:pPr>
        <w:pStyle w:val="8"/>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白沙220kV可好输变电新建工程施工</w:t>
      </w:r>
    </w:p>
    <w:p>
      <w:pPr>
        <w:pStyle w:val="8"/>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napToGrid w:val="0"/>
          <w:color w:val="auto"/>
          <w:kern w:val="0"/>
          <w:sz w:val="24"/>
          <w:szCs w:val="24"/>
          <w:highlight w:val="none"/>
          <w:u w:val="single"/>
          <w:lang w:val="en-US" w:eastAsia="zh-CN"/>
        </w:rPr>
      </w:pPr>
      <w:r>
        <w:rPr>
          <w:rFonts w:hint="eastAsia" w:hAnsi="宋体" w:cs="宋体"/>
          <w:b/>
          <w:bCs/>
          <w:snapToGrid w:val="0"/>
          <w:color w:val="auto"/>
          <w:kern w:val="0"/>
          <w:sz w:val="24"/>
          <w:szCs w:val="24"/>
          <w:highlight w:val="none"/>
          <w:u w:val="single"/>
          <w:lang w:val="en-US" w:eastAsia="zh-CN"/>
        </w:rPr>
        <w:t>招标前期资料</w:t>
      </w:r>
    </w:p>
    <w:tbl>
      <w:tblPr>
        <w:tblStyle w:val="11"/>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3476"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default" w:ascii="宋体" w:hAnsi="宋体" w:eastAsia="宋体" w:cs="宋体"/>
                <w:b w:val="0"/>
                <w:bCs w:val="0"/>
                <w:snapToGrid w:val="0"/>
                <w:color w:val="auto"/>
                <w:kern w:val="0"/>
                <w:sz w:val="21"/>
                <w:szCs w:val="21"/>
                <w:highlight w:val="none"/>
                <w:u w:val="none"/>
                <w:vertAlign w:val="baseline"/>
                <w:lang w:val="en-US" w:eastAsia="zh-CN"/>
              </w:rPr>
              <w:t>海南电网基建〔2024〕179号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项目备案文号</w:t>
            </w:r>
          </w:p>
        </w:tc>
        <w:tc>
          <w:tcPr>
            <w:tcW w:w="3476" w:type="dxa"/>
            <w:vAlign w:val="center"/>
          </w:tcPr>
          <w:p>
            <w:pPr>
              <w:keepNext w:val="0"/>
              <w:keepLines w:val="0"/>
              <w:widowControl/>
              <w:suppressLineNumbers w:val="0"/>
              <w:jc w:val="center"/>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color w:val="000000"/>
                <w:kern w:val="0"/>
                <w:sz w:val="20"/>
                <w:szCs w:val="20"/>
                <w:lang w:val="en-US" w:eastAsia="zh-CN" w:bidi="ar"/>
              </w:rPr>
              <w:t>2503-469025-04-01-380076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firstLine="210" w:firstLineChars="100"/>
              <w:jc w:val="both"/>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default" w:ascii="宋体" w:hAnsi="宋体" w:eastAsia="宋体" w:cs="宋体"/>
                <w:b w:val="0"/>
                <w:bCs w:val="0"/>
                <w:snapToGrid w:val="0"/>
                <w:color w:val="auto"/>
                <w:kern w:val="0"/>
                <w:sz w:val="21"/>
                <w:szCs w:val="21"/>
                <w:highlight w:val="none"/>
                <w:u w:val="none"/>
                <w:vertAlign w:val="baseline"/>
                <w:lang w:val="en-US" w:eastAsia="zh-CN"/>
              </w:rPr>
              <w:t>海南电网基建〔2025〕132号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海南电网规划〔2025〕60号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bidi="ar-SA"/>
              </w:rPr>
              <w:t>海南电网有限责任公司建设分公司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海南省白沙县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中国电力建设集团贵州电力设计研究院有限公司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广东天安项目管理有限公司</w:t>
            </w:r>
          </w:p>
        </w:tc>
      </w:tr>
    </w:tbl>
    <w:p>
      <w:pPr>
        <w:pStyle w:val="8"/>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pPr>
        <w:pStyle w:val="8"/>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建设规模</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4755"/>
      <w:bookmarkStart w:id="2" w:name="_Toc13498"/>
      <w:bookmarkStart w:id="3" w:name="_Toc28718"/>
      <w:r>
        <w:rPr>
          <w:rFonts w:hint="eastAsia" w:ascii="宋体" w:hAnsi="宋体" w:eastAsia="宋体" w:cs="宋体"/>
          <w:b/>
          <w:color w:val="auto"/>
          <w:sz w:val="24"/>
          <w:szCs w:val="24"/>
          <w:highlight w:val="none"/>
          <w:lang w:val="en-US" w:eastAsia="zh-CN"/>
        </w:rPr>
        <w:t>（具体内容以批复的施工图设计为准）</w:t>
      </w:r>
    </w:p>
    <w:bookmarkEnd w:id="1"/>
    <w:bookmarkEnd w:id="2"/>
    <w:bookmarkEnd w:id="3"/>
    <w:p>
      <w:pPr>
        <w:shd w:val="clear" w:color="auto" w:fill="auto"/>
        <w:autoSpaceDN w:val="0"/>
        <w:spacing w:line="360" w:lineRule="auto"/>
        <w:ind w:firstLine="482" w:firstLineChars="200"/>
        <w:outlineLvl w:val="2"/>
        <w:rPr>
          <w:rFonts w:hint="eastAsia"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白沙220kV可好输变电新建工程</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1.变电站工程</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（1）变电站设计方案按照《南方电网公司35kV-500kV变电站标准设计》（V3.0）中CSG-220B-GR1a相关模块进行优化设计。变电站总征地面积为21455m2，其中站区围墙内面积为13887m2，总建筑面积为4961m2。</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（2）可好站主变终期规模为3×180MVA，本期规模2×180MVA。</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（3）220kV终期出线间隔10个，本期出线间隔4个；110kV最终出线间隔12个，本期出线间隔5个；10kV终期出线间隔3×12个，本期出线间隔2×12个。</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（4）10kV侧终期安装3×（4×8）Mvar并联电容器，本期安装2×（3×8）Mvar并联电容器。10kV侧终期安装3×（1×8）Mvar并联电抗器，本期安装2×（1×8）Mvar并联电抗器。</w:t>
      </w:r>
    </w:p>
    <w:p>
      <w:pPr>
        <w:numPr>
          <w:ilvl w:val="0"/>
          <w:numId w:val="0"/>
        </w:numPr>
        <w:shd w:val="clear" w:color="auto" w:fill="auto"/>
        <w:autoSpaceDN w:val="0"/>
        <w:spacing w:line="360" w:lineRule="auto"/>
        <w:ind w:firstLine="420" w:firstLineChars="200"/>
        <w:outlineLvl w:val="2"/>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2.对侧站工程</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（1）500kV昌化站：扩建2个220kV出线间隔，新增4套220kV线路光纤电流差动保护。</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（2）110kV那大站、白沙站、打安站：均更换1套110kV线路光纤电流差动保护。</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线路工程</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（1）昌化～可好双回220kV线路新建工程</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新建昌化～可好双回220kV线路，新建同塔双回架空线路长约28km,每相导线截面为2×630mm2。</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（2）可好站π接白沙～打安110kV线路新建工程</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新建π接段架空线路路径长约10.2km，其中同塔双回架空段长约9.5km，单回路架空段长约0.7km，每相导线截面为1×300mm2。</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（3）改接那大～打安110kV线路新建工程</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新建单回路架空线路长约8.5km，将那大～打安110kV线路改接入220kV可好站，形成可好～那大110kV线路，打安站侧那大线路间隔转为备用。每相导线截面为1×300mm2。</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通信工程</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（1）220kV线路配套光缆</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沿昌化～可好220kV架空线路架设2根48芯光缆，新建光缆长约28km。</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（2）110kV线路配套光缆</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①沿新建π接段架空线路架设2根48芯光缆，新建光缆长约10.2km，更换白沙～打安110kV线路#37～#39段光缆长约0.7km。</w:t>
      </w:r>
    </w:p>
    <w:p>
      <w:pPr>
        <w:numPr>
          <w:ilvl w:val="0"/>
          <w:numId w:val="0"/>
        </w:num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②沿改接那大～打安110kV线路工程新建单回架空线路架设1根48芯光缆，新建光缆长约8.5km。</w:t>
      </w:r>
    </w:p>
    <w:p>
      <w:pPr>
        <w:numPr>
          <w:ilvl w:val="0"/>
          <w:numId w:val="0"/>
        </w:numPr>
        <w:shd w:val="clear" w:color="auto" w:fill="auto"/>
        <w:autoSpaceDN w:val="0"/>
        <w:spacing w:line="360" w:lineRule="auto"/>
        <w:ind w:firstLine="420" w:firstLineChars="200"/>
        <w:outlineLvl w:val="2"/>
        <w:rPr>
          <w:rFonts w:hint="eastAsia" w:asciiTheme="minorEastAsia" w:hAnsiTheme="minorEastAsia" w:eastAsiaTheme="minorEastAsia" w:cstheme="minorEastAsia"/>
          <w:b/>
          <w:bCs/>
          <w:color w:val="auto"/>
          <w:sz w:val="24"/>
          <w:szCs w:val="24"/>
          <w:highlight w:val="none"/>
          <w:lang w:val="en-US" w:eastAsia="zh-CN"/>
        </w:rPr>
      </w:pPr>
      <w:r>
        <w:rPr>
          <w:rFonts w:hint="eastAsia" w:ascii="宋体" w:hAnsi="宋体" w:eastAsia="宋体" w:cs="宋体"/>
          <w:color w:val="auto"/>
          <w:sz w:val="21"/>
          <w:szCs w:val="21"/>
          <w:highlight w:val="none"/>
          <w:lang w:val="en-US" w:eastAsia="zh-CN"/>
        </w:rPr>
        <w:t>二、</w:t>
      </w:r>
      <w:r>
        <w:rPr>
          <w:rFonts w:hint="eastAsia" w:asciiTheme="minorEastAsia" w:hAnsiTheme="minorEastAsia" w:eastAsiaTheme="minorEastAsia" w:cstheme="minorEastAsia"/>
          <w:b/>
          <w:bCs/>
          <w:color w:val="auto"/>
          <w:sz w:val="24"/>
          <w:szCs w:val="24"/>
          <w:highlight w:val="none"/>
          <w:lang w:val="en-US" w:eastAsia="zh-CN"/>
        </w:rPr>
        <w:t>采购范围：</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项目施工图纸范围内的建筑、安装、调试工程(不含新建变电站工厂化调试、不含通信系统及其配套工程，不含光缆的接续测量、不含桩基础检测、主体结构检测)以及完成招标文件规定的工程项目所需的各项工作（除甲供物资合同中特殊注明由厂家包安装的设备物资外，还需包含甲供物资非厂家包安装设备配套的各类网线、电气连接线、管线等安装调试直至通过验收的所有安装工作，厂家只做现场技术服务指导、培训和提供相应专用特殊类安装辅材），负责办理相关施工许可手续。</w:t>
      </w:r>
    </w:p>
    <w:p>
      <w:pPr>
        <w:keepNext w:val="0"/>
        <w:keepLines w:val="0"/>
        <w:pageBreakBefore w:val="0"/>
        <w:widowControl w:val="0"/>
        <w:shd w:val="clear" w:color="auto" w:fill="auto"/>
        <w:kinsoku/>
        <w:wordWrap/>
        <w:overflowPunct/>
        <w:topLinePunct w:val="0"/>
        <w:autoSpaceDN w:val="0"/>
        <w:bidi w:val="0"/>
        <w:spacing w:line="560" w:lineRule="exact"/>
        <w:ind w:firstLine="422"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宋体" w:hAnsi="宋体" w:eastAsia="宋体" w:cs="宋体"/>
          <w:b/>
          <w:bCs/>
          <w:color w:val="auto"/>
          <w:sz w:val="21"/>
          <w:szCs w:val="21"/>
          <w:highlight w:val="none"/>
          <w:lang w:val="en-US" w:eastAsia="zh-CN"/>
        </w:rPr>
        <w:t>※变电部分:</w:t>
      </w:r>
      <w:r>
        <w:rPr>
          <w:rFonts w:hint="eastAsia" w:ascii="宋体" w:hAnsi="宋体" w:eastAsia="宋体" w:cs="宋体"/>
          <w:color w:val="auto"/>
          <w:sz w:val="21"/>
          <w:szCs w:val="21"/>
          <w:highlight w:val="none"/>
          <w:lang w:val="en-US" w:eastAsia="zh-CN"/>
        </w:rPr>
        <w:t>施工图纸范围内的变电建筑（含施工图纸内容中及设备厂家配套提供的各类网线、管线预埋或暗、明敷设；含通信进站光缆敷设及场地原有建（构）筑物的拆除工作)、安装及调试工程、临时工程（临时性的施工电源、水源、道路）、施工过渡工程（如有，最终以发包单位审批的方案，据实结算）、所有迁改工程、设备软件升级或扩容（如有，最终以发包单位审批的方案，据实结算）。但安装工程不包括：通信系统、安健环；调试工程不包括：新建变电站工厂化调试、通信系统、主站系统（站外部分）</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施工图纸范围内的架空送电线路安装、调试工程。包括：线路本体工程、施工场地租用、辅助施工费用、旧电力线拆除（如有）、通信线路拆除（如有）、各类市政管道及市政设施（绿化）等拆除、移植、复绿工作（如有）、跨越及河流封航（如有，则铁路部门和航道管理部门收取的文件规定的费用不计入报价，据实结算）、鱼塘围堰（如有）、施工道路修筑、杆塔三牌（杆塔号牌、警示牌、相序牌、）安装、OPGW光缆架设、青苗赔偿（塔基占地及其青苗赔偿、架线青苗赔偿、施工临时占用地及施工道路的青苗赔偿、接地线铺设的青苗赔偿）、线路调试工程（包括线路避雷器、监测装置、线路参数测试等）。安装调试工作不包括：光缆接续及测量、X光检测、桩基检测。青苗赔偿不包括：沿线建（构）筑物拆迁补偿、采石场（如有）、通信线路拆除补偿（如有）、各类市政管道及市政设施（绿化）等拆除补偿（如有）。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pPr>
        <w:shd w:val="clear" w:color="auto" w:fill="auto"/>
        <w:autoSpaceDN w:val="0"/>
        <w:spacing w:line="360" w:lineRule="auto"/>
        <w:ind w:firstLine="422" w:firstLineChars="200"/>
        <w:outlineLvl w:val="9"/>
        <w:rPr>
          <w:rFonts w:hint="eastAsia" w:ascii="宋体" w:hAnsi="宋体" w:eastAsia="宋体" w:cs="宋体"/>
          <w:bCs/>
          <w:color w:val="auto"/>
          <w:sz w:val="21"/>
          <w:szCs w:val="21"/>
          <w:highlight w:val="none"/>
          <w:u w:val="none"/>
          <w:lang w:val="en-US" w:eastAsia="zh-CN"/>
        </w:rPr>
      </w:pPr>
      <w:r>
        <w:rPr>
          <w:rFonts w:hint="eastAsia" w:ascii="宋体" w:hAnsi="宋体" w:eastAsia="宋体" w:cs="宋体"/>
          <w:b/>
          <w:bCs/>
          <w:color w:val="auto"/>
          <w:sz w:val="21"/>
          <w:szCs w:val="21"/>
          <w:highlight w:val="none"/>
          <w:lang w:val="en-US" w:eastAsia="zh-CN"/>
        </w:rPr>
        <w:t xml:space="preserve">※ 其他: </w:t>
      </w:r>
      <w:r>
        <w:rPr>
          <w:rFonts w:hint="eastAsia" w:ascii="宋体" w:hAnsi="宋体" w:eastAsia="宋体" w:cs="宋体"/>
          <w:color w:val="auto"/>
          <w:sz w:val="21"/>
          <w:szCs w:val="21"/>
          <w:highlight w:val="none"/>
          <w:lang w:val="en-US" w:eastAsia="zh-CN"/>
        </w:rPr>
        <w:t>1.变电站构建筑物第三方沉降检测，公路安评、导地线金具握力等检测、跨越（穿越）或经过（河流、水库、铁路、公路、桥梁、隧道、航空区域、生态区域等）及航空港的航评、穿越重要地区（点）的第三方专项评估涉、节地评价、涉（通信光缆、供水、燃气、排污水管道）迁改、海绵城市方案设计专项规划、绿化专项设计方案、各类行政报建文本（方案、图纸）审查等涉及第三方咨询机构的专项评估（服务），如有（不仅限于以上内容，在项目实施过程中发生的其他第三方评估、图审及检测也包含在内），最终以发包单位审批的方案，据实结算。</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highlight w:val="none"/>
          <w:u w:val="none"/>
        </w:rPr>
      </w:pPr>
      <w:r>
        <w:rPr>
          <w:rFonts w:hint="eastAsia" w:ascii="宋体" w:hAnsi="宋体" w:eastAsia="宋体" w:cs="宋体"/>
          <w:bCs/>
          <w:color w:val="auto"/>
          <w:sz w:val="21"/>
          <w:szCs w:val="21"/>
          <w:highlight w:val="none"/>
          <w:u w:val="none"/>
          <w:lang w:val="en-US" w:eastAsia="zh-CN"/>
        </w:rPr>
        <w:t>2.项目如有涉及保护树种移植相关费用，最终以发包单位审批的方案，据实结算</w:t>
      </w:r>
      <w:r>
        <w:rPr>
          <w:rFonts w:hint="eastAsia" w:ascii="宋体" w:hAnsi="宋体" w:eastAsia="宋体" w:cs="宋体"/>
          <w:color w:val="auto"/>
          <w:sz w:val="21"/>
          <w:szCs w:val="21"/>
          <w:highlight w:val="none"/>
          <w:u w:val="none"/>
          <w:lang w:val="en-US" w:eastAsia="zh-CN"/>
        </w:rPr>
        <w:t>。</w:t>
      </w:r>
    </w:p>
    <w:p>
      <w:pPr>
        <w:pStyle w:val="3"/>
        <w:ind w:firstLine="420"/>
        <w:rPr>
          <w:rFonts w:hint="eastAsia" w:ascii="宋体" w:hAnsi="宋体" w:cs="宋体"/>
          <w:b w:val="0"/>
          <w:i w:val="0"/>
          <w:color w:val="auto"/>
          <w:kern w:val="2"/>
          <w:sz w:val="21"/>
          <w:szCs w:val="21"/>
          <w:highlight w:val="none"/>
          <w:lang w:val="en-US" w:eastAsia="zh-CN" w:bidi="ar-SA"/>
        </w:rPr>
      </w:pPr>
      <w:r>
        <w:rPr>
          <w:rFonts w:hint="eastAsia" w:ascii="宋体" w:hAnsi="宋体" w:cs="宋体"/>
          <w:b w:val="0"/>
          <w:i w:val="0"/>
          <w:color w:val="auto"/>
          <w:kern w:val="2"/>
          <w:sz w:val="21"/>
          <w:szCs w:val="21"/>
          <w:highlight w:val="none"/>
          <w:lang w:val="en-US" w:eastAsia="zh-CN" w:bidi="ar-SA"/>
        </w:rPr>
        <w:t>3.项目如需实施工厂化调试部分，桩基础检测、主体工程检测，以发包单位委托单及审批的方案，据实结算。</w:t>
      </w:r>
    </w:p>
    <w:p>
      <w:pPr>
        <w:ind w:firstLine="420"/>
        <w:rPr>
          <w:rFonts w:hint="default"/>
          <w:highlight w:val="none"/>
          <w:lang w:val="en-US" w:eastAsia="zh-CN"/>
        </w:rPr>
      </w:pPr>
      <w:r>
        <w:rPr>
          <w:rFonts w:hint="eastAsia"/>
          <w:highlight w:val="none"/>
          <w:lang w:val="en-US" w:eastAsia="zh-CN"/>
        </w:rPr>
        <w:t>4.架空线路跨越铁路时，按88万元/处暂估计入合同控制价，</w:t>
      </w:r>
      <w:r>
        <w:rPr>
          <w:rFonts w:hint="eastAsia" w:ascii="宋体" w:hAnsi="宋体" w:eastAsia="宋体" w:cs="宋体"/>
          <w:bCs/>
          <w:color w:val="auto"/>
          <w:sz w:val="21"/>
          <w:szCs w:val="21"/>
          <w:highlight w:val="none"/>
          <w:u w:val="none"/>
          <w:lang w:val="en-US" w:eastAsia="zh-CN"/>
        </w:rPr>
        <w:t>最终以发包单位审批的方案，据实结算</w:t>
      </w:r>
      <w:r>
        <w:rPr>
          <w:rFonts w:hint="eastAsia" w:ascii="宋体" w:hAnsi="宋体" w:cs="宋体"/>
          <w:bCs/>
          <w:color w:val="auto"/>
          <w:sz w:val="21"/>
          <w:szCs w:val="21"/>
          <w:highlight w:val="none"/>
          <w:u w:val="none"/>
          <w:lang w:val="en-US" w:eastAsia="zh-CN"/>
        </w:rPr>
        <w:t>（不考虑下浮系数）</w:t>
      </w:r>
      <w:r>
        <w:rPr>
          <w:rFonts w:hint="eastAsia" w:ascii="宋体" w:hAnsi="宋体" w:eastAsia="宋体" w:cs="宋体"/>
          <w:color w:val="auto"/>
          <w:sz w:val="21"/>
          <w:szCs w:val="21"/>
          <w:highlight w:val="none"/>
          <w:u w:val="none"/>
          <w:lang w:val="en-US" w:eastAsia="zh-CN"/>
        </w:rPr>
        <w:t>。</w:t>
      </w:r>
    </w:p>
    <w:p>
      <w:pPr>
        <w:pStyle w:val="8"/>
        <w:keepNext w:val="0"/>
        <w:keepLines w:val="0"/>
        <w:pageBreakBefore w:val="0"/>
        <w:numPr>
          <w:ilvl w:val="0"/>
          <w:numId w:val="0"/>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三、承包方式：</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bookmarkStart w:id="4" w:name="XmInfoEntity_SGCBFS_0_1"/>
      <w:r>
        <w:rPr>
          <w:rFonts w:hint="eastAsia" w:ascii="宋体" w:hAnsi="宋体" w:eastAsia="宋体" w:cs="宋体"/>
          <w:color w:val="auto"/>
          <w:sz w:val="21"/>
          <w:szCs w:val="21"/>
          <w:highlight w:val="none"/>
          <w:lang w:val="en-US" w:eastAsia="zh-CN"/>
        </w:rPr>
        <w:t>包工、部分包料。</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建设单位根据最新的南方电网公司和海南电网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w:t>
      </w:r>
      <w:bookmarkEnd w:id="4"/>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yellow"/>
          <w:lang w:val="en-US" w:eastAsia="zh-CN"/>
        </w:rPr>
      </w:pP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yellow"/>
          <w:lang w:val="en-US" w:eastAsia="zh-CN"/>
        </w:rPr>
      </w:pP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yellow"/>
          <w:lang w:val="en-US" w:eastAsia="zh-CN"/>
        </w:rPr>
      </w:pP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yellow"/>
          <w:lang w:val="en-US" w:eastAsia="zh-CN"/>
        </w:rPr>
      </w:pP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yellow"/>
          <w:lang w:val="en-US" w:eastAsia="zh-CN"/>
        </w:rPr>
      </w:pP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yellow"/>
          <w:lang w:val="en-US" w:eastAsia="zh-CN"/>
        </w:rPr>
      </w:pP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yellow"/>
          <w:lang w:val="en-US" w:eastAsia="zh-CN"/>
        </w:rPr>
      </w:pP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yellow"/>
          <w:lang w:val="en-US" w:eastAsia="zh-CN"/>
        </w:rPr>
      </w:pP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yellow"/>
          <w:lang w:val="en-US" w:eastAsia="zh-CN"/>
        </w:rPr>
      </w:pP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yellow"/>
          <w:lang w:val="en-US" w:eastAsia="zh-CN"/>
        </w:rPr>
      </w:pP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yellow"/>
          <w:lang w:val="en-US" w:eastAsia="zh-CN"/>
        </w:rPr>
      </w:pPr>
    </w:p>
    <w:p>
      <w:pPr>
        <w:rPr>
          <w:rFonts w:hint="eastAsia" w:asciiTheme="minorEastAsia" w:hAnsiTheme="minorEastAsia" w:eastAsiaTheme="minorEastAsia" w:cstheme="minorEastAsia"/>
          <w:color w:val="auto"/>
          <w:highlight w:val="none"/>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EE3"/>
    <w:multiLevelType w:val="singleLevel"/>
    <w:tmpl w:val="55885E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F83C5A"/>
    <w:rsid w:val="01EA0BBA"/>
    <w:rsid w:val="01EF6557"/>
    <w:rsid w:val="02294F89"/>
    <w:rsid w:val="03401ADA"/>
    <w:rsid w:val="03A53B02"/>
    <w:rsid w:val="04A24F71"/>
    <w:rsid w:val="06810BE5"/>
    <w:rsid w:val="06B1238C"/>
    <w:rsid w:val="08361E2C"/>
    <w:rsid w:val="092036A8"/>
    <w:rsid w:val="0BC07002"/>
    <w:rsid w:val="0D277AA0"/>
    <w:rsid w:val="0E7E5136"/>
    <w:rsid w:val="10D87C07"/>
    <w:rsid w:val="1138611B"/>
    <w:rsid w:val="11482125"/>
    <w:rsid w:val="116419AD"/>
    <w:rsid w:val="11DF6CFE"/>
    <w:rsid w:val="12A13D0F"/>
    <w:rsid w:val="14440D4B"/>
    <w:rsid w:val="15054238"/>
    <w:rsid w:val="15056A61"/>
    <w:rsid w:val="17BC3393"/>
    <w:rsid w:val="181450F3"/>
    <w:rsid w:val="18953F09"/>
    <w:rsid w:val="18D760D3"/>
    <w:rsid w:val="18E57496"/>
    <w:rsid w:val="1A5E5008"/>
    <w:rsid w:val="1AD65683"/>
    <w:rsid w:val="1B663F82"/>
    <w:rsid w:val="1BF61BDE"/>
    <w:rsid w:val="1D002639"/>
    <w:rsid w:val="1E0B2C54"/>
    <w:rsid w:val="216F4D5B"/>
    <w:rsid w:val="21B74FEF"/>
    <w:rsid w:val="23413BD4"/>
    <w:rsid w:val="24F737D8"/>
    <w:rsid w:val="273F4635"/>
    <w:rsid w:val="281556A3"/>
    <w:rsid w:val="2A5F22EC"/>
    <w:rsid w:val="2EF744D3"/>
    <w:rsid w:val="2FF65FF8"/>
    <w:rsid w:val="300D195C"/>
    <w:rsid w:val="3060369A"/>
    <w:rsid w:val="30BF37B5"/>
    <w:rsid w:val="33851415"/>
    <w:rsid w:val="34E034E5"/>
    <w:rsid w:val="355C6F05"/>
    <w:rsid w:val="35803A8B"/>
    <w:rsid w:val="361736AD"/>
    <w:rsid w:val="36D200CF"/>
    <w:rsid w:val="378972BA"/>
    <w:rsid w:val="37B4116F"/>
    <w:rsid w:val="38382DC3"/>
    <w:rsid w:val="38DE045C"/>
    <w:rsid w:val="3B572E0B"/>
    <w:rsid w:val="3C3333A5"/>
    <w:rsid w:val="3C4A35F1"/>
    <w:rsid w:val="3D3F7E21"/>
    <w:rsid w:val="3D404689"/>
    <w:rsid w:val="3D8175A7"/>
    <w:rsid w:val="3FB3468C"/>
    <w:rsid w:val="44D414C9"/>
    <w:rsid w:val="46472D5E"/>
    <w:rsid w:val="472C2557"/>
    <w:rsid w:val="49167B33"/>
    <w:rsid w:val="49265AC8"/>
    <w:rsid w:val="497B140B"/>
    <w:rsid w:val="4ABA71C6"/>
    <w:rsid w:val="4B3A1BDA"/>
    <w:rsid w:val="4E2E1997"/>
    <w:rsid w:val="4E6C5236"/>
    <w:rsid w:val="4FE01E45"/>
    <w:rsid w:val="507B3005"/>
    <w:rsid w:val="51517155"/>
    <w:rsid w:val="51B30DB5"/>
    <w:rsid w:val="52E734B9"/>
    <w:rsid w:val="535B7567"/>
    <w:rsid w:val="5411167A"/>
    <w:rsid w:val="550514B7"/>
    <w:rsid w:val="55C3156A"/>
    <w:rsid w:val="56A84EC8"/>
    <w:rsid w:val="608606DE"/>
    <w:rsid w:val="61806520"/>
    <w:rsid w:val="61CF1286"/>
    <w:rsid w:val="63C52F7A"/>
    <w:rsid w:val="64931D8E"/>
    <w:rsid w:val="65225574"/>
    <w:rsid w:val="65354E1B"/>
    <w:rsid w:val="65CA2936"/>
    <w:rsid w:val="65D95304"/>
    <w:rsid w:val="66443719"/>
    <w:rsid w:val="665D487D"/>
    <w:rsid w:val="66C35559"/>
    <w:rsid w:val="695912BA"/>
    <w:rsid w:val="6A287B5E"/>
    <w:rsid w:val="6B303A1A"/>
    <w:rsid w:val="6B593D2B"/>
    <w:rsid w:val="6DAA2FDF"/>
    <w:rsid w:val="6DFC1F85"/>
    <w:rsid w:val="6E121228"/>
    <w:rsid w:val="70D1495F"/>
    <w:rsid w:val="71B40378"/>
    <w:rsid w:val="72395514"/>
    <w:rsid w:val="72A55932"/>
    <w:rsid w:val="772527A8"/>
    <w:rsid w:val="78440BA6"/>
    <w:rsid w:val="78BC6089"/>
    <w:rsid w:val="79C76AF4"/>
    <w:rsid w:val="7E34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Body Text"/>
    <w:basedOn w:val="6"/>
    <w:next w:val="6"/>
    <w:qFormat/>
    <w:uiPriority w:val="0"/>
    <w:pPr>
      <w:spacing w:after="120" w:line="360" w:lineRule="auto"/>
      <w:ind w:firstLine="598"/>
    </w:pPr>
  </w:style>
  <w:style w:type="paragraph" w:styleId="6">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Body Text Indent"/>
    <w:basedOn w:val="1"/>
    <w:qFormat/>
    <w:uiPriority w:val="0"/>
    <w:pPr>
      <w:spacing w:after="120"/>
      <w:ind w:left="420" w:leftChars="200"/>
    </w:pPr>
  </w:style>
  <w:style w:type="paragraph" w:styleId="8">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王浩骅</cp:lastModifiedBy>
  <dcterms:modified xsi:type="dcterms:W3CDTF">2026-02-14T03:08:56Z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2533025CBD81476A8349215CFD1018C0</vt:lpwstr>
  </property>
</Properties>
</file>